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bCs/>
          <w:color w:val="000000"/>
          <w:sz w:val="36"/>
          <w:szCs w:val="36"/>
        </w:rPr>
      </w:pPr>
      <w:r>
        <w:rPr>
          <w:rFonts w:hint="eastAsia" w:ascii="宋体" w:hAnsi="宋体"/>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宋体"/>
                <w:sz w:val="24"/>
                <w:szCs w:val="24"/>
              </w:rPr>
            </w:pPr>
            <w:r>
              <w:rPr>
                <w:rFonts w:hint="eastAsia" w:ascii="宋体" w:hAnsi="宋体"/>
                <w:sz w:val="24"/>
                <w:szCs w:val="24"/>
              </w:rPr>
              <w:t>过程与活动、</w:t>
            </w:r>
          </w:p>
          <w:p>
            <w:pPr>
              <w:jc w:val="center"/>
              <w:rPr>
                <w:rFonts w:ascii="宋体"/>
                <w:sz w:val="24"/>
                <w:szCs w:val="24"/>
              </w:rPr>
            </w:pPr>
            <w:r>
              <w:rPr>
                <w:rFonts w:hint="eastAsia" w:ascii="宋体" w:hAnsi="宋体"/>
                <w:sz w:val="24"/>
                <w:szCs w:val="24"/>
              </w:rPr>
              <w:t>抽样计划</w:t>
            </w:r>
          </w:p>
        </w:tc>
        <w:tc>
          <w:tcPr>
            <w:tcW w:w="1311" w:type="dxa"/>
            <w:vMerge w:val="restart"/>
            <w:vAlign w:val="center"/>
          </w:tcPr>
          <w:p>
            <w:pPr>
              <w:rPr>
                <w:rFonts w:ascii="宋体"/>
                <w:sz w:val="24"/>
                <w:szCs w:val="24"/>
              </w:rPr>
            </w:pPr>
            <w:r>
              <w:rPr>
                <w:rFonts w:hint="eastAsia" w:ascii="宋体" w:hAnsi="宋体"/>
                <w:sz w:val="24"/>
                <w:szCs w:val="24"/>
              </w:rPr>
              <w:t>涉及条款</w:t>
            </w:r>
          </w:p>
        </w:tc>
        <w:tc>
          <w:tcPr>
            <w:tcW w:w="10004" w:type="dxa"/>
            <w:vAlign w:val="center"/>
          </w:tcPr>
          <w:p>
            <w:pPr>
              <w:rPr>
                <w:rFonts w:hint="default" w:ascii="宋体" w:eastAsia="宋体"/>
                <w:sz w:val="24"/>
                <w:szCs w:val="24"/>
                <w:lang w:val="en-US" w:eastAsia="zh-CN"/>
              </w:rPr>
            </w:pPr>
            <w:r>
              <w:rPr>
                <w:rFonts w:hint="eastAsia" w:ascii="宋体" w:hAnsi="宋体"/>
                <w:sz w:val="24"/>
                <w:szCs w:val="24"/>
              </w:rPr>
              <w:t>受审核部门：</w:t>
            </w:r>
            <w:r>
              <w:rPr>
                <w:rFonts w:hint="eastAsia" w:ascii="宋体" w:hAnsi="宋体"/>
                <w:sz w:val="24"/>
                <w:szCs w:val="24"/>
                <w:lang w:val="en-US" w:eastAsia="zh-CN"/>
              </w:rPr>
              <w:t xml:space="preserve"> </w:t>
            </w:r>
            <w:r>
              <w:rPr>
                <w:rFonts w:hint="eastAsia" w:ascii="宋体" w:hAnsi="宋体"/>
                <w:sz w:val="24"/>
                <w:szCs w:val="24"/>
              </w:rPr>
              <w:t>管理层  主管领导：</w:t>
            </w:r>
            <w:r>
              <w:rPr>
                <w:rFonts w:hint="eastAsia" w:ascii="宋体" w:hAnsi="宋体"/>
                <w:sz w:val="24"/>
                <w:szCs w:val="24"/>
                <w:lang w:val="en-US" w:eastAsia="zh-CN"/>
              </w:rPr>
              <w:t>李峰</w:t>
            </w:r>
            <w:r>
              <w:rPr>
                <w:rFonts w:hint="eastAsia" w:ascii="宋体" w:hAnsi="宋体"/>
                <w:sz w:val="24"/>
              </w:rPr>
              <w:t xml:space="preserve"> </w:t>
            </w:r>
            <w:r>
              <w:rPr>
                <w:rFonts w:ascii="宋体" w:hAnsi="宋体"/>
                <w:sz w:val="24"/>
                <w:szCs w:val="24"/>
              </w:rPr>
              <w:t xml:space="preserve">  </w:t>
            </w:r>
            <w:r>
              <w:rPr>
                <w:rFonts w:hint="eastAsia" w:ascii="宋体" w:hAnsi="宋体"/>
                <w:sz w:val="24"/>
                <w:szCs w:val="24"/>
                <w:lang w:val="en-US" w:eastAsia="zh-CN"/>
              </w:rPr>
              <w:t xml:space="preserve">  管代：林媛            </w:t>
            </w:r>
            <w:r>
              <w:rPr>
                <w:rFonts w:ascii="宋体" w:hAnsi="宋体"/>
                <w:sz w:val="24"/>
                <w:szCs w:val="24"/>
              </w:rPr>
              <w:t xml:space="preserve"> </w:t>
            </w:r>
            <w:r>
              <w:rPr>
                <w:rFonts w:hint="eastAsia" w:ascii="宋体" w:hAnsi="宋体"/>
                <w:sz w:val="24"/>
                <w:szCs w:val="24"/>
              </w:rPr>
              <w:t>陪同人员：</w:t>
            </w:r>
            <w:r>
              <w:rPr>
                <w:rFonts w:hint="eastAsia" w:ascii="宋体" w:hAnsi="宋体"/>
                <w:sz w:val="24"/>
                <w:szCs w:val="24"/>
                <w:lang w:val="en-US" w:eastAsia="zh-CN"/>
              </w:rPr>
              <w:t>上官鸿雪</w:t>
            </w:r>
          </w:p>
        </w:tc>
        <w:tc>
          <w:tcPr>
            <w:tcW w:w="1585" w:type="dxa"/>
            <w:vMerge w:val="restart"/>
            <w:vAlign w:val="center"/>
          </w:tcPr>
          <w:p>
            <w:pPr>
              <w:rPr>
                <w:rFonts w:ascii="宋体"/>
                <w:sz w:val="24"/>
                <w:szCs w:val="24"/>
              </w:rPr>
            </w:pPr>
            <w:r>
              <w:rPr>
                <w:rFonts w:hint="eastAsia" w:ascii="宋体" w:hAnsi="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宋体"/>
                <w:sz w:val="24"/>
                <w:szCs w:val="24"/>
              </w:rPr>
            </w:pPr>
          </w:p>
        </w:tc>
        <w:tc>
          <w:tcPr>
            <w:tcW w:w="1311" w:type="dxa"/>
            <w:vMerge w:val="continue"/>
            <w:vAlign w:val="center"/>
          </w:tcPr>
          <w:p>
            <w:pPr>
              <w:rPr>
                <w:rFonts w:ascii="宋体"/>
                <w:sz w:val="24"/>
                <w:szCs w:val="24"/>
              </w:rPr>
            </w:pPr>
          </w:p>
        </w:tc>
        <w:tc>
          <w:tcPr>
            <w:tcW w:w="10004" w:type="dxa"/>
            <w:vAlign w:val="center"/>
          </w:tcPr>
          <w:p>
            <w:pPr>
              <w:spacing w:before="120"/>
              <w:rPr>
                <w:rFonts w:hint="default" w:ascii="宋体" w:eastAsia="宋体"/>
                <w:sz w:val="24"/>
                <w:szCs w:val="24"/>
                <w:lang w:val="en-US" w:eastAsia="zh-CN"/>
              </w:rPr>
            </w:pPr>
            <w:r>
              <w:rPr>
                <w:rFonts w:hint="eastAsia" w:ascii="宋体" w:hAnsi="宋体"/>
                <w:sz w:val="24"/>
                <w:szCs w:val="24"/>
              </w:rPr>
              <w:t>审核员：</w:t>
            </w:r>
            <w:r>
              <w:rPr>
                <w:rFonts w:hint="eastAsia" w:ascii="宋体" w:hAnsi="宋体"/>
                <w:sz w:val="24"/>
                <w:szCs w:val="24"/>
                <w:lang w:val="en-US" w:eastAsia="zh-CN"/>
              </w:rPr>
              <w:t>李俐</w:t>
            </w: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 xml:space="preserve">   </w:t>
            </w:r>
            <w:r>
              <w:rPr>
                <w:rFonts w:hint="eastAsia" w:ascii="宋体" w:hAnsi="宋体"/>
                <w:sz w:val="24"/>
                <w:szCs w:val="24"/>
              </w:rPr>
              <w:t>审核时间：</w:t>
            </w:r>
            <w:r>
              <w:rPr>
                <w:rFonts w:ascii="宋体" w:hAnsi="宋体"/>
                <w:sz w:val="24"/>
                <w:szCs w:val="24"/>
              </w:rPr>
              <w:t>2019.</w:t>
            </w:r>
            <w:r>
              <w:rPr>
                <w:rFonts w:hint="eastAsia" w:ascii="宋体" w:hAnsi="宋体"/>
                <w:sz w:val="24"/>
                <w:szCs w:val="24"/>
                <w:lang w:val="en-US" w:eastAsia="zh-CN"/>
              </w:rPr>
              <w:t>12</w:t>
            </w:r>
            <w:r>
              <w:rPr>
                <w:rFonts w:ascii="宋体"/>
                <w:sz w:val="24"/>
                <w:szCs w:val="24"/>
              </w:rPr>
              <w:t>.</w:t>
            </w:r>
            <w:r>
              <w:rPr>
                <w:rFonts w:hint="eastAsia" w:ascii="宋体" w:hAnsi="宋体"/>
                <w:sz w:val="24"/>
                <w:szCs w:val="24"/>
                <w:lang w:val="en-US" w:eastAsia="zh-CN"/>
              </w:rPr>
              <w:t>19</w:t>
            </w:r>
          </w:p>
        </w:tc>
        <w:tc>
          <w:tcPr>
            <w:tcW w:w="1585" w:type="dxa"/>
            <w:vMerge w:val="continue"/>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宋体"/>
                <w:sz w:val="24"/>
                <w:szCs w:val="24"/>
              </w:rPr>
            </w:pPr>
          </w:p>
        </w:tc>
        <w:tc>
          <w:tcPr>
            <w:tcW w:w="1311" w:type="dxa"/>
            <w:vMerge w:val="continue"/>
            <w:vAlign w:val="center"/>
          </w:tcPr>
          <w:p>
            <w:pPr>
              <w:rPr>
                <w:rFonts w:ascii="宋体"/>
                <w:sz w:val="24"/>
                <w:szCs w:val="24"/>
              </w:rPr>
            </w:pPr>
          </w:p>
        </w:tc>
        <w:tc>
          <w:tcPr>
            <w:tcW w:w="10004" w:type="dxa"/>
            <w:vAlign w:val="center"/>
          </w:tcPr>
          <w:p>
            <w:pPr>
              <w:adjustRightInd w:val="0"/>
              <w:textAlignment w:val="baseline"/>
              <w:rPr>
                <w:rFonts w:hint="eastAsia" w:ascii="宋体" w:hAnsi="宋体"/>
                <w:sz w:val="24"/>
                <w:szCs w:val="24"/>
              </w:rPr>
            </w:pPr>
            <w:r>
              <w:rPr>
                <w:rFonts w:hint="eastAsia" w:ascii="宋体" w:hAnsi="宋体"/>
                <w:sz w:val="24"/>
                <w:szCs w:val="24"/>
              </w:rPr>
              <w:t>审核条款：</w:t>
            </w:r>
          </w:p>
          <w:p>
            <w:pPr>
              <w:adjustRightInd w:val="0"/>
              <w:spacing w:line="360" w:lineRule="auto"/>
              <w:textAlignment w:val="baseline"/>
              <w:rPr>
                <w:rFonts w:hint="eastAsia" w:ascii="宋体" w:hAnsi="宋体" w:cs="Times New Roman"/>
                <w:kern w:val="0"/>
                <w:sz w:val="21"/>
                <w:szCs w:val="21"/>
                <w:lang w:eastAsia="zh-CN"/>
              </w:rPr>
            </w:pPr>
            <w:r>
              <w:rPr>
                <w:rFonts w:hint="eastAsia" w:ascii="宋体" w:hAnsi="宋体"/>
                <w:kern w:val="0"/>
                <w:sz w:val="21"/>
                <w:szCs w:val="21"/>
              </w:rPr>
              <w:t>4.1理解组织及其环境、4.2理解相关方的需求和期望、4.3 确定管理体系的范围、4.4环境管理体系及其过程、5.1领导作用和承诺、5.2环境方针、5.3组织的岗位、职责和权限、6.1应对风险和机遇的措施、6.2</w:t>
            </w:r>
            <w:r>
              <w:rPr>
                <w:rFonts w:hint="eastAsia" w:ascii="宋体" w:hAnsi="宋体" w:cs="Times New Roman"/>
                <w:kern w:val="0"/>
                <w:sz w:val="21"/>
                <w:szCs w:val="21"/>
              </w:rPr>
              <w:t>环境目标及其实现的策划、7.1资源、7.4信息交流、9.3管理评审、10.1改进、10.3持续改进</w:t>
            </w:r>
            <w:r>
              <w:rPr>
                <w:rFonts w:hint="eastAsia" w:ascii="宋体" w:hAnsi="宋体" w:cs="Times New Roman"/>
                <w:kern w:val="0"/>
                <w:sz w:val="21"/>
                <w:szCs w:val="21"/>
                <w:lang w:val="en-US" w:eastAsia="zh-CN"/>
              </w:rPr>
              <w:t>。</w:t>
            </w:r>
          </w:p>
          <w:p>
            <w:pPr>
              <w:adjustRightInd w:val="0"/>
              <w:spacing w:line="360" w:lineRule="auto"/>
              <w:textAlignment w:val="baseline"/>
              <w:rPr>
                <w:rFonts w:hint="eastAsia" w:ascii="宋体" w:hAnsi="宋体" w:cs="Times New Roman"/>
                <w:kern w:val="0"/>
                <w:sz w:val="21"/>
                <w:szCs w:val="21"/>
              </w:rPr>
            </w:pPr>
            <w:r>
              <w:rPr>
                <w:rFonts w:hint="eastAsia" w:ascii="宋体" w:hAnsi="宋体" w:cs="Times New Roman"/>
                <w:kern w:val="0"/>
                <w:sz w:val="21"/>
                <w:szCs w:val="21"/>
              </w:rPr>
              <w:t>国家/地方监督抽查情况；顾客满意、相关方投诉及处理情况；验证企业相关资质证明的有效性，一阶段问题验证；</w:t>
            </w:r>
          </w:p>
          <w:p>
            <w:pPr>
              <w:adjustRightInd w:val="0"/>
              <w:snapToGrid w:val="0"/>
              <w:ind w:right="105" w:rightChars="50"/>
              <w:jc w:val="left"/>
              <w:textAlignment w:val="baseline"/>
              <w:rPr>
                <w:rFonts w:hint="eastAsia" w:ascii="宋体" w:hAnsi="宋体"/>
                <w:kern w:val="0"/>
                <w:sz w:val="21"/>
                <w:szCs w:val="21"/>
              </w:rPr>
            </w:pPr>
          </w:p>
        </w:tc>
        <w:tc>
          <w:tcPr>
            <w:tcW w:w="1585" w:type="dxa"/>
            <w:vMerge w:val="continue"/>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企业基本信息</w:t>
            </w:r>
          </w:p>
        </w:tc>
        <w:tc>
          <w:tcPr>
            <w:tcW w:w="1311" w:type="dxa"/>
            <w:vAlign w:val="center"/>
          </w:tcPr>
          <w:p>
            <w:pPr>
              <w:rPr>
                <w:rFonts w:ascii="宋体"/>
                <w:b/>
                <w:szCs w:val="24"/>
              </w:rPr>
            </w:pPr>
          </w:p>
        </w:tc>
        <w:tc>
          <w:tcPr>
            <w:tcW w:w="10004" w:type="dxa"/>
            <w:vAlign w:val="center"/>
          </w:tcPr>
          <w:p>
            <w:pPr>
              <w:spacing w:line="360" w:lineRule="auto"/>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面谈人员：最管理者李峰、管代林媛</w:t>
            </w:r>
          </w:p>
          <w:p>
            <w:pPr>
              <w:spacing w:line="360" w:lineRule="auto"/>
              <w:ind w:firstLine="420" w:firstLineChars="200"/>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公司成立于1988年，法人代表李峰，注册地址：陕西省咸阳市礼泉县食品工业园区科技路北侧。2010年05月25日，取得三证合一的营业执照，</w:t>
            </w:r>
            <w:r>
              <w:rPr>
                <w:rFonts w:hint="eastAsia" w:ascii="Times New Roman" w:hAnsi="Times New Roman" w:cs="Times New Roman"/>
                <w:szCs w:val="22"/>
                <w:lang w:val="de-DE" w:eastAsia="zh-CN"/>
              </w:rPr>
              <w:t>经营范围</w:t>
            </w:r>
            <w:bookmarkStart w:id="0" w:name="审核范围"/>
            <w:r>
              <w:rPr>
                <w:rFonts w:hint="eastAsia" w:ascii="Times New Roman" w:hAnsi="Times New Roman" w:cs="Times New Roman"/>
                <w:szCs w:val="22"/>
                <w:lang w:val="de-DE" w:eastAsia="zh-CN"/>
              </w:rPr>
              <w:t>：</w:t>
            </w:r>
            <w:bookmarkEnd w:id="0"/>
            <w:r>
              <w:rPr>
                <w:rFonts w:hint="eastAsia" w:ascii="Times New Roman" w:hAnsi="Times New Roman" w:cs="Times New Roman"/>
                <w:szCs w:val="22"/>
                <w:lang w:val="de-DE" w:eastAsia="zh-CN"/>
              </w:rPr>
              <w:t>汽车零部件及配件制造（五大总成除外），</w:t>
            </w:r>
            <w:r>
              <w:rPr>
                <w:rFonts w:hint="eastAsia" w:ascii="Times New Roman" w:hAnsi="Times New Roman" w:cs="Times New Roman"/>
                <w:szCs w:val="22"/>
                <w:lang w:val="en-US" w:eastAsia="zh-CN"/>
              </w:rPr>
              <w:t>建筑工程用机械制造、铸造。</w:t>
            </w:r>
          </w:p>
          <w:p>
            <w:pPr>
              <w:spacing w:line="360" w:lineRule="auto"/>
              <w:ind w:firstLine="500" w:firstLineChars="200"/>
              <w:rPr>
                <w:rFonts w:ascii="宋体"/>
                <w:sz w:val="21"/>
                <w:szCs w:val="21"/>
              </w:rPr>
            </w:pPr>
            <w:r>
              <w:rPr>
                <w:rFonts w:hint="eastAsia" w:ascii="宋体" w:hAnsi="宋体"/>
                <w:spacing w:val="20"/>
                <w:sz w:val="21"/>
                <w:szCs w:val="21"/>
                <w:lang w:val="de-DE"/>
              </w:rPr>
              <w:t>经营范围包括了认证范围内产品。</w:t>
            </w:r>
          </w:p>
        </w:tc>
        <w:tc>
          <w:tcPr>
            <w:tcW w:w="1585" w:type="dxa"/>
          </w:tcPr>
          <w:p>
            <w:pP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领导作用和承诺、组织的岗位职责和权限</w:t>
            </w:r>
          </w:p>
        </w:tc>
        <w:tc>
          <w:tcPr>
            <w:tcW w:w="1311" w:type="dxa"/>
            <w:vAlign w:val="center"/>
          </w:tcPr>
          <w:p>
            <w:pPr>
              <w:rPr>
                <w:rFonts w:ascii="宋体"/>
                <w:b/>
                <w:szCs w:val="24"/>
              </w:rPr>
            </w:pPr>
            <w:r>
              <w:rPr>
                <w:rFonts w:ascii="宋体" w:hAnsi="宋体"/>
                <w:szCs w:val="24"/>
              </w:rPr>
              <w:t>E</w:t>
            </w:r>
            <w:r>
              <w:rPr>
                <w:rFonts w:hint="eastAsia" w:ascii="宋体" w:hAnsi="宋体"/>
                <w:szCs w:val="24"/>
              </w:rPr>
              <w:t>：</w:t>
            </w:r>
            <w:r>
              <w:rPr>
                <w:rFonts w:ascii="宋体" w:hAnsi="宋体"/>
                <w:szCs w:val="24"/>
              </w:rPr>
              <w:t>5.1</w:t>
            </w:r>
            <w:r>
              <w:rPr>
                <w:rFonts w:hint="eastAsia" w:ascii="宋体" w:hAnsi="宋体"/>
                <w:szCs w:val="24"/>
              </w:rPr>
              <w:t>，</w:t>
            </w:r>
            <w:r>
              <w:rPr>
                <w:rFonts w:ascii="宋体" w:hAnsi="宋体"/>
                <w:szCs w:val="24"/>
              </w:rPr>
              <w:t xml:space="preserve">5.3  </w:t>
            </w:r>
          </w:p>
        </w:tc>
        <w:tc>
          <w:tcPr>
            <w:tcW w:w="10004" w:type="dxa"/>
            <w:vAlign w:val="center"/>
          </w:tcPr>
          <w:p>
            <w:pPr>
              <w:spacing w:line="360" w:lineRule="auto"/>
              <w:ind w:firstLine="420" w:firstLineChars="200"/>
              <w:rPr>
                <w:rFonts w:ascii="宋体"/>
                <w:szCs w:val="24"/>
              </w:rPr>
            </w:pPr>
            <w:r>
              <w:rPr>
                <w:rFonts w:hint="eastAsia" w:ascii="宋体" w:hAnsi="宋体"/>
                <w:szCs w:val="24"/>
              </w:rPr>
              <w:t>据</w:t>
            </w:r>
            <w:r>
              <w:rPr>
                <w:rFonts w:hint="eastAsia" w:ascii="宋体" w:hAnsi="宋体"/>
                <w:szCs w:val="21"/>
              </w:rPr>
              <w:t>管代</w:t>
            </w:r>
            <w:r>
              <w:rPr>
                <w:rFonts w:hint="eastAsia" w:ascii="宋体" w:hAnsi="宋体"/>
                <w:szCs w:val="21"/>
                <w:lang w:val="en-US" w:eastAsia="zh-CN"/>
              </w:rPr>
              <w:t>林媛</w:t>
            </w:r>
            <w:r>
              <w:rPr>
                <w:rFonts w:hint="eastAsia" w:ascii="宋体" w:hAnsi="宋体"/>
                <w:szCs w:val="24"/>
              </w:rPr>
              <w:t>介绍，</w:t>
            </w:r>
            <w:r>
              <w:rPr>
                <w:rFonts w:hint="eastAsia" w:ascii="宋体" w:hAnsi="宋体"/>
                <w:szCs w:val="24"/>
                <w:lang w:val="en-US" w:eastAsia="zh-CN"/>
              </w:rPr>
              <w:t>公司于2019.8.1发布实施了环境管理体系，</w:t>
            </w:r>
            <w:r>
              <w:rPr>
                <w:rFonts w:hint="eastAsia" w:ascii="宋体" w:hAnsi="宋体"/>
                <w:szCs w:val="24"/>
              </w:rPr>
              <w:t>公司管理体系运行已满</w:t>
            </w:r>
            <w:r>
              <w:rPr>
                <w:rFonts w:hint="eastAsia" w:ascii="宋体" w:hAnsi="宋体"/>
                <w:szCs w:val="24"/>
                <w:lang w:val="en-US" w:eastAsia="zh-CN"/>
              </w:rPr>
              <w:t>3</w:t>
            </w:r>
            <w:r>
              <w:rPr>
                <w:rFonts w:hint="eastAsia" w:ascii="宋体" w:hAnsi="宋体"/>
                <w:szCs w:val="24"/>
              </w:rPr>
              <w:t>个月。对部门及其职责进行了规定，设有</w:t>
            </w:r>
            <w:r>
              <w:rPr>
                <w:rFonts w:hint="eastAsia" w:ascii="宋体" w:hAnsi="宋体"/>
                <w:szCs w:val="24"/>
                <w:lang w:val="en-US" w:eastAsia="zh-CN"/>
              </w:rPr>
              <w:t>综合管理部、质量管理部</w:t>
            </w:r>
            <w:r>
              <w:rPr>
                <w:rFonts w:hint="eastAsia" w:ascii="宋体" w:hAnsi="宋体"/>
                <w:szCs w:val="24"/>
              </w:rPr>
              <w:t>、</w:t>
            </w:r>
            <w:r>
              <w:rPr>
                <w:rFonts w:hint="eastAsia" w:ascii="宋体" w:hAnsi="宋体"/>
                <w:szCs w:val="24"/>
                <w:lang w:val="en-US" w:eastAsia="zh-CN"/>
              </w:rPr>
              <w:t>技术部、</w:t>
            </w:r>
            <w:r>
              <w:rPr>
                <w:rFonts w:hint="eastAsia" w:ascii="宋体" w:hAnsi="宋体"/>
                <w:szCs w:val="24"/>
              </w:rPr>
              <w:t>生产部</w:t>
            </w:r>
            <w:r>
              <w:rPr>
                <w:rFonts w:hint="eastAsia" w:ascii="宋体" w:hAnsi="宋体"/>
                <w:szCs w:val="24"/>
                <w:lang w:eastAsia="zh-CN"/>
              </w:rPr>
              <w:t>、</w:t>
            </w:r>
            <w:r>
              <w:rPr>
                <w:rFonts w:hint="eastAsia" w:ascii="宋体" w:hAnsi="宋体"/>
                <w:szCs w:val="24"/>
                <w:lang w:val="en-US" w:eastAsia="zh-CN"/>
              </w:rPr>
              <w:t>采购部、销售部、财务部</w:t>
            </w:r>
            <w:r>
              <w:rPr>
                <w:rFonts w:hint="eastAsia" w:ascii="宋体" w:hAnsi="宋体"/>
                <w:szCs w:val="24"/>
              </w:rPr>
              <w:t>，编制了岗位职责汇编，以文件上发的形式沟通各部门的职责及各部门之间工作的联系。</w:t>
            </w:r>
          </w:p>
          <w:p>
            <w:pPr>
              <w:spacing w:line="360" w:lineRule="auto"/>
              <w:ind w:firstLine="420" w:firstLineChars="200"/>
              <w:rPr>
                <w:rFonts w:ascii="宋体"/>
                <w:color w:val="000000"/>
                <w:szCs w:val="24"/>
              </w:rPr>
            </w:pPr>
            <w:r>
              <w:rPr>
                <w:rFonts w:hint="eastAsia" w:ascii="宋体" w:hAnsi="宋体"/>
                <w:szCs w:val="24"/>
              </w:rPr>
              <w:t>总经理</w:t>
            </w:r>
            <w:r>
              <w:rPr>
                <w:rFonts w:hint="eastAsia" w:ascii="宋体" w:hAnsi="宋体"/>
                <w:szCs w:val="24"/>
                <w:lang w:val="en-US" w:eastAsia="zh-CN"/>
              </w:rPr>
              <w:t>李峰</w:t>
            </w:r>
            <w:r>
              <w:rPr>
                <w:rFonts w:hint="eastAsia" w:ascii="宋体" w:hAnsi="宋体"/>
                <w:szCs w:val="24"/>
              </w:rPr>
              <w:t>，主要负责公司全面工作，</w:t>
            </w:r>
            <w:r>
              <w:rPr>
                <w:rFonts w:hint="eastAsia" w:ascii="宋体" w:hAnsi="宋体"/>
                <w:color w:val="000000"/>
                <w:szCs w:val="24"/>
              </w:rPr>
              <w:t>日常主要侧重于公司财务及市场工作，根据体系的要求，负责组织制定方针、目标，管理评审等工作；</w:t>
            </w:r>
          </w:p>
          <w:p>
            <w:pPr>
              <w:spacing w:line="360" w:lineRule="auto"/>
              <w:ind w:firstLine="420" w:firstLineChars="200"/>
              <w:rPr>
                <w:rFonts w:hint="eastAsia" w:ascii="宋体" w:eastAsia="宋体"/>
                <w:szCs w:val="24"/>
                <w:lang w:eastAsia="zh-CN"/>
              </w:rPr>
            </w:pPr>
            <w:r>
              <w:rPr>
                <w:rFonts w:hint="eastAsia" w:ascii="宋体" w:hAnsi="宋体"/>
                <w:szCs w:val="24"/>
              </w:rPr>
              <w:t>管代</w:t>
            </w:r>
            <w:r>
              <w:rPr>
                <w:rFonts w:hint="eastAsia" w:ascii="宋体" w:hAnsi="宋体"/>
                <w:sz w:val="21"/>
                <w:szCs w:val="21"/>
                <w:lang w:val="en-US" w:eastAsia="zh-CN"/>
              </w:rPr>
              <w:t>林媛</w:t>
            </w:r>
            <w:r>
              <w:rPr>
                <w:rFonts w:hint="eastAsia" w:ascii="宋体" w:hAnsi="宋体"/>
                <w:szCs w:val="24"/>
              </w:rPr>
              <w:t>，主要</w:t>
            </w:r>
            <w:r>
              <w:rPr>
                <w:rFonts w:hint="eastAsia" w:ascii="宋体" w:hAnsi="宋体"/>
                <w:szCs w:val="24"/>
                <w:lang w:val="en-US" w:eastAsia="zh-CN"/>
              </w:rPr>
              <w:t>职责</w:t>
            </w:r>
            <w:r>
              <w:rPr>
                <w:rFonts w:hint="eastAsia" w:ascii="宋体" w:hAnsi="宋体"/>
                <w:szCs w:val="24"/>
                <w:lang w:eastAsia="zh-CN"/>
              </w:rPr>
              <w:t>：</w:t>
            </w:r>
          </w:p>
          <w:p>
            <w:pPr>
              <w:spacing w:line="360" w:lineRule="auto"/>
              <w:ind w:firstLine="420" w:firstLineChars="200"/>
              <w:rPr>
                <w:rFonts w:hint="eastAsia" w:ascii="宋体" w:hAnsi="宋体"/>
                <w:szCs w:val="24"/>
              </w:rPr>
            </w:pPr>
            <w:r>
              <w:rPr>
                <w:rFonts w:hint="eastAsia" w:ascii="宋体" w:hAnsi="宋体"/>
                <w:szCs w:val="24"/>
              </w:rPr>
              <w:t>a）确保环境管理体系所需的过程得到建立、实施和保持；组织编制、修改环境管理体系手册；</w:t>
            </w:r>
          </w:p>
          <w:p>
            <w:pPr>
              <w:spacing w:line="360" w:lineRule="auto"/>
              <w:ind w:firstLine="420" w:firstLineChars="200"/>
              <w:rPr>
                <w:rFonts w:hint="eastAsia" w:ascii="宋体" w:hAnsi="宋体"/>
                <w:szCs w:val="24"/>
              </w:rPr>
            </w:pPr>
            <w:r>
              <w:rPr>
                <w:rFonts w:hint="eastAsia" w:ascii="宋体" w:hAnsi="宋体"/>
                <w:szCs w:val="24"/>
              </w:rPr>
              <w:t>b）向总经理报告环境管理体系的运行情况、业绩和任何改进的需要；</w:t>
            </w:r>
          </w:p>
          <w:p>
            <w:pPr>
              <w:spacing w:line="360" w:lineRule="auto"/>
              <w:ind w:firstLine="420" w:firstLineChars="200"/>
              <w:rPr>
                <w:rFonts w:hint="eastAsia" w:ascii="宋体" w:hAnsi="宋体"/>
                <w:szCs w:val="24"/>
              </w:rPr>
            </w:pPr>
            <w:r>
              <w:rPr>
                <w:rFonts w:hint="eastAsia" w:ascii="宋体" w:hAnsi="宋体"/>
                <w:szCs w:val="24"/>
              </w:rPr>
              <w:t>c）确保在整个公司内提高员工的环境意识；</w:t>
            </w:r>
          </w:p>
          <w:p>
            <w:pPr>
              <w:spacing w:line="360" w:lineRule="auto"/>
              <w:ind w:firstLine="420" w:firstLineChars="200"/>
              <w:rPr>
                <w:rFonts w:hint="eastAsia" w:ascii="宋体" w:hAnsi="宋体"/>
                <w:szCs w:val="24"/>
              </w:rPr>
            </w:pPr>
            <w:r>
              <w:rPr>
                <w:rFonts w:hint="eastAsia" w:ascii="宋体" w:hAnsi="宋体"/>
                <w:szCs w:val="24"/>
              </w:rPr>
              <w:t>d）配合总经理确保提供、配置、调度体系建立和运行所需的资源、技术和人员；</w:t>
            </w:r>
          </w:p>
          <w:p>
            <w:pPr>
              <w:spacing w:line="360" w:lineRule="auto"/>
              <w:ind w:firstLine="420" w:firstLineChars="200"/>
              <w:rPr>
                <w:rFonts w:hint="eastAsia" w:ascii="宋体" w:hAnsi="宋体"/>
                <w:szCs w:val="24"/>
              </w:rPr>
            </w:pPr>
            <w:r>
              <w:rPr>
                <w:rFonts w:hint="eastAsia" w:ascii="宋体" w:hAnsi="宋体"/>
                <w:szCs w:val="24"/>
              </w:rPr>
              <w:t>e）组织实施公司环境管理体系内部审核，任命内审组长；负责环境体系认证审核全过程的组织领导工作；</w:t>
            </w:r>
          </w:p>
          <w:p>
            <w:pPr>
              <w:spacing w:line="360" w:lineRule="auto"/>
              <w:ind w:firstLine="420" w:firstLineChars="200"/>
              <w:rPr>
                <w:rFonts w:hint="eastAsia" w:ascii="宋体" w:hAnsi="宋体"/>
                <w:szCs w:val="24"/>
              </w:rPr>
            </w:pPr>
            <w:r>
              <w:rPr>
                <w:rFonts w:hint="eastAsia" w:ascii="宋体" w:hAnsi="宋体"/>
                <w:szCs w:val="24"/>
              </w:rPr>
              <w:t>f）确保在策划和实施境环境管理体系变更时保持其完整性；</w:t>
            </w:r>
          </w:p>
          <w:p>
            <w:pPr>
              <w:spacing w:line="360" w:lineRule="auto"/>
              <w:ind w:firstLine="420" w:firstLineChars="200"/>
              <w:rPr>
                <w:rFonts w:hint="eastAsia" w:ascii="宋体" w:hAnsi="宋体"/>
                <w:szCs w:val="24"/>
              </w:rPr>
            </w:pPr>
            <w:r>
              <w:rPr>
                <w:rFonts w:hint="eastAsia" w:ascii="宋体" w:hAnsi="宋体"/>
                <w:szCs w:val="24"/>
              </w:rPr>
              <w:t>g) 对内负责各部门之间体系运作的协调，对外负责环境管理体系有关事宜的联络。</w:t>
            </w:r>
          </w:p>
          <w:p>
            <w:pPr>
              <w:spacing w:line="360" w:lineRule="auto"/>
              <w:ind w:firstLine="420" w:firstLineChars="200"/>
              <w:rPr>
                <w:rFonts w:ascii="宋体"/>
                <w:szCs w:val="24"/>
              </w:rPr>
            </w:pPr>
            <w:r>
              <w:rPr>
                <w:rFonts w:hint="eastAsia" w:ascii="宋体" w:hAnsi="宋体"/>
                <w:szCs w:val="24"/>
              </w:rPr>
              <w:t>总经理主持建立了环境管理体系，对管理体系的运行和保持进行了适当的授权，提供了必需的资源，能履行其管理承诺。</w:t>
            </w:r>
          </w:p>
          <w:p>
            <w:pPr>
              <w:spacing w:line="360" w:lineRule="auto"/>
              <w:ind w:firstLine="420" w:firstLineChars="200"/>
              <w:rPr>
                <w:rFonts w:ascii="宋体"/>
                <w:szCs w:val="24"/>
              </w:rPr>
            </w:pPr>
            <w:r>
              <w:rPr>
                <w:rFonts w:hint="eastAsia" w:ascii="宋体" w:hAnsi="宋体"/>
                <w:szCs w:val="24"/>
              </w:rPr>
              <w:t>经交流总经理和管代熟悉管理体系的基本运行情况，比较重视体系建设。</w:t>
            </w:r>
          </w:p>
          <w:p>
            <w:pPr>
              <w:spacing w:line="360" w:lineRule="auto"/>
              <w:ind w:firstLine="420" w:firstLineChars="200"/>
              <w:rPr>
                <w:rFonts w:ascii="宋体"/>
                <w:szCs w:val="24"/>
              </w:rPr>
            </w:pPr>
            <w:r>
              <w:rPr>
                <w:rFonts w:hint="eastAsia" w:ascii="宋体" w:hAnsi="宋体"/>
                <w:szCs w:val="24"/>
              </w:rPr>
              <w:t>组织从</w:t>
            </w:r>
            <w:r>
              <w:rPr>
                <w:rFonts w:ascii="宋体" w:hAnsi="宋体"/>
                <w:szCs w:val="24"/>
              </w:rPr>
              <w:t>2019</w:t>
            </w:r>
            <w:r>
              <w:rPr>
                <w:rFonts w:hint="eastAsia" w:ascii="宋体" w:hAnsi="宋体"/>
                <w:szCs w:val="24"/>
              </w:rPr>
              <w:t>年</w:t>
            </w:r>
            <w:r>
              <w:rPr>
                <w:rFonts w:hint="eastAsia" w:ascii="宋体" w:hAnsi="宋体"/>
                <w:szCs w:val="24"/>
                <w:lang w:val="en-US" w:eastAsia="zh-CN"/>
              </w:rPr>
              <w:t>6</w:t>
            </w:r>
            <w:r>
              <w:rPr>
                <w:rFonts w:hint="eastAsia" w:ascii="宋体" w:hAnsi="宋体"/>
                <w:szCs w:val="24"/>
              </w:rPr>
              <w:t>月开始运行</w:t>
            </w:r>
            <w:r>
              <w:rPr>
                <w:rFonts w:hint="eastAsia" w:ascii="宋体" w:hAnsi="宋体"/>
                <w:szCs w:val="24"/>
                <w:lang w:val="en-US" w:eastAsia="zh-CN"/>
              </w:rPr>
              <w:t>环境管理</w:t>
            </w:r>
            <w:r>
              <w:rPr>
                <w:rFonts w:hint="eastAsia" w:ascii="宋体" w:hAnsi="宋体"/>
                <w:szCs w:val="24"/>
              </w:rPr>
              <w:t>体系，组织了内审员培训，识别了生产的过程及其相互关系，企业提供编号：</w:t>
            </w:r>
            <w:r>
              <w:rPr>
                <w:rFonts w:hint="eastAsia" w:ascii="宋体" w:hAnsi="宋体"/>
                <w:szCs w:val="24"/>
                <w:lang w:val="en-US" w:eastAsia="zh-CN"/>
              </w:rPr>
              <w:t>EMS/HJ-101-2019</w:t>
            </w:r>
            <w:r>
              <w:rPr>
                <w:rFonts w:hint="eastAsia" w:ascii="宋体" w:hAnsi="宋体"/>
                <w:szCs w:val="24"/>
              </w:rPr>
              <w:t>《</w:t>
            </w:r>
            <w:r>
              <w:rPr>
                <w:rFonts w:hint="eastAsia" w:ascii="宋体" w:hAnsi="宋体"/>
                <w:szCs w:val="24"/>
                <w:lang w:val="en-US" w:eastAsia="zh-CN"/>
              </w:rPr>
              <w:t>环境</w:t>
            </w:r>
            <w:r>
              <w:rPr>
                <w:rFonts w:hint="eastAsia" w:ascii="宋体" w:hAnsi="宋体"/>
                <w:szCs w:val="24"/>
              </w:rPr>
              <w:t>管理手册》，依据</w:t>
            </w:r>
            <w:r>
              <w:rPr>
                <w:rFonts w:ascii="宋体" w:hAnsi="宋体"/>
                <w:szCs w:val="24"/>
              </w:rPr>
              <w:t>IS014001:2015</w:t>
            </w:r>
            <w:r>
              <w:rPr>
                <w:rFonts w:hint="eastAsia" w:ascii="宋体" w:hAnsi="宋体"/>
                <w:szCs w:val="24"/>
              </w:rPr>
              <w:t>标准</w:t>
            </w:r>
            <w:r>
              <w:rPr>
                <w:rFonts w:hint="eastAsia" w:ascii="宋体" w:hAnsi="宋体"/>
                <w:szCs w:val="24"/>
                <w:lang w:eastAsia="zh-CN"/>
              </w:rPr>
              <w:t>，</w:t>
            </w:r>
            <w:r>
              <w:rPr>
                <w:rFonts w:ascii="宋体" w:hAnsi="宋体"/>
                <w:szCs w:val="24"/>
              </w:rPr>
              <w:t>2019.</w:t>
            </w:r>
            <w:r>
              <w:rPr>
                <w:rFonts w:hint="eastAsia" w:ascii="宋体" w:hAnsi="宋体"/>
                <w:szCs w:val="24"/>
                <w:lang w:val="en-US" w:eastAsia="zh-CN"/>
              </w:rPr>
              <w:t>8.1</w:t>
            </w:r>
            <w:r>
              <w:rPr>
                <w:rFonts w:hint="eastAsia" w:ascii="宋体" w:hAnsi="宋体"/>
                <w:szCs w:val="24"/>
              </w:rPr>
              <w:t>发布，</w:t>
            </w:r>
            <w:r>
              <w:rPr>
                <w:rFonts w:ascii="宋体" w:hAnsi="宋体"/>
                <w:szCs w:val="24"/>
              </w:rPr>
              <w:t>2019.</w:t>
            </w:r>
            <w:r>
              <w:rPr>
                <w:rFonts w:hint="eastAsia" w:ascii="宋体" w:hAnsi="宋体"/>
                <w:szCs w:val="24"/>
                <w:lang w:val="en-US" w:eastAsia="zh-CN"/>
              </w:rPr>
              <w:t>8</w:t>
            </w:r>
            <w:r>
              <w:rPr>
                <w:rFonts w:ascii="宋体" w:hAnsi="宋体"/>
                <w:szCs w:val="24"/>
              </w:rPr>
              <w:t>.</w:t>
            </w:r>
            <w:r>
              <w:rPr>
                <w:rFonts w:hint="eastAsia" w:ascii="宋体" w:hAnsi="宋体"/>
                <w:szCs w:val="24"/>
                <w:lang w:val="en-US" w:eastAsia="zh-CN"/>
              </w:rPr>
              <w:t>1</w:t>
            </w:r>
            <w:r>
              <w:rPr>
                <w:rFonts w:hint="eastAsia" w:ascii="宋体" w:hAnsi="宋体"/>
                <w:szCs w:val="24"/>
              </w:rPr>
              <w:t>实施；总经理</w:t>
            </w:r>
            <w:r>
              <w:rPr>
                <w:rFonts w:hint="eastAsia" w:ascii="宋体" w:hAnsi="宋体"/>
                <w:szCs w:val="24"/>
                <w:lang w:val="en-US" w:eastAsia="zh-CN"/>
              </w:rPr>
              <w:t>李峰</w:t>
            </w:r>
            <w:r>
              <w:rPr>
                <w:rFonts w:hint="eastAsia" w:ascii="宋体" w:hAnsi="宋体"/>
                <w:szCs w:val="24"/>
              </w:rPr>
              <w:t>批准。任命管代：</w:t>
            </w:r>
            <w:r>
              <w:rPr>
                <w:rFonts w:hint="eastAsia" w:ascii="宋体" w:hAnsi="宋体"/>
                <w:szCs w:val="21"/>
                <w:lang w:val="en-US" w:eastAsia="zh-CN"/>
              </w:rPr>
              <w:t>林媛</w:t>
            </w:r>
            <w:r>
              <w:rPr>
                <w:rFonts w:hint="eastAsia" w:ascii="宋体" w:hAnsi="宋体"/>
                <w:szCs w:val="24"/>
              </w:rPr>
              <w:t>；现有手册从发布实施以来已经运行</w:t>
            </w:r>
            <w:r>
              <w:rPr>
                <w:rFonts w:hint="eastAsia" w:ascii="宋体" w:hAnsi="宋体"/>
                <w:szCs w:val="24"/>
                <w:lang w:val="en-US" w:eastAsia="zh-CN"/>
              </w:rPr>
              <w:t>3</w:t>
            </w:r>
            <w:r>
              <w:rPr>
                <w:rFonts w:hint="eastAsia" w:ascii="宋体" w:hAnsi="宋体"/>
                <w:szCs w:val="24"/>
              </w:rPr>
              <w:t>个月以上。</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理解组织及其环境</w:t>
            </w:r>
          </w:p>
        </w:tc>
        <w:tc>
          <w:tcPr>
            <w:tcW w:w="1311" w:type="dxa"/>
            <w:vAlign w:val="center"/>
          </w:tcPr>
          <w:p>
            <w:pPr>
              <w:rPr>
                <w:rFonts w:ascii="宋体"/>
                <w:b/>
                <w:szCs w:val="24"/>
              </w:rPr>
            </w:pPr>
            <w:r>
              <w:rPr>
                <w:rFonts w:ascii="宋体" w:hAnsi="宋体"/>
                <w:szCs w:val="24"/>
              </w:rPr>
              <w:t>E</w:t>
            </w:r>
            <w:r>
              <w:rPr>
                <w:rFonts w:hint="eastAsia" w:ascii="宋体" w:hAnsi="宋体"/>
                <w:szCs w:val="24"/>
              </w:rPr>
              <w:t>：</w:t>
            </w:r>
            <w:r>
              <w:rPr>
                <w:rFonts w:ascii="宋体" w:hAnsi="宋体"/>
                <w:szCs w:val="24"/>
              </w:rPr>
              <w:t>4.1</w:t>
            </w:r>
          </w:p>
        </w:tc>
        <w:tc>
          <w:tcPr>
            <w:tcW w:w="10004" w:type="dxa"/>
            <w:vAlign w:val="center"/>
          </w:tcPr>
          <w:p>
            <w:pPr>
              <w:spacing w:line="360" w:lineRule="auto"/>
              <w:ind w:firstLine="420" w:firstLineChars="200"/>
              <w:rPr>
                <w:rFonts w:ascii="宋体" w:hAnsi="宋体"/>
                <w:color w:val="000000"/>
                <w:szCs w:val="24"/>
              </w:rPr>
            </w:pPr>
            <w:r>
              <w:rPr>
                <w:rFonts w:hint="eastAsia" w:ascii="宋体" w:hAnsi="宋体"/>
                <w:color w:val="000000"/>
                <w:szCs w:val="24"/>
              </w:rPr>
              <w:t>提供</w:t>
            </w:r>
            <w:r>
              <w:rPr>
                <w:rFonts w:hint="eastAsia" w:ascii="宋体" w:hAnsi="宋体"/>
                <w:szCs w:val="24"/>
                <w:lang w:val="en-US" w:eastAsia="zh-CN"/>
              </w:rPr>
              <w:t>MS/HJ-101-2019</w:t>
            </w:r>
            <w:r>
              <w:rPr>
                <w:rFonts w:hint="eastAsia" w:ascii="宋体" w:hAnsi="宋体"/>
                <w:szCs w:val="24"/>
              </w:rPr>
              <w:t>《</w:t>
            </w:r>
            <w:r>
              <w:rPr>
                <w:rFonts w:hint="eastAsia" w:ascii="宋体" w:hAnsi="宋体"/>
                <w:szCs w:val="24"/>
                <w:lang w:val="en-US" w:eastAsia="zh-CN"/>
              </w:rPr>
              <w:t>环境</w:t>
            </w:r>
            <w:r>
              <w:rPr>
                <w:rFonts w:hint="eastAsia" w:ascii="宋体" w:hAnsi="宋体"/>
                <w:szCs w:val="24"/>
              </w:rPr>
              <w:t>管理手册》</w:t>
            </w:r>
            <w:r>
              <w:rPr>
                <w:rFonts w:hint="eastAsia" w:ascii="宋体" w:hAnsi="宋体"/>
                <w:color w:val="000000"/>
                <w:szCs w:val="24"/>
              </w:rPr>
              <w:t>，对公司地理位置、国内市场地位、法律法规要求、公司内部文化观价值观、内外部环境变化等均作出描述。</w:t>
            </w:r>
            <w:r>
              <w:rPr>
                <w:rFonts w:ascii="宋体" w:hAnsi="宋体"/>
                <w:color w:val="000000"/>
                <w:szCs w:val="24"/>
              </w:rPr>
              <w:t xml:space="preserve"> </w:t>
            </w:r>
          </w:p>
          <w:p>
            <w:pPr>
              <w:spacing w:line="360" w:lineRule="auto"/>
              <w:ind w:firstLine="420" w:firstLineChars="200"/>
              <w:rPr>
                <w:rFonts w:ascii="宋体"/>
                <w:color w:val="000000"/>
                <w:szCs w:val="24"/>
              </w:rPr>
            </w:pPr>
            <w:r>
              <w:rPr>
                <w:rFonts w:hint="eastAsia" w:ascii="宋体" w:hAnsi="宋体"/>
                <w:color w:val="000000"/>
                <w:szCs w:val="24"/>
              </w:rPr>
              <w:t>与总经理</w:t>
            </w:r>
            <w:r>
              <w:rPr>
                <w:rFonts w:hint="eastAsia" w:ascii="宋体" w:hAnsi="宋体"/>
                <w:szCs w:val="21"/>
                <w:lang w:val="en-US" w:eastAsia="zh-CN"/>
              </w:rPr>
              <w:t>李峰</w:t>
            </w:r>
            <w:r>
              <w:rPr>
                <w:rFonts w:hint="eastAsia" w:ascii="宋体" w:hAnsi="宋体"/>
                <w:color w:val="000000"/>
                <w:szCs w:val="24"/>
              </w:rPr>
              <w:t>沟通，介绍公司始建于1988年，总投资8000万元，占地面积80亩，建筑面积约30000平方米，经过近30年的资源、管理和技术积累，两代人的不懈努力，特别是近几年的技术改造和基础设施扩建，公司已初具规模；公司</w:t>
            </w:r>
            <w:r>
              <w:rPr>
                <w:rFonts w:hint="eastAsia" w:ascii="宋体" w:hAnsi="宋体"/>
                <w:color w:val="000000"/>
                <w:szCs w:val="24"/>
                <w:lang w:val="en-US" w:eastAsia="zh-CN"/>
              </w:rPr>
              <w:t>的</w:t>
            </w:r>
            <w:r>
              <w:rPr>
                <w:rFonts w:hint="eastAsia" w:ascii="宋体" w:hAnsi="宋体"/>
                <w:color w:val="000000"/>
                <w:szCs w:val="24"/>
              </w:rPr>
              <w:t>发展历程、形成公司文化的、</w:t>
            </w:r>
            <w:r>
              <w:rPr>
                <w:rFonts w:hint="eastAsia" w:ascii="宋体" w:hAnsi="宋体"/>
                <w:color w:val="000000"/>
                <w:szCs w:val="24"/>
                <w:lang w:val="en-US" w:eastAsia="zh-CN"/>
              </w:rPr>
              <w:t>手册描述了企业</w:t>
            </w:r>
            <w:r>
              <w:rPr>
                <w:rFonts w:hint="eastAsia" w:ascii="宋体" w:hAnsi="宋体"/>
                <w:color w:val="000000"/>
                <w:szCs w:val="24"/>
              </w:rPr>
              <w:t>长短期发展目标、价值观的沟通，并对如何创造公司良好的内部环境提出要求，对公司目前所处的外部环境也做了简单分析。公司介绍，销售的产品</w:t>
            </w:r>
            <w:r>
              <w:rPr>
                <w:rFonts w:hint="eastAsia" w:ascii="宋体" w:hAnsi="宋体"/>
                <w:color w:val="000000"/>
                <w:szCs w:val="24"/>
                <w:lang w:val="en-US" w:eastAsia="zh-CN"/>
              </w:rPr>
              <w:t>主要服务于陕西法士特公司，具有一定的供货量，</w:t>
            </w:r>
            <w:r>
              <w:rPr>
                <w:rFonts w:hint="eastAsia" w:ascii="宋体" w:hAnsi="宋体"/>
                <w:color w:val="000000"/>
                <w:szCs w:val="24"/>
              </w:rPr>
              <w:t>占据一定市场地位。</w:t>
            </w:r>
          </w:p>
          <w:p>
            <w:pPr>
              <w:spacing w:line="360" w:lineRule="auto"/>
              <w:ind w:firstLine="420" w:firstLineChars="200"/>
              <w:rPr>
                <w:rFonts w:ascii="宋体"/>
                <w:szCs w:val="24"/>
              </w:rPr>
            </w:pPr>
            <w:r>
              <w:rPr>
                <w:rFonts w:hint="eastAsia" w:ascii="宋体" w:hAnsi="宋体"/>
                <w:color w:val="000000"/>
                <w:szCs w:val="24"/>
                <w:lang w:val="en-US" w:eastAsia="zh-CN"/>
              </w:rPr>
              <w:t>对</w:t>
            </w:r>
            <w:r>
              <w:rPr>
                <w:rFonts w:hint="eastAsia" w:ascii="宋体" w:hAnsi="宋体"/>
                <w:color w:val="000000"/>
                <w:szCs w:val="24"/>
              </w:rPr>
              <w:t>内外部环境因素</w:t>
            </w:r>
            <w:r>
              <w:rPr>
                <w:rFonts w:hint="eastAsia" w:ascii="宋体" w:hAnsi="宋体"/>
                <w:color w:val="000000"/>
                <w:szCs w:val="24"/>
                <w:lang w:val="en-US" w:eastAsia="zh-CN"/>
              </w:rPr>
              <w:t>进行了</w:t>
            </w:r>
            <w:r>
              <w:rPr>
                <w:rFonts w:hint="eastAsia" w:ascii="宋体" w:hAnsi="宋体"/>
                <w:color w:val="000000"/>
                <w:szCs w:val="24"/>
              </w:rPr>
              <w:t>识别和评审</w:t>
            </w:r>
            <w:r>
              <w:rPr>
                <w:rFonts w:hint="eastAsia" w:ascii="宋体" w:hAnsi="宋体"/>
                <w:color w:val="000000"/>
                <w:szCs w:val="24"/>
                <w:lang w:eastAsia="zh-CN"/>
              </w:rPr>
              <w:t>，</w:t>
            </w:r>
            <w:r>
              <w:rPr>
                <w:rFonts w:hint="eastAsia" w:ascii="宋体" w:hAnsi="宋体"/>
                <w:color w:val="000000"/>
                <w:szCs w:val="24"/>
                <w:lang w:val="en-US" w:eastAsia="zh-CN"/>
              </w:rPr>
              <w:t>并提供</w:t>
            </w:r>
            <w:r>
              <w:rPr>
                <w:rFonts w:hint="eastAsia" w:ascii="宋体" w:hAnsi="宋体"/>
                <w:color w:val="000000"/>
                <w:szCs w:val="24"/>
              </w:rPr>
              <w:t>《环境分析评审确定表》，识别了相关内容，确定了监视、评审方法、责任部门、监视频率等。如内部因素：从</w:t>
            </w:r>
            <w:r>
              <w:rPr>
                <w:rFonts w:hint="eastAsia" w:ascii="宋体" w:hAnsi="宋体"/>
                <w:color w:val="000000"/>
                <w:szCs w:val="24"/>
                <w:lang w:val="en-US" w:eastAsia="zh-CN"/>
              </w:rPr>
              <w:t>顾客、供方、员工</w:t>
            </w:r>
            <w:r>
              <w:rPr>
                <w:rFonts w:hint="eastAsia" w:ascii="宋体" w:hAnsi="宋体"/>
                <w:color w:val="000000"/>
                <w:szCs w:val="24"/>
              </w:rPr>
              <w:t>、财务、过程环境、市场营销能力等，外部因素从</w:t>
            </w:r>
            <w:r>
              <w:rPr>
                <w:rFonts w:hint="eastAsia" w:ascii="宋体" w:hAnsi="宋体"/>
                <w:color w:val="000000"/>
                <w:szCs w:val="24"/>
                <w:lang w:val="en-US" w:eastAsia="zh-CN"/>
              </w:rPr>
              <w:t>市场</w:t>
            </w:r>
            <w:r>
              <w:rPr>
                <w:rFonts w:hint="eastAsia" w:ascii="宋体" w:hAnsi="宋体"/>
                <w:color w:val="000000"/>
                <w:szCs w:val="24"/>
              </w:rPr>
              <w:t>因素、</w:t>
            </w:r>
            <w:r>
              <w:rPr>
                <w:rFonts w:hint="eastAsia" w:ascii="宋体" w:hAnsi="宋体"/>
                <w:color w:val="000000"/>
                <w:szCs w:val="24"/>
                <w:lang w:val="en-US" w:eastAsia="zh-CN"/>
              </w:rPr>
              <w:t>环境保护政策、自然地理位置</w:t>
            </w:r>
            <w:r>
              <w:rPr>
                <w:rFonts w:hint="eastAsia" w:ascii="宋体" w:hAnsi="宋体"/>
                <w:color w:val="000000"/>
                <w:szCs w:val="24"/>
              </w:rPr>
              <w:t>、竞争</w:t>
            </w:r>
            <w:r>
              <w:rPr>
                <w:rFonts w:hint="eastAsia" w:ascii="宋体" w:hAnsi="宋体"/>
                <w:color w:val="000000"/>
                <w:szCs w:val="24"/>
                <w:lang w:val="en-US" w:eastAsia="zh-CN"/>
              </w:rPr>
              <w:t>对手</w:t>
            </w:r>
            <w:r>
              <w:rPr>
                <w:rFonts w:hint="eastAsia" w:ascii="宋体" w:hAnsi="宋体"/>
                <w:color w:val="000000"/>
                <w:szCs w:val="24"/>
              </w:rPr>
              <w:t>、市场</w:t>
            </w:r>
            <w:r>
              <w:rPr>
                <w:rFonts w:hint="eastAsia" w:ascii="宋体" w:hAnsi="宋体"/>
                <w:color w:val="000000"/>
                <w:szCs w:val="24"/>
                <w:lang w:val="en-US" w:eastAsia="zh-CN"/>
              </w:rPr>
              <w:t>因素</w:t>
            </w:r>
            <w:r>
              <w:rPr>
                <w:rFonts w:hint="eastAsia" w:ascii="宋体" w:hAnsi="宋体"/>
                <w:color w:val="000000"/>
                <w:szCs w:val="24"/>
              </w:rPr>
              <w:t>等方面</w:t>
            </w:r>
            <w:r>
              <w:rPr>
                <w:rFonts w:hint="eastAsia" w:ascii="宋体" w:hAnsi="宋体"/>
                <w:color w:val="000000"/>
                <w:szCs w:val="24"/>
                <w:lang w:eastAsia="zh-CN"/>
              </w:rPr>
              <w:t>，</w:t>
            </w:r>
            <w:r>
              <w:rPr>
                <w:rFonts w:hint="eastAsia" w:ascii="宋体" w:hAnsi="宋体"/>
                <w:color w:val="000000"/>
                <w:szCs w:val="24"/>
                <w:lang w:val="en-US" w:eastAsia="zh-CN"/>
              </w:rPr>
              <w:t>评审结果：1、履行合规义务承诺2、积极推进环保产品的设计开发、不断提升先进的绿色生产工艺3、废弃物分类收集处置4、不断增强员工环境意识提升5、实施环境管理体系并的有效运行</w:t>
            </w:r>
            <w:r>
              <w:rPr>
                <w:rFonts w:hint="eastAsia" w:ascii="宋体" w:hAnsi="宋体"/>
                <w:color w:val="000000"/>
                <w:szCs w:val="24"/>
              </w:rPr>
              <w:t>监视</w:t>
            </w:r>
            <w:r>
              <w:rPr>
                <w:rFonts w:hint="eastAsia" w:ascii="宋体" w:hAnsi="宋体"/>
                <w:color w:val="000000"/>
                <w:szCs w:val="24"/>
                <w:lang w:eastAsia="zh-CN"/>
              </w:rPr>
              <w:t>，</w:t>
            </w:r>
            <w:r>
              <w:rPr>
                <w:rFonts w:hint="eastAsia" w:ascii="宋体" w:hAnsi="宋体"/>
                <w:color w:val="000000"/>
                <w:szCs w:val="24"/>
              </w:rPr>
              <w:t>监视方法：网上收集、沟通会、政府部门获取。</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宋体"/>
                <w:b/>
                <w:szCs w:val="24"/>
              </w:rPr>
            </w:pPr>
            <w:r>
              <w:rPr>
                <w:rFonts w:hint="eastAsia" w:ascii="宋体" w:hAnsi="宋体"/>
                <w:szCs w:val="24"/>
              </w:rPr>
              <w:t>理解相关方的需求和期望</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4.2</w:t>
            </w:r>
          </w:p>
        </w:tc>
        <w:tc>
          <w:tcPr>
            <w:tcW w:w="10004" w:type="dxa"/>
            <w:vAlign w:val="center"/>
          </w:tcPr>
          <w:p>
            <w:pPr>
              <w:spacing w:line="360" w:lineRule="auto"/>
              <w:ind w:firstLine="420" w:firstLineChars="200"/>
              <w:rPr>
                <w:rFonts w:ascii="宋体"/>
                <w:color w:val="000000"/>
                <w:szCs w:val="24"/>
              </w:rPr>
            </w:pPr>
            <w:r>
              <w:rPr>
                <w:rFonts w:hint="eastAsia" w:ascii="宋体" w:hAnsi="宋体"/>
                <w:color w:val="000000"/>
                <w:szCs w:val="24"/>
                <w:lang w:val="en-US" w:eastAsia="zh-CN"/>
              </w:rPr>
              <w:t>发布并实施了《相关方管理控制程序》，提供《相关方需求和期望确认表》，</w:t>
            </w:r>
            <w:r>
              <w:rPr>
                <w:rFonts w:hint="eastAsia" w:ascii="宋体" w:hAnsi="宋体"/>
                <w:color w:val="000000"/>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ascii="宋体"/>
                <w:szCs w:val="24"/>
              </w:rPr>
            </w:pPr>
            <w:r>
              <w:rPr>
                <w:rFonts w:hint="eastAsia" w:ascii="宋体" w:hAnsi="宋体"/>
                <w:szCs w:val="24"/>
              </w:rPr>
              <w:t>基本识别了与组织管理体系有关的相关方和要求</w:t>
            </w:r>
            <w:r>
              <w:rPr>
                <w:rFonts w:hint="eastAsia" w:ascii="宋体" w:hAnsi="宋体"/>
                <w:szCs w:val="24"/>
                <w:lang w:val="zh-CN"/>
              </w:rPr>
              <w:t>。</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宋体"/>
                <w:szCs w:val="24"/>
              </w:rPr>
            </w:pPr>
            <w:r>
              <w:rPr>
                <w:rFonts w:hint="eastAsia" w:ascii="宋体" w:hAnsi="宋体"/>
                <w:szCs w:val="24"/>
              </w:rPr>
              <w:t>环境管理体系的范围</w:t>
            </w:r>
          </w:p>
        </w:tc>
        <w:tc>
          <w:tcPr>
            <w:tcW w:w="1311" w:type="dxa"/>
            <w:vAlign w:val="center"/>
          </w:tcPr>
          <w:p>
            <w:pPr>
              <w:spacing w:line="360" w:lineRule="auto"/>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4.3 </w:t>
            </w:r>
          </w:p>
        </w:tc>
        <w:tc>
          <w:tcPr>
            <w:tcW w:w="10004" w:type="dxa"/>
            <w:vAlign w:val="center"/>
          </w:tcPr>
          <w:p>
            <w:pPr>
              <w:spacing w:line="360" w:lineRule="auto"/>
              <w:jc w:val="left"/>
              <w:rPr>
                <w:rFonts w:ascii="宋体"/>
                <w:szCs w:val="24"/>
              </w:rPr>
            </w:pPr>
            <w:r>
              <w:rPr>
                <w:rFonts w:hint="eastAsia" w:ascii="宋体" w:hAnsi="宋体"/>
                <w:szCs w:val="24"/>
              </w:rPr>
              <w:t>经确认企业的管理体系范围是：</w:t>
            </w:r>
          </w:p>
          <w:p>
            <w:pPr>
              <w:spacing w:line="360" w:lineRule="auto"/>
              <w:rPr>
                <w:rFonts w:ascii="宋体"/>
                <w:szCs w:val="24"/>
              </w:rPr>
            </w:pPr>
            <w:r>
              <w:rPr>
                <w:rFonts w:ascii="宋体" w:hAnsi="宋体"/>
                <w:szCs w:val="24"/>
              </w:rPr>
              <w:t xml:space="preserve">EMS: </w:t>
            </w:r>
            <w:r>
              <w:rPr>
                <w:rFonts w:hint="eastAsia" w:ascii="Times New Roman" w:hAnsi="Times New Roman" w:cs="Times New Roman"/>
                <w:szCs w:val="22"/>
                <w:lang w:val="de-DE" w:eastAsia="zh-CN"/>
              </w:rPr>
              <w:t>汽车零部件及配件制造</w:t>
            </w:r>
            <w:r>
              <w:rPr>
                <w:rFonts w:hint="eastAsia" w:ascii="宋体" w:hAnsi="宋体"/>
                <w:sz w:val="21"/>
                <w:szCs w:val="21"/>
              </w:rPr>
              <w:t>的生产</w:t>
            </w:r>
            <w:r>
              <w:rPr>
                <w:rFonts w:hint="eastAsia" w:ascii="宋体" w:hAnsi="宋体"/>
                <w:szCs w:val="21"/>
              </w:rPr>
              <w:t>及相关环境管理活动</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环境管理体系及其过程</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4.4  </w:t>
            </w:r>
          </w:p>
        </w:tc>
        <w:tc>
          <w:tcPr>
            <w:tcW w:w="10004" w:type="dxa"/>
            <w:vAlign w:val="center"/>
          </w:tcPr>
          <w:p>
            <w:pPr>
              <w:spacing w:line="360" w:lineRule="auto"/>
              <w:rPr>
                <w:rFonts w:ascii="宋体"/>
                <w:szCs w:val="24"/>
              </w:rPr>
            </w:pPr>
            <w:r>
              <w:rPr>
                <w:rFonts w:hint="eastAsia" w:ascii="宋体" w:hAnsi="宋体"/>
                <w:szCs w:val="24"/>
              </w:rPr>
              <w:t>公司按照</w:t>
            </w:r>
            <w:r>
              <w:rPr>
                <w:rFonts w:ascii="宋体" w:hAnsi="宋体"/>
                <w:szCs w:val="24"/>
              </w:rPr>
              <w:t xml:space="preserve"> GB/T24001-2016 </w:t>
            </w:r>
            <w:r>
              <w:rPr>
                <w:rFonts w:hint="eastAsia" w:ascii="宋体" w:hAnsi="宋体"/>
                <w:szCs w:val="24"/>
              </w:rPr>
              <w:t>标准的要求识别了环境管理所需的过程及相互作用，识别了环境管理体系涉及的各个过程：</w:t>
            </w:r>
          </w:p>
          <w:p>
            <w:pPr>
              <w:spacing w:line="360" w:lineRule="auto"/>
              <w:rPr>
                <w:rFonts w:ascii="宋体"/>
                <w:szCs w:val="24"/>
              </w:rPr>
            </w:pPr>
            <w:r>
              <w:rPr>
                <w:rFonts w:hint="eastAsia" w:ascii="宋体" w:hAnsi="宋体"/>
                <w:szCs w:val="24"/>
              </w:rPr>
              <w:t>　　</w:t>
            </w:r>
            <w:r>
              <w:rPr>
                <w:rFonts w:ascii="宋体" w:hAnsi="宋体"/>
                <w:szCs w:val="24"/>
              </w:rPr>
              <w:t xml:space="preserve">a) </w:t>
            </w:r>
            <w:r>
              <w:rPr>
                <w:rFonts w:hint="eastAsia" w:ascii="宋体" w:hAnsi="宋体"/>
                <w:szCs w:val="24"/>
              </w:rPr>
              <w:t>确定这些过程所需的输入和期望的输出；</w:t>
            </w:r>
          </w:p>
          <w:p>
            <w:pPr>
              <w:spacing w:line="360" w:lineRule="auto"/>
              <w:rPr>
                <w:rFonts w:ascii="宋体"/>
                <w:szCs w:val="24"/>
              </w:rPr>
            </w:pPr>
            <w:r>
              <w:rPr>
                <w:rFonts w:hint="eastAsia" w:ascii="宋体" w:hAnsi="宋体"/>
                <w:szCs w:val="24"/>
              </w:rPr>
              <w:t>　　</w:t>
            </w:r>
            <w:r>
              <w:rPr>
                <w:rFonts w:ascii="宋体" w:hAnsi="宋体"/>
                <w:szCs w:val="24"/>
              </w:rPr>
              <w:t xml:space="preserve">b) </w:t>
            </w:r>
            <w:r>
              <w:rPr>
                <w:rFonts w:hint="eastAsia" w:ascii="宋体" w:hAnsi="宋体"/>
                <w:szCs w:val="24"/>
              </w:rPr>
              <w:t>确定这些过程的顺序和相互作用；</w:t>
            </w:r>
          </w:p>
          <w:p>
            <w:pPr>
              <w:spacing w:line="360" w:lineRule="auto"/>
              <w:rPr>
                <w:rFonts w:ascii="宋体"/>
                <w:szCs w:val="24"/>
              </w:rPr>
            </w:pPr>
            <w:r>
              <w:rPr>
                <w:rFonts w:hint="eastAsia" w:ascii="宋体" w:hAnsi="宋体"/>
                <w:szCs w:val="24"/>
              </w:rPr>
              <w:t>　　</w:t>
            </w:r>
            <w:r>
              <w:rPr>
                <w:rFonts w:ascii="宋体" w:hAnsi="宋体"/>
                <w:szCs w:val="24"/>
              </w:rPr>
              <w:t xml:space="preserve">c) </w:t>
            </w:r>
            <w:r>
              <w:rPr>
                <w:rFonts w:hint="eastAsia" w:ascii="宋体" w:hAnsi="宋体"/>
                <w:szCs w:val="24"/>
              </w:rPr>
              <w:t>建立了程序文件、管理制度、作业指导书、检验规程等明确了各个过程所需的准则和方法，并明确了目标。</w:t>
            </w:r>
          </w:p>
          <w:p>
            <w:pPr>
              <w:spacing w:line="360" w:lineRule="auto"/>
              <w:rPr>
                <w:rFonts w:ascii="宋体"/>
                <w:szCs w:val="24"/>
              </w:rPr>
            </w:pPr>
            <w:r>
              <w:rPr>
                <w:rFonts w:hint="eastAsia" w:ascii="宋体" w:hAnsi="宋体"/>
                <w:szCs w:val="24"/>
              </w:rPr>
              <w:t>　　</w:t>
            </w:r>
            <w:r>
              <w:rPr>
                <w:rFonts w:ascii="宋体" w:hAnsi="宋体"/>
                <w:szCs w:val="24"/>
              </w:rPr>
              <w:t xml:space="preserve">d) </w:t>
            </w:r>
            <w:r>
              <w:rPr>
                <w:rFonts w:hint="eastAsia" w:ascii="宋体" w:hAnsi="宋体"/>
                <w:szCs w:val="24"/>
              </w:rPr>
              <w:t>规定了每个过程所需的资源；</w:t>
            </w:r>
          </w:p>
          <w:p>
            <w:pPr>
              <w:spacing w:line="360" w:lineRule="auto"/>
              <w:rPr>
                <w:rFonts w:ascii="宋体"/>
                <w:szCs w:val="24"/>
              </w:rPr>
            </w:pPr>
            <w:r>
              <w:rPr>
                <w:rFonts w:hint="eastAsia" w:ascii="宋体" w:hAnsi="宋体"/>
                <w:szCs w:val="24"/>
              </w:rPr>
              <w:t>　　</w:t>
            </w:r>
            <w:r>
              <w:rPr>
                <w:rFonts w:ascii="宋体" w:hAnsi="宋体"/>
                <w:szCs w:val="24"/>
              </w:rPr>
              <w:t xml:space="preserve">e) </w:t>
            </w:r>
            <w:r>
              <w:rPr>
                <w:rFonts w:hint="eastAsia" w:ascii="宋体" w:hAnsi="宋体"/>
                <w:szCs w:val="24"/>
              </w:rPr>
              <w:t>规定与这些过程相关的责任和权限；</w:t>
            </w:r>
          </w:p>
          <w:p>
            <w:pPr>
              <w:spacing w:line="360" w:lineRule="auto"/>
              <w:rPr>
                <w:rFonts w:ascii="宋体"/>
                <w:szCs w:val="24"/>
              </w:rPr>
            </w:pPr>
            <w:r>
              <w:rPr>
                <w:rFonts w:hint="eastAsia" w:ascii="宋体" w:hAnsi="宋体"/>
                <w:szCs w:val="24"/>
              </w:rPr>
              <w:t>　</w:t>
            </w:r>
            <w:r>
              <w:rPr>
                <w:rFonts w:ascii="宋体" w:hAnsi="宋体"/>
                <w:szCs w:val="24"/>
              </w:rPr>
              <w:t xml:space="preserve">  f) </w:t>
            </w:r>
            <w:r>
              <w:rPr>
                <w:rFonts w:hint="eastAsia" w:ascii="宋体" w:hAnsi="宋体"/>
                <w:szCs w:val="24"/>
              </w:rPr>
              <w:t>针对这些过程识别和确定了</w:t>
            </w:r>
            <w:r>
              <w:rPr>
                <w:rFonts w:hint="eastAsia" w:ascii="宋体" w:hAnsi="宋体"/>
                <w:szCs w:val="24"/>
                <w:lang w:val="en-US" w:eastAsia="zh-CN"/>
              </w:rPr>
              <w:t>环境</w:t>
            </w:r>
            <w:r>
              <w:rPr>
                <w:rFonts w:hint="eastAsia" w:ascii="宋体" w:hAnsi="宋体"/>
                <w:szCs w:val="24"/>
              </w:rPr>
              <w:t>管理活动的风险、机会以及所需的措施；</w:t>
            </w:r>
          </w:p>
          <w:p>
            <w:pPr>
              <w:spacing w:line="360" w:lineRule="auto"/>
              <w:ind w:firstLine="420" w:firstLineChars="200"/>
              <w:rPr>
                <w:rFonts w:ascii="宋体"/>
                <w:szCs w:val="24"/>
              </w:rPr>
            </w:pPr>
            <w:r>
              <w:rPr>
                <w:rFonts w:ascii="宋体" w:hAnsi="宋体"/>
                <w:szCs w:val="24"/>
              </w:rPr>
              <w:t xml:space="preserve">g) </w:t>
            </w:r>
            <w:r>
              <w:rPr>
                <w:rFonts w:hint="eastAsia" w:ascii="宋体" w:hAnsi="宋体"/>
                <w:szCs w:val="24"/>
              </w:rPr>
              <w:t>对这些过程进行了评价，暂无所需的变更；</w:t>
            </w:r>
          </w:p>
          <w:p>
            <w:pPr>
              <w:spacing w:line="360" w:lineRule="auto"/>
              <w:ind w:firstLine="420" w:firstLineChars="200"/>
              <w:rPr>
                <w:rFonts w:ascii="宋体"/>
                <w:szCs w:val="24"/>
              </w:rPr>
            </w:pPr>
            <w:r>
              <w:rPr>
                <w:rFonts w:ascii="宋体" w:hAnsi="宋体"/>
                <w:szCs w:val="24"/>
              </w:rPr>
              <w:t xml:space="preserve">h) </w:t>
            </w:r>
            <w:r>
              <w:rPr>
                <w:rFonts w:hint="eastAsia" w:ascii="宋体" w:hAnsi="宋体"/>
                <w:szCs w:val="24"/>
              </w:rPr>
              <w:t>公司通过绩效评价、内部审核、管理评审等以期对环境管理管理体系得到改进。</w:t>
            </w:r>
          </w:p>
          <w:p>
            <w:pPr>
              <w:spacing w:line="360" w:lineRule="auto"/>
              <w:ind w:firstLine="420" w:firstLineChars="200"/>
              <w:rPr>
                <w:rFonts w:ascii="宋体"/>
                <w:szCs w:val="24"/>
              </w:rPr>
            </w:pPr>
            <w:r>
              <w:rPr>
                <w:rFonts w:hint="eastAsia" w:ascii="宋体" w:hAnsi="宋体"/>
                <w:szCs w:val="24"/>
              </w:rPr>
              <w:t>公司按照标准建立了文件化的环境管理体系，编制了环境</w:t>
            </w:r>
            <w:r>
              <w:rPr>
                <w:rFonts w:hint="eastAsia" w:ascii="宋体" w:hAnsi="宋体"/>
                <w:szCs w:val="24"/>
                <w:lang w:val="en-US" w:eastAsia="zh-CN"/>
              </w:rPr>
              <w:t>管理</w:t>
            </w:r>
            <w:r>
              <w:rPr>
                <w:rFonts w:hint="eastAsia" w:ascii="宋体" w:hAnsi="宋体"/>
                <w:szCs w:val="24"/>
              </w:rPr>
              <w:t>手册，流程性文件、管理制度、作业指导书、检验规程等；并对各个过程的监控进行了记录，形成了相关文件化信息，为过程运行提供了支持，以证实过程按照策划执行。</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方针</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5.2 </w:t>
            </w:r>
          </w:p>
        </w:tc>
        <w:tc>
          <w:tcPr>
            <w:tcW w:w="10004" w:type="dxa"/>
            <w:vAlign w:val="center"/>
          </w:tcPr>
          <w:p>
            <w:pPr>
              <w:spacing w:line="360" w:lineRule="auto"/>
              <w:rPr>
                <w:rFonts w:ascii="宋体"/>
                <w:szCs w:val="24"/>
              </w:rPr>
            </w:pPr>
            <w:r>
              <w:rPr>
                <w:rFonts w:hint="eastAsia" w:ascii="宋体" w:hAnsi="宋体"/>
                <w:szCs w:val="24"/>
              </w:rPr>
              <w:t>企业已经制定环境方针，具体包含在《管理手册》，公司的环境方针是：</w:t>
            </w:r>
          </w:p>
          <w:p>
            <w:pPr>
              <w:spacing w:line="360" w:lineRule="auto"/>
              <w:ind w:firstLine="843" w:firstLineChars="400"/>
              <w:rPr>
                <w:rFonts w:hint="eastAsia" w:ascii="宋体" w:hAnsi="宋体"/>
                <w:b/>
                <w:bCs/>
                <w:szCs w:val="24"/>
              </w:rPr>
            </w:pPr>
            <w:r>
              <w:rPr>
                <w:rFonts w:hint="eastAsia" w:ascii="宋体" w:hAnsi="宋体"/>
                <w:b/>
                <w:bCs/>
                <w:szCs w:val="24"/>
              </w:rPr>
              <w:t>遵规守法  预防污染  节能降耗  持续改进</w:t>
            </w:r>
          </w:p>
          <w:p>
            <w:pPr>
              <w:spacing w:line="360" w:lineRule="auto"/>
              <w:rPr>
                <w:rFonts w:ascii="宋体"/>
                <w:szCs w:val="24"/>
              </w:rPr>
            </w:pPr>
            <w:r>
              <w:rPr>
                <w:rFonts w:hint="eastAsia" w:ascii="宋体" w:hAnsi="宋体"/>
                <w:szCs w:val="24"/>
              </w:rPr>
              <w:t>查领导层参与制定管理体系方针的情况，是否熟悉组织的管理体系方针内容、含义：</w:t>
            </w:r>
          </w:p>
          <w:p>
            <w:pPr>
              <w:spacing w:line="360" w:lineRule="auto"/>
              <w:rPr>
                <w:rFonts w:ascii="宋体"/>
                <w:szCs w:val="24"/>
              </w:rPr>
            </w:pPr>
            <w:r>
              <w:rPr>
                <w:rFonts w:hint="eastAsia" w:ascii="宋体" w:hAnsi="宋体"/>
                <w:szCs w:val="24"/>
              </w:rPr>
              <w:t>总经理</w:t>
            </w:r>
            <w:r>
              <w:rPr>
                <w:rFonts w:ascii="宋体" w:hAnsi="宋体"/>
                <w:szCs w:val="24"/>
              </w:rPr>
              <w:t>:</w:t>
            </w:r>
            <w:r>
              <w:rPr>
                <w:rFonts w:hint="eastAsia" w:ascii="宋体" w:hAnsi="宋体"/>
                <w:szCs w:val="24"/>
                <w:lang w:val="en-US" w:eastAsia="zh-CN"/>
              </w:rPr>
              <w:t>李峰</w:t>
            </w:r>
            <w:r>
              <w:rPr>
                <w:rFonts w:hint="eastAsia" w:ascii="宋体" w:hAnsi="宋体"/>
                <w:szCs w:val="24"/>
              </w:rPr>
              <w:t>；管代：</w:t>
            </w:r>
            <w:r>
              <w:rPr>
                <w:rFonts w:hint="eastAsia" w:ascii="宋体" w:hAnsi="宋体"/>
                <w:szCs w:val="24"/>
                <w:lang w:val="en-US" w:eastAsia="zh-CN"/>
              </w:rPr>
              <w:t>林媛</w:t>
            </w:r>
            <w:r>
              <w:rPr>
                <w:rFonts w:hint="eastAsia" w:ascii="宋体" w:hAnsi="宋体"/>
                <w:szCs w:val="24"/>
              </w:rPr>
              <w:t>，按照标准要求制订的方针，并介绍了方针的含义，对体系知识的学习还需加强。管理评审对环境方针的适宜性作了评审，判定适宜，适合公司的发展需求。环境方针符合标准要求。</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szCs w:val="24"/>
              </w:rPr>
            </w:pPr>
            <w:r>
              <w:rPr>
                <w:rFonts w:hint="eastAsia" w:ascii="宋体" w:hAnsi="宋体"/>
                <w:szCs w:val="24"/>
              </w:rPr>
              <w:t>组织的角色、职责和权限</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5.3  </w:t>
            </w:r>
          </w:p>
        </w:tc>
        <w:tc>
          <w:tcPr>
            <w:tcW w:w="10004" w:type="dxa"/>
            <w:vAlign w:val="center"/>
          </w:tcPr>
          <w:p>
            <w:pPr>
              <w:spacing w:line="360" w:lineRule="auto"/>
              <w:ind w:firstLine="420" w:firstLineChars="200"/>
              <w:rPr>
                <w:rFonts w:ascii="宋体"/>
                <w:szCs w:val="24"/>
              </w:rPr>
            </w:pPr>
            <w:r>
              <w:rPr>
                <w:rFonts w:hint="eastAsia" w:ascii="宋体" w:hAnsi="宋体"/>
                <w:szCs w:val="24"/>
              </w:rPr>
              <w:t>最高管理者明确了各部门和各岗位的职责和权限，以确保管理体系符合各项标准的要求，并确保各个过程获得其预期输出，向最高管理者报告环境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Pr>
                <w:rFonts w:hint="eastAsia" w:ascii="宋体" w:hAnsi="宋体"/>
                <w:color w:val="000000"/>
                <w:szCs w:val="24"/>
              </w:rPr>
              <w:t>据总经理介绍，一共为体系的建立实施和改进投入了各种资源、资</w:t>
            </w:r>
            <w:r>
              <w:rPr>
                <w:rFonts w:hint="eastAsia" w:ascii="宋体" w:hAnsi="宋体" w:cs="Times New Roman"/>
                <w:szCs w:val="24"/>
              </w:rPr>
              <w:t>金等约</w:t>
            </w:r>
            <w:r>
              <w:rPr>
                <w:rFonts w:hint="eastAsia" w:ascii="宋体" w:hAnsi="宋体" w:cs="Times New Roman"/>
                <w:szCs w:val="24"/>
                <w:lang w:val="en-US" w:eastAsia="zh-CN"/>
              </w:rPr>
              <w:t>1.</w:t>
            </w:r>
            <w:r>
              <w:rPr>
                <w:rFonts w:hint="eastAsia"/>
                <w:lang w:val="en-US" w:eastAsia="zh-CN"/>
              </w:rPr>
              <w:t>2万余元</w:t>
            </w:r>
            <w:r>
              <w:rPr>
                <w:rFonts w:ascii="宋体"/>
                <w:color w:val="000000"/>
                <w:szCs w:val="24"/>
              </w:rPr>
              <w:t>,</w:t>
            </w:r>
            <w:r>
              <w:rPr>
                <w:rFonts w:hint="eastAsia" w:ascii="宋体" w:hAnsi="宋体"/>
                <w:color w:val="000000"/>
                <w:szCs w:val="24"/>
              </w:rPr>
              <w:t>现场询问管代、陪同人员，均了解其职责。</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rPr>
                <w:rFonts w:ascii="宋体"/>
                <w:szCs w:val="24"/>
              </w:rPr>
            </w:pPr>
            <w:r>
              <w:rPr>
                <w:rFonts w:hint="eastAsia" w:ascii="宋体" w:hAnsi="宋体"/>
                <w:szCs w:val="24"/>
              </w:rPr>
              <w:t>应对风险和机会的措施</w:t>
            </w:r>
          </w:p>
        </w:tc>
        <w:tc>
          <w:tcPr>
            <w:tcW w:w="1311" w:type="dxa"/>
            <w:vAlign w:val="center"/>
          </w:tcPr>
          <w:p>
            <w:pPr>
              <w:rPr>
                <w:rFonts w:ascii="宋体" w:hAnsi="宋体"/>
                <w:szCs w:val="24"/>
              </w:rPr>
            </w:pPr>
          </w:p>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 6.1.1</w:t>
            </w:r>
          </w:p>
        </w:tc>
        <w:tc>
          <w:tcPr>
            <w:tcW w:w="10004" w:type="dxa"/>
            <w:vAlign w:val="center"/>
          </w:tcPr>
          <w:p>
            <w:pPr>
              <w:spacing w:line="360" w:lineRule="auto"/>
              <w:ind w:firstLine="420" w:firstLineChars="200"/>
              <w:rPr>
                <w:rFonts w:ascii="宋体"/>
                <w:szCs w:val="24"/>
              </w:rPr>
            </w:pPr>
            <w:r>
              <w:rPr>
                <w:rFonts w:hint="eastAsia" w:ascii="宋体" w:hAnsi="宋体"/>
                <w:szCs w:val="24"/>
              </w:rPr>
              <w:t>编制有《风险和机遇的应对控制程序》，对组织内外的风险和机遇进行了策划。提供《风险和机遇及应对措施确定表》，</w:t>
            </w:r>
            <w:r>
              <w:rPr>
                <w:rFonts w:hint="eastAsia" w:ascii="宋体" w:hAnsi="宋体"/>
                <w:szCs w:val="24"/>
                <w:lang w:val="en-US" w:eastAsia="zh-CN"/>
              </w:rPr>
              <w:t>确认</w:t>
            </w:r>
            <w:r>
              <w:rPr>
                <w:rFonts w:hint="eastAsia" w:ascii="宋体" w:hAnsi="宋体"/>
                <w:szCs w:val="24"/>
              </w:rPr>
              <w:t>了</w:t>
            </w:r>
            <w:r>
              <w:rPr>
                <w:rFonts w:hint="eastAsia" w:ascii="宋体" w:hAnsi="宋体"/>
                <w:szCs w:val="24"/>
                <w:lang w:val="en-US" w:eastAsia="zh-CN"/>
              </w:rPr>
              <w:t>风险类别、</w:t>
            </w:r>
            <w:r>
              <w:rPr>
                <w:rFonts w:hint="eastAsia" w:ascii="宋体" w:hAnsi="宋体"/>
                <w:szCs w:val="24"/>
              </w:rPr>
              <w:t>风险和机遇</w:t>
            </w:r>
            <w:r>
              <w:rPr>
                <w:rFonts w:hint="eastAsia" w:ascii="宋体" w:hAnsi="宋体"/>
                <w:szCs w:val="24"/>
                <w:lang w:val="en-US" w:eastAsia="zh-CN"/>
              </w:rPr>
              <w:t>因素</w:t>
            </w:r>
            <w:r>
              <w:rPr>
                <w:rFonts w:hint="eastAsia" w:ascii="宋体" w:hAnsi="宋体"/>
                <w:szCs w:val="24"/>
              </w:rPr>
              <w:t>、</w:t>
            </w:r>
            <w:r>
              <w:rPr>
                <w:rFonts w:hint="eastAsia" w:ascii="宋体" w:hAnsi="宋体"/>
                <w:szCs w:val="24"/>
                <w:lang w:val="en-US" w:eastAsia="zh-CN"/>
              </w:rPr>
              <w:t>造成后果</w:t>
            </w:r>
            <w:r>
              <w:rPr>
                <w:rFonts w:hint="eastAsia" w:ascii="宋体" w:hAnsi="宋体"/>
                <w:szCs w:val="24"/>
              </w:rPr>
              <w:t>、</w:t>
            </w:r>
            <w:r>
              <w:rPr>
                <w:rFonts w:hint="eastAsia" w:ascii="宋体" w:hAnsi="宋体"/>
                <w:szCs w:val="24"/>
                <w:lang w:val="en-US" w:eastAsia="zh-CN"/>
              </w:rPr>
              <w:t>风险分析与评价、应对措施，制定</w:t>
            </w:r>
            <w:r>
              <w:rPr>
                <w:rFonts w:hint="eastAsia" w:ascii="宋体" w:hAnsi="宋体"/>
                <w:szCs w:val="24"/>
              </w:rPr>
              <w:t>管理措施、责任部门、实时时间、评价措施等：</w:t>
            </w:r>
          </w:p>
          <w:p>
            <w:pPr>
              <w:spacing w:line="360" w:lineRule="auto"/>
              <w:ind w:firstLine="420" w:firstLineChars="200"/>
              <w:rPr>
                <w:rFonts w:ascii="宋体"/>
                <w:szCs w:val="24"/>
              </w:rPr>
            </w:pPr>
            <w:r>
              <w:rPr>
                <w:rFonts w:hint="eastAsia" w:ascii="宋体" w:hAnsi="宋体"/>
                <w:szCs w:val="24"/>
              </w:rPr>
              <w:t>风险、机遇：从</w:t>
            </w:r>
            <w:r>
              <w:rPr>
                <w:rFonts w:hint="eastAsia" w:ascii="宋体" w:hAnsi="宋体"/>
                <w:szCs w:val="24"/>
                <w:lang w:val="en-US" w:eastAsia="zh-CN"/>
              </w:rPr>
              <w:t>合规义务、潜在紧急情况、机遇等，从</w:t>
            </w:r>
            <w:r>
              <w:rPr>
                <w:rFonts w:hint="eastAsia" w:ascii="宋体" w:hAnsi="宋体"/>
                <w:szCs w:val="24"/>
              </w:rPr>
              <w:t>客户开发、合同评审、产品交付、领导作用、信息交流、采购管理、仓库管理等方面进行分析评估。从严重程度、发生概率、可探测性、</w:t>
            </w:r>
            <w:r>
              <w:rPr>
                <w:rFonts w:ascii="宋体" w:hAnsi="宋体"/>
                <w:szCs w:val="24"/>
              </w:rPr>
              <w:t>RPN</w:t>
            </w:r>
            <w:r>
              <w:rPr>
                <w:rFonts w:hint="eastAsia" w:ascii="宋体" w:hAnsi="宋体"/>
                <w:szCs w:val="24"/>
              </w:rPr>
              <w:t>等确定风险和机遇。应对措施：与风险、机遇相适应。</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目标和措施计划（管理方案）</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6.2  </w:t>
            </w:r>
          </w:p>
        </w:tc>
        <w:tc>
          <w:tcPr>
            <w:tcW w:w="10004" w:type="dxa"/>
            <w:vAlign w:val="center"/>
          </w:tcPr>
          <w:p>
            <w:pPr>
              <w:spacing w:line="360" w:lineRule="auto"/>
              <w:ind w:firstLine="420" w:firstLineChars="200"/>
              <w:rPr>
                <w:rFonts w:ascii="宋体"/>
                <w:szCs w:val="24"/>
              </w:rPr>
            </w:pPr>
            <w:r>
              <w:rPr>
                <w:rFonts w:hint="eastAsia" w:ascii="宋体"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ind w:firstLine="420" w:firstLineChars="200"/>
              <w:rPr>
                <w:rFonts w:hint="eastAsia" w:ascii="宋体" w:hAnsi="宋体" w:cs="Times New Roman"/>
                <w:szCs w:val="24"/>
              </w:rPr>
            </w:pPr>
            <w:r>
              <w:rPr>
                <w:rFonts w:hint="eastAsia" w:ascii="宋体" w:hAnsi="宋体" w:cs="Times New Roman"/>
                <w:szCs w:val="24"/>
              </w:rPr>
              <w:t>环境目标：1、环境污染事故为0</w:t>
            </w:r>
            <w:r>
              <w:rPr>
                <w:rFonts w:hint="eastAsia" w:ascii="宋体" w:hAnsi="宋体" w:cs="Times New Roman"/>
                <w:szCs w:val="24"/>
                <w:lang w:eastAsia="zh-CN"/>
              </w:rPr>
              <w:t>；</w:t>
            </w:r>
            <w:r>
              <w:rPr>
                <w:rFonts w:hint="eastAsia" w:ascii="宋体" w:hAnsi="宋体" w:cs="Times New Roman"/>
                <w:szCs w:val="24"/>
              </w:rPr>
              <w:t xml:space="preserve"> 2、固体废物分类处置合格率</w:t>
            </w:r>
            <w:r>
              <w:rPr>
                <w:rFonts w:hint="eastAsia" w:ascii="宋体" w:hAnsi="宋体" w:cs="Times New Roman"/>
                <w:szCs w:val="24"/>
                <w:lang w:val="en-US" w:eastAsia="zh-CN"/>
              </w:rPr>
              <w:t>100</w:t>
            </w:r>
            <w:r>
              <w:rPr>
                <w:rFonts w:hint="eastAsia" w:ascii="宋体" w:hAnsi="宋体" w:cs="Times New Roman"/>
                <w:szCs w:val="24"/>
              </w:rPr>
              <w:t>%</w:t>
            </w:r>
            <w:r>
              <w:rPr>
                <w:rFonts w:hint="eastAsia" w:ascii="宋体" w:hAnsi="宋体" w:cs="Times New Roman"/>
                <w:szCs w:val="24"/>
                <w:lang w:eastAsia="zh-CN"/>
              </w:rPr>
              <w:t>；</w:t>
            </w:r>
            <w:r>
              <w:rPr>
                <w:rFonts w:hint="eastAsia" w:ascii="宋体" w:hAnsi="宋体" w:cs="Times New Roman"/>
                <w:szCs w:val="24"/>
              </w:rPr>
              <w:t xml:space="preserve"> 3、万元产值降低电消耗1%</w:t>
            </w:r>
          </w:p>
          <w:p>
            <w:pPr>
              <w:spacing w:line="360" w:lineRule="auto"/>
              <w:ind w:firstLine="420" w:firstLineChars="200"/>
              <w:rPr>
                <w:rFonts w:hint="eastAsia" w:ascii="宋体" w:hAnsi="宋体" w:cs="Times New Roman"/>
                <w:szCs w:val="24"/>
              </w:rPr>
            </w:pPr>
            <w:r>
              <w:rPr>
                <w:rFonts w:hint="eastAsia" w:ascii="宋体" w:hAnsi="宋体" w:cs="Times New Roman"/>
                <w:szCs w:val="24"/>
                <w:lang w:val="en-US" w:eastAsia="zh-CN"/>
              </w:rPr>
              <w:t>4、火灾事故为0；5、环境影响投诉为0。</w:t>
            </w:r>
            <w:r>
              <w:rPr>
                <w:rFonts w:hint="eastAsia" w:ascii="宋体" w:hAnsi="宋体" w:cs="Times New Roman"/>
                <w:szCs w:val="24"/>
              </w:rPr>
              <w:t xml:space="preserve"> </w:t>
            </w:r>
          </w:p>
          <w:p>
            <w:pPr>
              <w:spacing w:line="360" w:lineRule="auto"/>
              <w:ind w:firstLine="420" w:firstLineChars="200"/>
              <w:rPr>
                <w:rFonts w:hint="eastAsia" w:ascii="宋体" w:hAnsi="宋体"/>
                <w:szCs w:val="24"/>
                <w:lang w:val="en-US" w:eastAsia="zh-CN"/>
              </w:rPr>
            </w:pPr>
            <w:r>
              <w:rPr>
                <w:rFonts w:hint="eastAsia" w:ascii="宋体" w:hAnsi="宋体"/>
                <w:szCs w:val="24"/>
              </w:rPr>
              <w:t>组织对公司环境目标、指标予以分解，并在相关职能层次部门建立分目标，</w:t>
            </w:r>
            <w:r>
              <w:rPr>
                <w:rFonts w:hint="eastAsia" w:ascii="宋体" w:hAnsi="宋体"/>
                <w:szCs w:val="24"/>
                <w:lang w:val="en-US" w:eastAsia="zh-CN"/>
              </w:rPr>
              <w:t>提供</w:t>
            </w:r>
          </w:p>
          <w:p>
            <w:pPr>
              <w:spacing w:line="360" w:lineRule="auto"/>
              <w:ind w:firstLine="2409" w:firstLineChars="1000"/>
              <w:rPr>
                <w:rFonts w:ascii="宋体"/>
                <w:b/>
                <w:bCs/>
                <w:color w:val="000000"/>
                <w:sz w:val="24"/>
                <w:szCs w:val="24"/>
              </w:rPr>
            </w:pPr>
            <w:r>
              <w:rPr>
                <w:rFonts w:hint="eastAsia" w:ascii="宋体" w:hAnsi="宋体"/>
                <w:b/>
                <w:bCs/>
                <w:sz w:val="24"/>
                <w:szCs w:val="24"/>
              </w:rPr>
              <w:t>《公司及各部门环境目标分解一览表》</w:t>
            </w:r>
          </w:p>
          <w:tbl>
            <w:tblPr>
              <w:tblStyle w:val="5"/>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5"/>
              <w:gridCol w:w="3400"/>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28" w:type="dxa"/>
                  <w:noWrap w:val="0"/>
                  <w:vAlign w:val="center"/>
                </w:tcPr>
                <w:p>
                  <w:pPr>
                    <w:tabs>
                      <w:tab w:val="left" w:pos="10080"/>
                    </w:tabs>
                    <w:jc w:val="center"/>
                    <w:rPr>
                      <w:rFonts w:hint="eastAsia" w:ascii="宋体" w:hAnsi="宋体"/>
                      <w:sz w:val="21"/>
                      <w:szCs w:val="21"/>
                    </w:rPr>
                  </w:pPr>
                  <w:r>
                    <w:rPr>
                      <w:rFonts w:hint="eastAsia" w:ascii="宋体" w:hAnsi="宋体"/>
                      <w:sz w:val="21"/>
                      <w:szCs w:val="21"/>
                    </w:rPr>
                    <w:t>部 门</w:t>
                  </w:r>
                </w:p>
              </w:tc>
              <w:tc>
                <w:tcPr>
                  <w:tcW w:w="4225" w:type="dxa"/>
                  <w:gridSpan w:val="2"/>
                  <w:noWrap w:val="0"/>
                  <w:vAlign w:val="center"/>
                </w:tcPr>
                <w:p>
                  <w:pPr>
                    <w:tabs>
                      <w:tab w:val="left" w:pos="10080"/>
                    </w:tabs>
                    <w:jc w:val="center"/>
                    <w:rPr>
                      <w:rFonts w:hint="eastAsia" w:ascii="宋体" w:hAnsi="宋体"/>
                      <w:sz w:val="21"/>
                      <w:szCs w:val="21"/>
                    </w:rPr>
                  </w:pPr>
                  <w:r>
                    <w:rPr>
                      <w:rFonts w:hint="eastAsia" w:ascii="宋体" w:hAnsi="宋体"/>
                      <w:sz w:val="21"/>
                      <w:szCs w:val="21"/>
                    </w:rPr>
                    <w:t>E 目  标  内 容</w:t>
                  </w:r>
                </w:p>
              </w:tc>
              <w:tc>
                <w:tcPr>
                  <w:tcW w:w="4420" w:type="dxa"/>
                  <w:noWrap w:val="0"/>
                  <w:vAlign w:val="center"/>
                </w:tcPr>
                <w:p>
                  <w:pPr>
                    <w:tabs>
                      <w:tab w:val="left" w:pos="10080"/>
                    </w:tabs>
                    <w:jc w:val="center"/>
                    <w:rPr>
                      <w:rFonts w:hint="eastAsia" w:ascii="宋体" w:hAnsi="宋体"/>
                      <w:sz w:val="21"/>
                      <w:szCs w:val="21"/>
                    </w:rPr>
                  </w:pPr>
                  <w:r>
                    <w:rPr>
                      <w:rFonts w:hint="eastAsia" w:ascii="宋体" w:hAnsi="宋体"/>
                      <w:sz w:val="21"/>
                      <w:szCs w:val="21"/>
                    </w:rPr>
                    <w:t>考核依据及考核办法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vMerge w:val="restart"/>
                  <w:noWrap w:val="0"/>
                  <w:vAlign w:val="center"/>
                </w:tcPr>
                <w:p>
                  <w:pPr>
                    <w:tabs>
                      <w:tab w:val="left" w:pos="10080"/>
                    </w:tabs>
                    <w:jc w:val="center"/>
                    <w:rPr>
                      <w:rFonts w:hint="eastAsia" w:ascii="宋体" w:hAnsi="宋体"/>
                      <w:sz w:val="21"/>
                      <w:szCs w:val="21"/>
                    </w:rPr>
                  </w:pPr>
                  <w:r>
                    <w:rPr>
                      <w:rFonts w:hint="eastAsia" w:ascii="宋体" w:hAnsi="宋体"/>
                      <w:sz w:val="21"/>
                      <w:szCs w:val="21"/>
                    </w:rPr>
                    <w:t>公司</w:t>
                  </w:r>
                </w:p>
              </w:tc>
              <w:tc>
                <w:tcPr>
                  <w:tcW w:w="825" w:type="dxa"/>
                  <w:vMerge w:val="restart"/>
                  <w:noWrap w:val="0"/>
                  <w:vAlign w:val="center"/>
                </w:tcPr>
                <w:p>
                  <w:pPr>
                    <w:jc w:val="center"/>
                    <w:rPr>
                      <w:rFonts w:hint="eastAsia" w:ascii="宋体" w:hAnsi="宋体"/>
                      <w:bCs/>
                      <w:color w:val="000000"/>
                      <w:sz w:val="21"/>
                      <w:szCs w:val="21"/>
                    </w:rPr>
                  </w:pPr>
                  <w:r>
                    <w:rPr>
                      <w:rFonts w:hint="eastAsia" w:ascii="宋体" w:hAnsi="宋体"/>
                      <w:bCs/>
                      <w:color w:val="000000"/>
                      <w:sz w:val="21"/>
                      <w:szCs w:val="21"/>
                    </w:rPr>
                    <w:t>环境目标</w:t>
                  </w:r>
                </w:p>
              </w:tc>
              <w:tc>
                <w:tcPr>
                  <w:tcW w:w="3400" w:type="dxa"/>
                  <w:noWrap w:val="0"/>
                  <w:vAlign w:val="center"/>
                </w:tcPr>
                <w:p>
                  <w:pPr>
                    <w:rPr>
                      <w:rFonts w:hint="eastAsia" w:ascii="宋体" w:hAnsi="宋体"/>
                      <w:sz w:val="21"/>
                      <w:szCs w:val="21"/>
                    </w:rPr>
                  </w:pPr>
                  <w:r>
                    <w:rPr>
                      <w:rFonts w:hint="eastAsia" w:ascii="宋体" w:hAnsi="宋体"/>
                      <w:sz w:val="21"/>
                      <w:szCs w:val="21"/>
                    </w:rPr>
                    <w:t>1、</w:t>
                  </w:r>
                  <w:r>
                    <w:rPr>
                      <w:rFonts w:hint="eastAsia" w:ascii="宋体" w:hAnsi="宋体"/>
                      <w:bCs/>
                      <w:sz w:val="21"/>
                      <w:szCs w:val="21"/>
                    </w:rPr>
                    <w:t>环境污染事故为零</w:t>
                  </w:r>
                </w:p>
              </w:tc>
              <w:tc>
                <w:tcPr>
                  <w:tcW w:w="4420" w:type="dxa"/>
                  <w:noWrap w:val="0"/>
                  <w:vAlign w:val="center"/>
                </w:tcPr>
                <w:p>
                  <w:pPr>
                    <w:tabs>
                      <w:tab w:val="left" w:pos="10080"/>
                    </w:tabs>
                    <w:rPr>
                      <w:rFonts w:hint="eastAsia" w:ascii="宋体" w:hAnsi="宋体"/>
                      <w:sz w:val="21"/>
                      <w:szCs w:val="21"/>
                    </w:rPr>
                  </w:pPr>
                  <w:r>
                    <w:rPr>
                      <w:rFonts w:hint="eastAsia" w:ascii="宋体" w:hAnsi="宋体"/>
                      <w:color w:val="000000"/>
                      <w:sz w:val="21"/>
                      <w:szCs w:val="21"/>
                    </w:rPr>
                    <w:t>以实际统计计算。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825" w:type="dxa"/>
                  <w:vMerge w:val="continue"/>
                  <w:noWrap w:val="0"/>
                  <w:vAlign w:val="center"/>
                </w:tcPr>
                <w:p>
                  <w:pPr>
                    <w:jc w:val="center"/>
                    <w:rPr>
                      <w:rFonts w:hint="eastAsia" w:ascii="宋体" w:hAnsi="宋体"/>
                      <w:bCs/>
                      <w:color w:val="000000"/>
                      <w:sz w:val="21"/>
                      <w:szCs w:val="21"/>
                    </w:rPr>
                  </w:pPr>
                </w:p>
              </w:tc>
              <w:tc>
                <w:tcPr>
                  <w:tcW w:w="3400" w:type="dxa"/>
                  <w:noWrap w:val="0"/>
                  <w:vAlign w:val="center"/>
                </w:tcPr>
                <w:p>
                  <w:pPr>
                    <w:tabs>
                      <w:tab w:val="left" w:pos="10080"/>
                    </w:tabs>
                    <w:rPr>
                      <w:rFonts w:hint="eastAsia" w:ascii="宋体" w:hAnsi="宋体"/>
                      <w:sz w:val="21"/>
                      <w:szCs w:val="21"/>
                    </w:rPr>
                  </w:pPr>
                  <w:r>
                    <w:rPr>
                      <w:rFonts w:hint="eastAsia" w:ascii="宋体" w:hAnsi="宋体"/>
                      <w:sz w:val="21"/>
                      <w:szCs w:val="21"/>
                    </w:rPr>
                    <w:t>2、固体废物分类处置合格率≥95%</w:t>
                  </w:r>
                </w:p>
              </w:tc>
              <w:tc>
                <w:tcPr>
                  <w:tcW w:w="4420" w:type="dxa"/>
                  <w:noWrap w:val="0"/>
                  <w:vAlign w:val="center"/>
                </w:tcPr>
                <w:p>
                  <w:pPr>
                    <w:tabs>
                      <w:tab w:val="left" w:pos="10080"/>
                    </w:tabs>
                    <w:rPr>
                      <w:rFonts w:hint="eastAsia" w:ascii="宋体" w:hAnsi="宋体"/>
                      <w:sz w:val="21"/>
                      <w:szCs w:val="21"/>
                    </w:rPr>
                  </w:pPr>
                  <w:r>
                    <w:rPr>
                      <w:rFonts w:hint="eastAsia" w:ascii="宋体" w:hAnsi="宋体"/>
                      <w:color w:val="000000"/>
                      <w:sz w:val="21"/>
                      <w:szCs w:val="21"/>
                    </w:rPr>
                    <w:t>统计检查合格次数/共检查次数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825" w:type="dxa"/>
                  <w:vMerge w:val="continue"/>
                  <w:noWrap w:val="0"/>
                  <w:vAlign w:val="center"/>
                </w:tcPr>
                <w:p>
                  <w:pPr>
                    <w:tabs>
                      <w:tab w:val="left" w:pos="10080"/>
                    </w:tabs>
                    <w:jc w:val="center"/>
                    <w:rPr>
                      <w:rFonts w:hint="eastAsia" w:ascii="宋体" w:hAnsi="宋体"/>
                      <w:bCs/>
                      <w:color w:val="000000"/>
                      <w:sz w:val="21"/>
                      <w:szCs w:val="21"/>
                    </w:rPr>
                  </w:pPr>
                </w:p>
              </w:tc>
              <w:tc>
                <w:tcPr>
                  <w:tcW w:w="3400" w:type="dxa"/>
                  <w:noWrap w:val="0"/>
                  <w:vAlign w:val="center"/>
                </w:tcPr>
                <w:p>
                  <w:pPr>
                    <w:rPr>
                      <w:rFonts w:hint="eastAsia" w:ascii="宋体" w:hAnsi="宋体"/>
                      <w:sz w:val="21"/>
                      <w:szCs w:val="21"/>
                    </w:rPr>
                  </w:pPr>
                  <w:r>
                    <w:rPr>
                      <w:rFonts w:hint="eastAsia" w:ascii="宋体" w:hAnsi="宋体"/>
                      <w:bCs/>
                      <w:sz w:val="21"/>
                      <w:szCs w:val="21"/>
                    </w:rPr>
                    <w:t>3、万元产值</w:t>
                  </w:r>
                  <w:r>
                    <w:rPr>
                      <w:rFonts w:hint="eastAsia" w:ascii="宋体" w:hAnsi="宋体"/>
                      <w:sz w:val="21"/>
                      <w:szCs w:val="21"/>
                    </w:rPr>
                    <w:t>电消耗1%</w:t>
                  </w:r>
                  <w:r>
                    <w:rPr>
                      <w:rFonts w:hint="eastAsia" w:ascii="宋体" w:hAnsi="宋体"/>
                      <w:bCs/>
                      <w:sz w:val="21"/>
                      <w:szCs w:val="21"/>
                    </w:rPr>
                    <w:t>。</w:t>
                  </w:r>
                </w:p>
              </w:tc>
              <w:tc>
                <w:tcPr>
                  <w:tcW w:w="4420" w:type="dxa"/>
                  <w:noWrap w:val="0"/>
                  <w:vAlign w:val="center"/>
                </w:tcPr>
                <w:p>
                  <w:pPr>
                    <w:tabs>
                      <w:tab w:val="left" w:pos="10080"/>
                    </w:tabs>
                    <w:rPr>
                      <w:rFonts w:hint="eastAsia" w:ascii="宋体" w:hAnsi="宋体"/>
                      <w:sz w:val="21"/>
                      <w:szCs w:val="21"/>
                    </w:rPr>
                  </w:pPr>
                  <w:r>
                    <w:rPr>
                      <w:rFonts w:hint="eastAsia" w:ascii="宋体" w:hAnsi="宋体"/>
                      <w:sz w:val="21"/>
                      <w:szCs w:val="21"/>
                    </w:rPr>
                    <w:t>(统计期水电消耗-上年度水电消耗)/上年度水电消耗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825" w:type="dxa"/>
                  <w:vMerge w:val="continue"/>
                  <w:noWrap w:val="0"/>
                  <w:vAlign w:val="center"/>
                </w:tcPr>
                <w:p>
                  <w:pPr>
                    <w:tabs>
                      <w:tab w:val="left" w:pos="10080"/>
                    </w:tabs>
                    <w:jc w:val="center"/>
                    <w:rPr>
                      <w:rFonts w:hint="eastAsia" w:ascii="宋体" w:hAnsi="宋体"/>
                      <w:bCs/>
                      <w:color w:val="000000"/>
                      <w:sz w:val="21"/>
                      <w:szCs w:val="21"/>
                    </w:rPr>
                  </w:pPr>
                </w:p>
              </w:tc>
              <w:tc>
                <w:tcPr>
                  <w:tcW w:w="3400" w:type="dxa"/>
                  <w:noWrap w:val="0"/>
                  <w:vAlign w:val="center"/>
                </w:tcPr>
                <w:p>
                  <w:pPr>
                    <w:rPr>
                      <w:rFonts w:hint="eastAsia" w:ascii="宋体" w:hAnsi="宋体"/>
                      <w:sz w:val="21"/>
                      <w:szCs w:val="21"/>
                    </w:rPr>
                  </w:pPr>
                  <w:r>
                    <w:rPr>
                      <w:rFonts w:hint="eastAsia" w:ascii="宋体" w:hAnsi="宋体"/>
                      <w:bCs/>
                      <w:sz w:val="21"/>
                      <w:szCs w:val="21"/>
                    </w:rPr>
                    <w:t>4、火灾事故为零</w:t>
                  </w:r>
                </w:p>
              </w:tc>
              <w:tc>
                <w:tcPr>
                  <w:tcW w:w="4420" w:type="dxa"/>
                  <w:noWrap w:val="0"/>
                  <w:vAlign w:val="center"/>
                </w:tcPr>
                <w:p>
                  <w:pPr>
                    <w:tabs>
                      <w:tab w:val="left" w:pos="10080"/>
                    </w:tabs>
                    <w:rPr>
                      <w:rFonts w:hint="eastAsia" w:ascii="宋体" w:hAnsi="宋体"/>
                      <w:sz w:val="21"/>
                      <w:szCs w:val="21"/>
                    </w:rPr>
                  </w:pPr>
                  <w:r>
                    <w:rPr>
                      <w:rFonts w:hint="eastAsia" w:ascii="宋体" w:hAnsi="宋体"/>
                      <w:color w:val="000000"/>
                      <w:sz w:val="21"/>
                      <w:szCs w:val="21"/>
                    </w:rPr>
                    <w:t>以实际统计计算。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825" w:type="dxa"/>
                  <w:vMerge w:val="continue"/>
                  <w:noWrap w:val="0"/>
                  <w:vAlign w:val="center"/>
                </w:tcPr>
                <w:p>
                  <w:pPr>
                    <w:tabs>
                      <w:tab w:val="left" w:pos="10080"/>
                    </w:tabs>
                    <w:jc w:val="center"/>
                    <w:rPr>
                      <w:rFonts w:hint="eastAsia" w:ascii="宋体" w:hAnsi="宋体"/>
                      <w:bCs/>
                      <w:color w:val="000000"/>
                      <w:sz w:val="21"/>
                      <w:szCs w:val="21"/>
                    </w:rPr>
                  </w:pPr>
                </w:p>
              </w:tc>
              <w:tc>
                <w:tcPr>
                  <w:tcW w:w="3400" w:type="dxa"/>
                  <w:noWrap w:val="0"/>
                  <w:vAlign w:val="center"/>
                </w:tcPr>
                <w:p>
                  <w:pPr>
                    <w:rPr>
                      <w:rFonts w:hint="eastAsia" w:ascii="宋体" w:hAnsi="宋体"/>
                      <w:bCs/>
                      <w:sz w:val="21"/>
                      <w:szCs w:val="21"/>
                    </w:rPr>
                  </w:pPr>
                  <w:r>
                    <w:rPr>
                      <w:rFonts w:hint="eastAsia" w:ascii="宋体" w:hAnsi="宋体"/>
                      <w:bCs/>
                      <w:sz w:val="21"/>
                      <w:szCs w:val="21"/>
                    </w:rPr>
                    <w:t>5、环境影响投诉次数为零</w:t>
                  </w:r>
                </w:p>
              </w:tc>
              <w:tc>
                <w:tcPr>
                  <w:tcW w:w="4420" w:type="dxa"/>
                  <w:noWrap w:val="0"/>
                  <w:vAlign w:val="center"/>
                </w:tcPr>
                <w:p>
                  <w:pPr>
                    <w:tabs>
                      <w:tab w:val="left" w:pos="10080"/>
                    </w:tabs>
                    <w:rPr>
                      <w:rFonts w:hint="eastAsia" w:ascii="宋体" w:hAnsi="宋体"/>
                      <w:sz w:val="21"/>
                      <w:szCs w:val="21"/>
                    </w:rPr>
                  </w:pPr>
                  <w:r>
                    <w:rPr>
                      <w:rFonts w:hint="eastAsia" w:ascii="宋体" w:hAnsi="宋体"/>
                      <w:color w:val="000000"/>
                      <w:sz w:val="21"/>
                      <w:szCs w:val="21"/>
                    </w:rPr>
                    <w:t>以实际统计计算。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28" w:type="dxa"/>
                  <w:vMerge w:val="restart"/>
                  <w:noWrap w:val="0"/>
                  <w:vAlign w:val="center"/>
                </w:tcPr>
                <w:p>
                  <w:pPr>
                    <w:tabs>
                      <w:tab w:val="left" w:pos="10080"/>
                    </w:tabs>
                    <w:jc w:val="center"/>
                    <w:rPr>
                      <w:rFonts w:hint="eastAsia" w:ascii="宋体" w:hAnsi="宋体"/>
                      <w:sz w:val="21"/>
                      <w:szCs w:val="21"/>
                    </w:rPr>
                  </w:pPr>
                  <w:r>
                    <w:rPr>
                      <w:rFonts w:hint="eastAsia" w:ascii="宋体" w:hAnsi="宋体"/>
                      <w:sz w:val="21"/>
                      <w:szCs w:val="21"/>
                    </w:rPr>
                    <w:t>综合管理部</w:t>
                  </w:r>
                </w:p>
              </w:tc>
              <w:tc>
                <w:tcPr>
                  <w:tcW w:w="4225" w:type="dxa"/>
                  <w:gridSpan w:val="2"/>
                  <w:tcBorders>
                    <w:bottom w:val="single" w:color="auto" w:sz="4" w:space="0"/>
                  </w:tcBorders>
                  <w:noWrap w:val="0"/>
                  <w:vAlign w:val="center"/>
                </w:tcPr>
                <w:p>
                  <w:pPr>
                    <w:rPr>
                      <w:rFonts w:hint="eastAsia" w:ascii="宋体" w:hAnsi="宋体"/>
                      <w:sz w:val="21"/>
                      <w:szCs w:val="21"/>
                    </w:rPr>
                  </w:pPr>
                  <w:r>
                    <w:rPr>
                      <w:rFonts w:hint="eastAsia" w:ascii="宋体" w:hAnsi="宋体"/>
                      <w:sz w:val="21"/>
                      <w:szCs w:val="21"/>
                    </w:rPr>
                    <w:t>1、年度培训计划执行率100</w:t>
                  </w:r>
                  <w:r>
                    <w:rPr>
                      <w:rFonts w:hint="eastAsia" w:ascii="宋体" w:hAnsi="宋体"/>
                      <w:color w:val="000000"/>
                      <w:sz w:val="21"/>
                      <w:szCs w:val="21"/>
                    </w:rPr>
                    <w:t>％</w:t>
                  </w:r>
                </w:p>
              </w:tc>
              <w:tc>
                <w:tcPr>
                  <w:tcW w:w="4420" w:type="dxa"/>
                  <w:tcBorders>
                    <w:bottom w:val="single" w:color="auto" w:sz="4" w:space="0"/>
                  </w:tcBorders>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统计期完成培训次数/计划培训次数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tcBorders>
                    <w:bottom w:val="single" w:color="auto" w:sz="4" w:space="0"/>
                  </w:tcBorders>
                  <w:noWrap w:val="0"/>
                  <w:vAlign w:val="top"/>
                </w:tcPr>
                <w:p>
                  <w:pPr>
                    <w:rPr>
                      <w:rFonts w:hint="eastAsia" w:ascii="宋体" w:hAnsi="宋体"/>
                      <w:spacing w:val="-6"/>
                      <w:sz w:val="21"/>
                      <w:szCs w:val="21"/>
                    </w:rPr>
                  </w:pPr>
                  <w:r>
                    <w:rPr>
                      <w:rFonts w:hint="eastAsia" w:ascii="宋体" w:hAnsi="宋体"/>
                      <w:spacing w:val="-6"/>
                      <w:sz w:val="21"/>
                      <w:szCs w:val="21"/>
                    </w:rPr>
                    <w:t>2、</w:t>
                  </w:r>
                  <w:r>
                    <w:rPr>
                      <w:rFonts w:hint="eastAsia" w:ascii="宋体" w:hAnsi="宋体"/>
                      <w:color w:val="000000"/>
                      <w:sz w:val="21"/>
                      <w:szCs w:val="21"/>
                    </w:rPr>
                    <w:t>办公垃圾分类排放，检查合格率100%；</w:t>
                  </w:r>
                </w:p>
              </w:tc>
              <w:tc>
                <w:tcPr>
                  <w:tcW w:w="4420" w:type="dxa"/>
                  <w:tcBorders>
                    <w:bottom w:val="single" w:color="auto" w:sz="4" w:space="0"/>
                  </w:tcBorders>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统计检查合格次数/共检查次数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tcBorders>
                    <w:bottom w:val="single" w:color="auto" w:sz="4" w:space="0"/>
                  </w:tcBorders>
                  <w:noWrap w:val="0"/>
                  <w:vAlign w:val="top"/>
                </w:tcPr>
                <w:p>
                  <w:pPr>
                    <w:rPr>
                      <w:rFonts w:hint="eastAsia" w:ascii="宋体" w:hAnsi="宋体"/>
                      <w:sz w:val="21"/>
                      <w:szCs w:val="21"/>
                    </w:rPr>
                  </w:pPr>
                  <w:r>
                    <w:rPr>
                      <w:rFonts w:hint="eastAsia" w:ascii="宋体" w:hAnsi="宋体"/>
                      <w:bCs/>
                      <w:sz w:val="21"/>
                      <w:szCs w:val="21"/>
                    </w:rPr>
                    <w:t>3、</w:t>
                  </w:r>
                  <w:r>
                    <w:rPr>
                      <w:rFonts w:hint="eastAsia" w:ascii="宋体" w:hAnsi="宋体"/>
                      <w:sz w:val="21"/>
                      <w:szCs w:val="21"/>
                    </w:rPr>
                    <w:t>火灾事故为0</w:t>
                  </w:r>
                </w:p>
              </w:tc>
              <w:tc>
                <w:tcPr>
                  <w:tcW w:w="4420" w:type="dxa"/>
                  <w:tcBorders>
                    <w:bottom w:val="single" w:color="auto" w:sz="4" w:space="0"/>
                  </w:tcBorders>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以实际统计数计算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8" w:type="dxa"/>
                  <w:vMerge w:val="restart"/>
                  <w:noWrap w:val="0"/>
                  <w:vAlign w:val="center"/>
                </w:tcPr>
                <w:p>
                  <w:pPr>
                    <w:tabs>
                      <w:tab w:val="left" w:pos="10080"/>
                    </w:tabs>
                    <w:jc w:val="center"/>
                    <w:rPr>
                      <w:rFonts w:hint="eastAsia" w:ascii="宋体" w:hAnsi="宋体"/>
                      <w:sz w:val="21"/>
                      <w:szCs w:val="21"/>
                    </w:rPr>
                  </w:pPr>
                  <w:r>
                    <w:rPr>
                      <w:rFonts w:hint="eastAsia" w:ascii="宋体" w:hAnsi="宋体"/>
                      <w:sz w:val="21"/>
                      <w:szCs w:val="21"/>
                    </w:rPr>
                    <w:t>生产部(含车间)</w:t>
                  </w:r>
                </w:p>
              </w:tc>
              <w:tc>
                <w:tcPr>
                  <w:tcW w:w="4225" w:type="dxa"/>
                  <w:gridSpan w:val="2"/>
                  <w:noWrap w:val="0"/>
                  <w:vAlign w:val="top"/>
                </w:tcPr>
                <w:p>
                  <w:pPr>
                    <w:rPr>
                      <w:sz w:val="21"/>
                      <w:szCs w:val="21"/>
                    </w:rPr>
                  </w:pPr>
                  <w:r>
                    <w:rPr>
                      <w:rFonts w:hint="eastAsia" w:cs="宋体"/>
                      <w:sz w:val="21"/>
                      <w:szCs w:val="21"/>
                    </w:rPr>
                    <w:t>1、</w:t>
                  </w:r>
                  <w:r>
                    <w:rPr>
                      <w:rFonts w:cs="宋体"/>
                      <w:sz w:val="21"/>
                      <w:szCs w:val="21"/>
                    </w:rPr>
                    <w:t>危险废物100%交有资质的单位最终处置</w:t>
                  </w:r>
                </w:p>
              </w:tc>
              <w:tc>
                <w:tcPr>
                  <w:tcW w:w="4420" w:type="dxa"/>
                  <w:noWrap w:val="0"/>
                  <w:vAlign w:val="top"/>
                </w:tcPr>
                <w:p>
                  <w:pPr>
                    <w:rPr>
                      <w:rFonts w:hint="eastAsia"/>
                      <w:sz w:val="21"/>
                      <w:szCs w:val="21"/>
                    </w:rPr>
                  </w:pPr>
                  <w:r>
                    <w:rPr>
                      <w:rFonts w:hint="eastAsia" w:ascii="宋体" w:hAnsi="宋体"/>
                      <w:color w:val="000000"/>
                      <w:sz w:val="21"/>
                      <w:szCs w:val="21"/>
                    </w:rPr>
                    <w:t>以实际统计计算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center"/>
                </w:tcPr>
                <w:p>
                  <w:pPr>
                    <w:rPr>
                      <w:rFonts w:hint="eastAsia" w:ascii="宋体" w:hAnsi="宋体"/>
                      <w:sz w:val="21"/>
                      <w:szCs w:val="21"/>
                    </w:rPr>
                  </w:pPr>
                  <w:r>
                    <w:rPr>
                      <w:rFonts w:hint="eastAsia" w:ascii="宋体" w:hAnsi="宋体"/>
                      <w:bCs/>
                      <w:sz w:val="21"/>
                      <w:szCs w:val="21"/>
                    </w:rPr>
                    <w:t>2、万元产值</w:t>
                  </w:r>
                  <w:r>
                    <w:rPr>
                      <w:rFonts w:hint="eastAsia" w:ascii="宋体" w:hAnsi="宋体"/>
                      <w:sz w:val="21"/>
                      <w:szCs w:val="21"/>
                    </w:rPr>
                    <w:t>降低电消耗1%</w:t>
                  </w:r>
                  <w:r>
                    <w:rPr>
                      <w:rFonts w:hint="eastAsia" w:ascii="宋体" w:hAnsi="宋体"/>
                      <w:bCs/>
                      <w:sz w:val="21"/>
                      <w:szCs w:val="21"/>
                    </w:rPr>
                    <w:t>。</w:t>
                  </w:r>
                </w:p>
              </w:tc>
              <w:tc>
                <w:tcPr>
                  <w:tcW w:w="4420" w:type="dxa"/>
                  <w:noWrap w:val="0"/>
                  <w:vAlign w:val="center"/>
                </w:tcPr>
                <w:p>
                  <w:pPr>
                    <w:tabs>
                      <w:tab w:val="left" w:pos="10080"/>
                    </w:tabs>
                    <w:rPr>
                      <w:rFonts w:hint="eastAsia" w:ascii="宋体" w:hAnsi="宋体"/>
                      <w:sz w:val="21"/>
                      <w:szCs w:val="21"/>
                    </w:rPr>
                  </w:pPr>
                  <w:r>
                    <w:rPr>
                      <w:rFonts w:hint="eastAsia" w:ascii="宋体" w:hAnsi="宋体"/>
                      <w:sz w:val="21"/>
                      <w:szCs w:val="21"/>
                    </w:rPr>
                    <w:t>(统计期水电消耗-上年度水电消耗)/上年度水电消耗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center"/>
                </w:tcPr>
                <w:p>
                  <w:pPr>
                    <w:rPr>
                      <w:rFonts w:hint="eastAsia" w:ascii="宋体" w:hAnsi="宋体"/>
                      <w:bCs/>
                      <w:sz w:val="21"/>
                      <w:szCs w:val="21"/>
                    </w:rPr>
                  </w:pPr>
                  <w:r>
                    <w:rPr>
                      <w:rFonts w:hint="eastAsia" w:ascii="宋体" w:hAnsi="宋体"/>
                      <w:bCs/>
                      <w:sz w:val="21"/>
                      <w:szCs w:val="21"/>
                    </w:rPr>
                    <w:t>3、噪声达标排放</w:t>
                  </w:r>
                </w:p>
              </w:tc>
              <w:tc>
                <w:tcPr>
                  <w:tcW w:w="4420" w:type="dxa"/>
                  <w:noWrap w:val="0"/>
                  <w:vAlign w:val="center"/>
                </w:tcPr>
                <w:p>
                  <w:pPr>
                    <w:tabs>
                      <w:tab w:val="left" w:pos="10080"/>
                    </w:tabs>
                    <w:rPr>
                      <w:rFonts w:hint="eastAsia" w:ascii="宋体" w:hAnsi="宋体"/>
                      <w:sz w:val="21"/>
                      <w:szCs w:val="21"/>
                    </w:rPr>
                  </w:pPr>
                  <w:r>
                    <w:rPr>
                      <w:rFonts w:hint="eastAsia" w:ascii="宋体" w:hAnsi="宋体"/>
                      <w:color w:val="000000"/>
                      <w:sz w:val="21"/>
                      <w:szCs w:val="21"/>
                    </w:rPr>
                    <w:t>以实际统计计算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top"/>
                </w:tcPr>
                <w:p>
                  <w:pPr>
                    <w:rPr>
                      <w:rFonts w:hint="eastAsia" w:ascii="宋体" w:hAnsi="宋体"/>
                      <w:spacing w:val="-6"/>
                      <w:sz w:val="21"/>
                      <w:szCs w:val="21"/>
                    </w:rPr>
                  </w:pPr>
                  <w:r>
                    <w:rPr>
                      <w:rFonts w:hint="eastAsia" w:ascii="宋体" w:hAnsi="宋体"/>
                      <w:spacing w:val="-6"/>
                      <w:sz w:val="21"/>
                      <w:szCs w:val="21"/>
                    </w:rPr>
                    <w:t>4、</w:t>
                  </w:r>
                  <w:r>
                    <w:rPr>
                      <w:rFonts w:hint="eastAsia" w:ascii="宋体" w:hAnsi="宋体"/>
                      <w:color w:val="000000"/>
                      <w:sz w:val="21"/>
                      <w:szCs w:val="21"/>
                    </w:rPr>
                    <w:t>火灾事故为0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以实际统计计算。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top"/>
                </w:tcPr>
                <w:p>
                  <w:pPr>
                    <w:rPr>
                      <w:rFonts w:hint="eastAsia" w:ascii="宋体" w:hAnsi="宋体"/>
                      <w:spacing w:val="-6"/>
                      <w:sz w:val="21"/>
                      <w:szCs w:val="21"/>
                    </w:rPr>
                  </w:pPr>
                  <w:r>
                    <w:rPr>
                      <w:rFonts w:hint="eastAsia" w:ascii="宋体" w:hAnsi="宋体"/>
                      <w:spacing w:val="-6"/>
                      <w:sz w:val="21"/>
                      <w:szCs w:val="21"/>
                    </w:rPr>
                    <w:t>5、环保设备完好率大于95%</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完好环保设备数量/环保设备总数量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top"/>
                </w:tcPr>
                <w:p>
                  <w:pPr>
                    <w:rPr>
                      <w:rFonts w:hint="eastAsia" w:ascii="宋体" w:hAnsi="宋体" w:eastAsia="宋体"/>
                      <w:spacing w:val="-6"/>
                      <w:sz w:val="21"/>
                      <w:szCs w:val="21"/>
                      <w:lang w:val="en-US" w:eastAsia="zh-CN"/>
                    </w:rPr>
                  </w:pPr>
                  <w:r>
                    <w:rPr>
                      <w:rFonts w:hint="eastAsia" w:ascii="宋体" w:hAnsi="宋体"/>
                      <w:spacing w:val="-6"/>
                      <w:sz w:val="21"/>
                      <w:szCs w:val="21"/>
                      <w:lang w:val="en-US" w:eastAsia="zh-CN"/>
                    </w:rPr>
                    <w:t>6、</w:t>
                  </w:r>
                  <w:r>
                    <w:rPr>
                      <w:rFonts w:hint="eastAsia" w:ascii="宋体" w:hAnsi="宋体"/>
                      <w:bCs/>
                      <w:sz w:val="21"/>
                      <w:szCs w:val="21"/>
                    </w:rPr>
                    <w:t>环境污染事故为</w:t>
                  </w:r>
                  <w:r>
                    <w:rPr>
                      <w:rFonts w:hint="eastAsia" w:ascii="宋体" w:hAnsi="宋体"/>
                      <w:bCs/>
                      <w:sz w:val="21"/>
                      <w:szCs w:val="21"/>
                      <w:lang w:val="en-US" w:eastAsia="zh-CN"/>
                    </w:rPr>
                    <w:t>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以实际统计计算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restart"/>
                  <w:noWrap w:val="0"/>
                  <w:vAlign w:val="center"/>
                </w:tcPr>
                <w:p>
                  <w:pPr>
                    <w:tabs>
                      <w:tab w:val="left" w:pos="10080"/>
                    </w:tabs>
                    <w:jc w:val="center"/>
                    <w:rPr>
                      <w:rFonts w:ascii="宋体" w:hAnsi="宋体"/>
                      <w:sz w:val="21"/>
                      <w:szCs w:val="21"/>
                    </w:rPr>
                  </w:pPr>
                  <w:r>
                    <w:rPr>
                      <w:rFonts w:hint="eastAsia" w:ascii="宋体" w:hAnsi="宋体"/>
                      <w:sz w:val="21"/>
                      <w:szCs w:val="21"/>
                    </w:rPr>
                    <w:t>财</w:t>
                  </w:r>
                </w:p>
                <w:p>
                  <w:pPr>
                    <w:tabs>
                      <w:tab w:val="left" w:pos="10080"/>
                    </w:tabs>
                    <w:jc w:val="center"/>
                    <w:rPr>
                      <w:rFonts w:ascii="宋体" w:hAnsi="宋体"/>
                      <w:sz w:val="21"/>
                      <w:szCs w:val="21"/>
                    </w:rPr>
                  </w:pPr>
                  <w:r>
                    <w:rPr>
                      <w:rFonts w:hint="eastAsia" w:ascii="宋体" w:hAnsi="宋体"/>
                      <w:sz w:val="21"/>
                      <w:szCs w:val="21"/>
                    </w:rPr>
                    <w:t>务</w:t>
                  </w:r>
                </w:p>
                <w:p>
                  <w:pPr>
                    <w:tabs>
                      <w:tab w:val="left" w:pos="10080"/>
                    </w:tabs>
                    <w:jc w:val="center"/>
                    <w:rPr>
                      <w:rFonts w:hint="eastAsia" w:ascii="宋体" w:hAnsi="宋体"/>
                      <w:sz w:val="21"/>
                      <w:szCs w:val="21"/>
                    </w:rPr>
                  </w:pPr>
                  <w:r>
                    <w:rPr>
                      <w:rFonts w:hint="eastAsia" w:ascii="宋体" w:hAnsi="宋体"/>
                      <w:sz w:val="21"/>
                      <w:szCs w:val="21"/>
                    </w:rPr>
                    <w:t>部</w:t>
                  </w:r>
                </w:p>
              </w:tc>
              <w:tc>
                <w:tcPr>
                  <w:tcW w:w="4225" w:type="dxa"/>
                  <w:gridSpan w:val="2"/>
                  <w:noWrap w:val="0"/>
                  <w:vAlign w:val="center"/>
                </w:tcPr>
                <w:p>
                  <w:pPr>
                    <w:tabs>
                      <w:tab w:val="left" w:pos="10080"/>
                    </w:tabs>
                    <w:rPr>
                      <w:rFonts w:hint="eastAsia" w:ascii="宋体" w:hAnsi="宋体"/>
                      <w:sz w:val="21"/>
                      <w:szCs w:val="21"/>
                    </w:rPr>
                  </w:pPr>
                  <w:r>
                    <w:rPr>
                      <w:rFonts w:hint="eastAsia" w:ascii="宋体" w:hAnsi="宋体"/>
                      <w:color w:val="000000"/>
                      <w:sz w:val="21"/>
                      <w:szCs w:val="21"/>
                    </w:rPr>
                    <w:t>1、安环资金投入计划实施率90%以上</w:t>
                  </w:r>
                </w:p>
              </w:tc>
              <w:tc>
                <w:tcPr>
                  <w:tcW w:w="4420" w:type="dxa"/>
                  <w:noWrap w:val="0"/>
                  <w:vAlign w:val="center"/>
                </w:tcPr>
                <w:p>
                  <w:pPr>
                    <w:widowControl/>
                    <w:spacing w:line="360" w:lineRule="exact"/>
                    <w:jc w:val="left"/>
                    <w:rPr>
                      <w:rFonts w:hint="eastAsia" w:ascii="宋体" w:hAnsi="宋体"/>
                      <w:color w:val="000000"/>
                      <w:sz w:val="21"/>
                      <w:szCs w:val="21"/>
                    </w:rPr>
                  </w:pPr>
                  <w:r>
                    <w:rPr>
                      <w:rFonts w:hint="eastAsia" w:ascii="宋体" w:hAnsi="宋体"/>
                      <w:color w:val="000000"/>
                      <w:sz w:val="21"/>
                      <w:szCs w:val="21"/>
                    </w:rPr>
                    <w:t>实际投入资金/计划投入资金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center"/>
                </w:tcPr>
                <w:p>
                  <w:pPr>
                    <w:tabs>
                      <w:tab w:val="left" w:pos="10080"/>
                    </w:tabs>
                    <w:rPr>
                      <w:rFonts w:hint="eastAsia" w:ascii="宋体" w:hAnsi="宋体"/>
                      <w:sz w:val="21"/>
                      <w:szCs w:val="21"/>
                    </w:rPr>
                  </w:pPr>
                  <w:r>
                    <w:rPr>
                      <w:rFonts w:hint="eastAsia" w:ascii="宋体" w:hAnsi="宋体"/>
                      <w:color w:val="000000"/>
                      <w:sz w:val="21"/>
                      <w:szCs w:val="21"/>
                    </w:rPr>
                    <w:t>2、办公垃圾分类排放，检查合格率100%；</w:t>
                  </w:r>
                </w:p>
              </w:tc>
              <w:tc>
                <w:tcPr>
                  <w:tcW w:w="4420" w:type="dxa"/>
                  <w:noWrap w:val="0"/>
                  <w:vAlign w:val="center"/>
                </w:tcPr>
                <w:p>
                  <w:pPr>
                    <w:tabs>
                      <w:tab w:val="left" w:pos="10080"/>
                    </w:tabs>
                    <w:spacing w:line="360" w:lineRule="exact"/>
                    <w:rPr>
                      <w:rFonts w:hint="eastAsia" w:ascii="宋体" w:hAnsi="宋体"/>
                      <w:sz w:val="21"/>
                      <w:szCs w:val="21"/>
                    </w:rPr>
                  </w:pPr>
                  <w:r>
                    <w:rPr>
                      <w:rFonts w:hint="eastAsia" w:ascii="宋体" w:hAnsi="宋体"/>
                      <w:sz w:val="21"/>
                      <w:szCs w:val="21"/>
                    </w:rPr>
                    <w:t>合格次数/检查次数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top"/>
                </w:tcPr>
                <w:p>
                  <w:pPr>
                    <w:rPr>
                      <w:rFonts w:hint="eastAsia" w:ascii="宋体" w:hAnsi="宋体"/>
                      <w:sz w:val="21"/>
                      <w:szCs w:val="21"/>
                    </w:rPr>
                  </w:pPr>
                  <w:r>
                    <w:rPr>
                      <w:rFonts w:hint="eastAsia" w:ascii="宋体" w:hAnsi="宋体"/>
                      <w:bCs/>
                      <w:sz w:val="21"/>
                      <w:szCs w:val="21"/>
                    </w:rPr>
                    <w:t>3、</w:t>
                  </w:r>
                  <w:r>
                    <w:rPr>
                      <w:rFonts w:hint="eastAsia" w:ascii="宋体" w:hAnsi="宋体"/>
                      <w:sz w:val="21"/>
                      <w:szCs w:val="21"/>
                    </w:rPr>
                    <w:t>火灾事故为0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以实际统计数计算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restart"/>
                  <w:noWrap w:val="0"/>
                  <w:vAlign w:val="center"/>
                </w:tcPr>
                <w:p>
                  <w:pPr>
                    <w:tabs>
                      <w:tab w:val="left" w:pos="10080"/>
                    </w:tabs>
                    <w:jc w:val="center"/>
                    <w:rPr>
                      <w:rFonts w:ascii="宋体" w:hAnsi="宋体"/>
                      <w:sz w:val="21"/>
                      <w:szCs w:val="21"/>
                    </w:rPr>
                  </w:pPr>
                  <w:r>
                    <w:rPr>
                      <w:rFonts w:hint="eastAsia" w:ascii="宋体" w:hAnsi="宋体"/>
                      <w:sz w:val="21"/>
                      <w:szCs w:val="21"/>
                    </w:rPr>
                    <w:t>技</w:t>
                  </w:r>
                </w:p>
                <w:p>
                  <w:pPr>
                    <w:tabs>
                      <w:tab w:val="left" w:pos="10080"/>
                    </w:tabs>
                    <w:jc w:val="center"/>
                    <w:rPr>
                      <w:rFonts w:ascii="宋体" w:hAnsi="宋体"/>
                      <w:sz w:val="21"/>
                      <w:szCs w:val="21"/>
                    </w:rPr>
                  </w:pPr>
                  <w:r>
                    <w:rPr>
                      <w:rFonts w:hint="eastAsia" w:ascii="宋体" w:hAnsi="宋体"/>
                      <w:sz w:val="21"/>
                      <w:szCs w:val="21"/>
                    </w:rPr>
                    <w:t>术</w:t>
                  </w:r>
                </w:p>
                <w:p>
                  <w:pPr>
                    <w:tabs>
                      <w:tab w:val="left" w:pos="10080"/>
                    </w:tabs>
                    <w:jc w:val="center"/>
                    <w:rPr>
                      <w:rFonts w:hint="eastAsia" w:ascii="宋体" w:hAnsi="宋体"/>
                      <w:sz w:val="21"/>
                      <w:szCs w:val="21"/>
                    </w:rPr>
                  </w:pPr>
                  <w:r>
                    <w:rPr>
                      <w:rFonts w:hint="eastAsia" w:ascii="宋体" w:hAnsi="宋体"/>
                      <w:sz w:val="21"/>
                      <w:szCs w:val="21"/>
                    </w:rPr>
                    <w:t>部</w:t>
                  </w:r>
                </w:p>
              </w:tc>
              <w:tc>
                <w:tcPr>
                  <w:tcW w:w="4225" w:type="dxa"/>
                  <w:gridSpan w:val="2"/>
                  <w:noWrap w:val="0"/>
                  <w:vAlign w:val="top"/>
                </w:tcPr>
                <w:p>
                  <w:pPr>
                    <w:rPr>
                      <w:rFonts w:hint="eastAsia" w:ascii="宋体" w:hAnsi="宋体"/>
                      <w:spacing w:val="-6"/>
                      <w:sz w:val="21"/>
                      <w:szCs w:val="21"/>
                    </w:rPr>
                  </w:pPr>
                  <w:r>
                    <w:rPr>
                      <w:rFonts w:hint="eastAsia" w:ascii="宋体" w:hAnsi="宋体"/>
                      <w:spacing w:val="-6"/>
                      <w:sz w:val="21"/>
                      <w:szCs w:val="21"/>
                    </w:rPr>
                    <w:t>1、</w:t>
                  </w:r>
                  <w:r>
                    <w:rPr>
                      <w:rFonts w:hint="eastAsia" w:ascii="宋体" w:hAnsi="宋体"/>
                      <w:color w:val="000000"/>
                      <w:sz w:val="21"/>
                      <w:szCs w:val="21"/>
                    </w:rPr>
                    <w:t>办公垃圾分类排放，检查合格率100%；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统计检查合格次数/共检查次数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top"/>
                </w:tcPr>
                <w:p>
                  <w:pPr>
                    <w:rPr>
                      <w:rFonts w:hint="eastAsia" w:ascii="宋体" w:hAnsi="宋体"/>
                      <w:sz w:val="21"/>
                      <w:szCs w:val="21"/>
                    </w:rPr>
                  </w:pPr>
                  <w:r>
                    <w:rPr>
                      <w:rFonts w:hint="eastAsia" w:ascii="宋体" w:hAnsi="宋体"/>
                      <w:bCs/>
                      <w:sz w:val="21"/>
                      <w:szCs w:val="21"/>
                    </w:rPr>
                    <w:t>2、</w:t>
                  </w:r>
                  <w:r>
                    <w:rPr>
                      <w:rFonts w:hint="eastAsia" w:ascii="宋体" w:hAnsi="宋体"/>
                      <w:sz w:val="21"/>
                      <w:szCs w:val="21"/>
                    </w:rPr>
                    <w:t>火灾事故为0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以实际统计数计算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restart"/>
                  <w:noWrap w:val="0"/>
                  <w:vAlign w:val="center"/>
                </w:tcPr>
                <w:p>
                  <w:pPr>
                    <w:tabs>
                      <w:tab w:val="left" w:pos="10080"/>
                    </w:tabs>
                    <w:jc w:val="center"/>
                    <w:rPr>
                      <w:rFonts w:hint="eastAsia" w:ascii="宋体" w:hAnsi="宋体"/>
                      <w:sz w:val="21"/>
                      <w:szCs w:val="21"/>
                    </w:rPr>
                  </w:pPr>
                  <w:r>
                    <w:rPr>
                      <w:rFonts w:hint="eastAsia" w:ascii="宋体" w:hAnsi="宋体"/>
                      <w:sz w:val="21"/>
                      <w:szCs w:val="21"/>
                    </w:rPr>
                    <w:t>销</w:t>
                  </w:r>
                </w:p>
                <w:p>
                  <w:pPr>
                    <w:tabs>
                      <w:tab w:val="left" w:pos="10080"/>
                    </w:tabs>
                    <w:jc w:val="center"/>
                    <w:rPr>
                      <w:rFonts w:ascii="宋体" w:hAnsi="宋体"/>
                      <w:sz w:val="21"/>
                      <w:szCs w:val="21"/>
                    </w:rPr>
                  </w:pPr>
                  <w:r>
                    <w:rPr>
                      <w:rFonts w:hint="eastAsia" w:ascii="宋体" w:hAnsi="宋体"/>
                      <w:sz w:val="21"/>
                      <w:szCs w:val="21"/>
                    </w:rPr>
                    <w:t>售</w:t>
                  </w:r>
                </w:p>
                <w:p>
                  <w:pPr>
                    <w:tabs>
                      <w:tab w:val="left" w:pos="10080"/>
                    </w:tabs>
                    <w:jc w:val="center"/>
                    <w:rPr>
                      <w:rFonts w:hint="eastAsia" w:ascii="宋体" w:hAnsi="宋体"/>
                      <w:sz w:val="21"/>
                      <w:szCs w:val="21"/>
                    </w:rPr>
                  </w:pPr>
                  <w:r>
                    <w:rPr>
                      <w:rFonts w:hint="eastAsia" w:ascii="宋体" w:hAnsi="宋体"/>
                      <w:sz w:val="21"/>
                      <w:szCs w:val="21"/>
                    </w:rPr>
                    <w:t>部</w:t>
                  </w:r>
                </w:p>
              </w:tc>
              <w:tc>
                <w:tcPr>
                  <w:tcW w:w="4225" w:type="dxa"/>
                  <w:gridSpan w:val="2"/>
                  <w:noWrap w:val="0"/>
                  <w:vAlign w:val="top"/>
                </w:tcPr>
                <w:p>
                  <w:pPr>
                    <w:rPr>
                      <w:rFonts w:hint="eastAsia" w:ascii="宋体" w:hAnsi="宋体"/>
                      <w:spacing w:val="-6"/>
                      <w:sz w:val="21"/>
                      <w:szCs w:val="21"/>
                    </w:rPr>
                  </w:pPr>
                  <w:r>
                    <w:rPr>
                      <w:rFonts w:hint="eastAsia" w:ascii="宋体" w:hAnsi="宋体"/>
                      <w:spacing w:val="-6"/>
                      <w:sz w:val="21"/>
                      <w:szCs w:val="21"/>
                    </w:rPr>
                    <w:t>1、</w:t>
                  </w:r>
                  <w:r>
                    <w:rPr>
                      <w:rFonts w:hint="eastAsia" w:ascii="宋体" w:hAnsi="宋体"/>
                      <w:color w:val="000000"/>
                      <w:sz w:val="21"/>
                      <w:szCs w:val="21"/>
                    </w:rPr>
                    <w:t>办公垃圾分类排放，检查合格率100%；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统计检查合格次数/共检查次数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top"/>
                </w:tcPr>
                <w:p>
                  <w:pPr>
                    <w:rPr>
                      <w:rFonts w:hint="eastAsia" w:ascii="宋体" w:hAnsi="宋体"/>
                      <w:sz w:val="21"/>
                      <w:szCs w:val="21"/>
                    </w:rPr>
                  </w:pPr>
                  <w:r>
                    <w:rPr>
                      <w:rFonts w:hint="eastAsia" w:ascii="宋体" w:hAnsi="宋体"/>
                      <w:bCs/>
                      <w:sz w:val="21"/>
                      <w:szCs w:val="21"/>
                    </w:rPr>
                    <w:t>2、</w:t>
                  </w:r>
                  <w:r>
                    <w:rPr>
                      <w:rFonts w:hint="eastAsia" w:ascii="宋体" w:hAnsi="宋体"/>
                      <w:sz w:val="21"/>
                      <w:szCs w:val="21"/>
                    </w:rPr>
                    <w:t>火灾事故为0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以实际统计数计算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restart"/>
                  <w:noWrap w:val="0"/>
                  <w:vAlign w:val="center"/>
                </w:tcPr>
                <w:p>
                  <w:pPr>
                    <w:tabs>
                      <w:tab w:val="left" w:pos="10080"/>
                    </w:tabs>
                    <w:jc w:val="center"/>
                    <w:rPr>
                      <w:rFonts w:ascii="宋体" w:hAnsi="宋体"/>
                      <w:sz w:val="21"/>
                      <w:szCs w:val="21"/>
                    </w:rPr>
                  </w:pPr>
                  <w:r>
                    <w:rPr>
                      <w:rFonts w:hint="eastAsia" w:ascii="宋体" w:hAnsi="宋体"/>
                      <w:sz w:val="21"/>
                      <w:szCs w:val="21"/>
                    </w:rPr>
                    <w:t>采</w:t>
                  </w:r>
                </w:p>
                <w:p>
                  <w:pPr>
                    <w:tabs>
                      <w:tab w:val="left" w:pos="10080"/>
                    </w:tabs>
                    <w:jc w:val="center"/>
                    <w:rPr>
                      <w:rFonts w:ascii="宋体" w:hAnsi="宋体"/>
                      <w:sz w:val="21"/>
                      <w:szCs w:val="21"/>
                    </w:rPr>
                  </w:pPr>
                  <w:r>
                    <w:rPr>
                      <w:rFonts w:hint="eastAsia" w:ascii="宋体" w:hAnsi="宋体"/>
                      <w:sz w:val="21"/>
                      <w:szCs w:val="21"/>
                    </w:rPr>
                    <w:t>购</w:t>
                  </w:r>
                </w:p>
                <w:p>
                  <w:pPr>
                    <w:tabs>
                      <w:tab w:val="left" w:pos="10080"/>
                    </w:tabs>
                    <w:jc w:val="center"/>
                    <w:rPr>
                      <w:rFonts w:hint="eastAsia" w:ascii="宋体" w:hAnsi="宋体"/>
                      <w:sz w:val="21"/>
                      <w:szCs w:val="21"/>
                    </w:rPr>
                  </w:pPr>
                  <w:r>
                    <w:rPr>
                      <w:rFonts w:hint="eastAsia" w:ascii="宋体" w:hAnsi="宋体"/>
                      <w:sz w:val="21"/>
                      <w:szCs w:val="21"/>
                    </w:rPr>
                    <w:t>部</w:t>
                  </w:r>
                </w:p>
              </w:tc>
              <w:tc>
                <w:tcPr>
                  <w:tcW w:w="4225" w:type="dxa"/>
                  <w:gridSpan w:val="2"/>
                  <w:noWrap w:val="0"/>
                  <w:vAlign w:val="top"/>
                </w:tcPr>
                <w:p>
                  <w:pPr>
                    <w:rPr>
                      <w:rFonts w:hint="eastAsia" w:ascii="宋体" w:hAnsi="宋体"/>
                      <w:spacing w:val="-6"/>
                      <w:sz w:val="21"/>
                      <w:szCs w:val="21"/>
                    </w:rPr>
                  </w:pPr>
                  <w:r>
                    <w:rPr>
                      <w:rFonts w:hint="eastAsia" w:ascii="宋体" w:hAnsi="宋体"/>
                      <w:spacing w:val="-6"/>
                      <w:sz w:val="21"/>
                      <w:szCs w:val="21"/>
                    </w:rPr>
                    <w:t>1、</w:t>
                  </w:r>
                  <w:r>
                    <w:rPr>
                      <w:rFonts w:hint="eastAsia" w:ascii="宋体" w:hAnsi="宋体"/>
                      <w:color w:val="000000"/>
                      <w:sz w:val="21"/>
                      <w:szCs w:val="21"/>
                    </w:rPr>
                    <w:t>办公垃圾分类排放，检查合格率100%；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统计检查合格次数/共检查次数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top"/>
                </w:tcPr>
                <w:p>
                  <w:pPr>
                    <w:rPr>
                      <w:rFonts w:hint="eastAsia" w:ascii="宋体" w:hAnsi="宋体"/>
                      <w:sz w:val="21"/>
                      <w:szCs w:val="21"/>
                    </w:rPr>
                  </w:pPr>
                  <w:r>
                    <w:rPr>
                      <w:rFonts w:hint="eastAsia" w:ascii="宋体" w:hAnsi="宋体"/>
                      <w:bCs/>
                      <w:sz w:val="21"/>
                      <w:szCs w:val="21"/>
                    </w:rPr>
                    <w:t>2、</w:t>
                  </w:r>
                  <w:r>
                    <w:rPr>
                      <w:rFonts w:hint="eastAsia" w:ascii="宋体" w:hAnsi="宋体"/>
                      <w:sz w:val="21"/>
                      <w:szCs w:val="21"/>
                    </w:rPr>
                    <w:t xml:space="preserve">火灾事故为0 </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以实际统计数计算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top"/>
                </w:tcPr>
                <w:p>
                  <w:pPr>
                    <w:rPr>
                      <w:rFonts w:hint="eastAsia" w:ascii="宋体" w:hAnsi="宋体"/>
                      <w:sz w:val="21"/>
                      <w:szCs w:val="21"/>
                    </w:rPr>
                  </w:pPr>
                  <w:r>
                    <w:rPr>
                      <w:rFonts w:hint="eastAsia" w:ascii="宋体" w:hAnsi="宋体"/>
                      <w:sz w:val="21"/>
                      <w:szCs w:val="21"/>
                    </w:rPr>
                    <w:t>3、相关方施加影响率100%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施加影响数/需要施加影响数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restart"/>
                  <w:noWrap w:val="0"/>
                  <w:vAlign w:val="center"/>
                </w:tcPr>
                <w:p>
                  <w:pPr>
                    <w:tabs>
                      <w:tab w:val="left" w:pos="10080"/>
                    </w:tabs>
                    <w:jc w:val="center"/>
                    <w:rPr>
                      <w:rFonts w:hint="eastAsia" w:ascii="宋体" w:hAnsi="宋体"/>
                      <w:sz w:val="21"/>
                      <w:szCs w:val="21"/>
                    </w:rPr>
                  </w:pPr>
                  <w:r>
                    <w:rPr>
                      <w:rFonts w:hint="eastAsia" w:ascii="宋体" w:hAnsi="宋体"/>
                      <w:sz w:val="21"/>
                      <w:szCs w:val="21"/>
                    </w:rPr>
                    <w:t>质</w:t>
                  </w:r>
                </w:p>
                <w:p>
                  <w:pPr>
                    <w:tabs>
                      <w:tab w:val="left" w:pos="10080"/>
                    </w:tabs>
                    <w:jc w:val="center"/>
                    <w:rPr>
                      <w:rFonts w:hint="eastAsia" w:ascii="宋体" w:hAnsi="宋体"/>
                      <w:sz w:val="21"/>
                      <w:szCs w:val="21"/>
                    </w:rPr>
                  </w:pPr>
                  <w:r>
                    <w:rPr>
                      <w:rFonts w:hint="eastAsia" w:ascii="宋体" w:hAnsi="宋体"/>
                      <w:sz w:val="21"/>
                      <w:szCs w:val="21"/>
                    </w:rPr>
                    <w:t>管</w:t>
                  </w:r>
                </w:p>
                <w:p>
                  <w:pPr>
                    <w:tabs>
                      <w:tab w:val="left" w:pos="10080"/>
                    </w:tabs>
                    <w:jc w:val="center"/>
                    <w:rPr>
                      <w:rFonts w:hint="eastAsia" w:ascii="宋体" w:hAnsi="宋体"/>
                      <w:sz w:val="21"/>
                      <w:szCs w:val="21"/>
                    </w:rPr>
                  </w:pPr>
                  <w:r>
                    <w:rPr>
                      <w:rFonts w:hint="eastAsia" w:ascii="宋体" w:hAnsi="宋体"/>
                      <w:sz w:val="21"/>
                      <w:szCs w:val="21"/>
                    </w:rPr>
                    <w:t>部</w:t>
                  </w:r>
                </w:p>
              </w:tc>
              <w:tc>
                <w:tcPr>
                  <w:tcW w:w="4225" w:type="dxa"/>
                  <w:gridSpan w:val="2"/>
                  <w:noWrap w:val="0"/>
                  <w:vAlign w:val="top"/>
                </w:tcPr>
                <w:p>
                  <w:pPr>
                    <w:rPr>
                      <w:rFonts w:hint="eastAsia" w:ascii="宋体" w:hAnsi="宋体"/>
                      <w:spacing w:val="-6"/>
                      <w:sz w:val="21"/>
                      <w:szCs w:val="21"/>
                    </w:rPr>
                  </w:pPr>
                  <w:r>
                    <w:rPr>
                      <w:rFonts w:hint="eastAsia" w:ascii="宋体" w:hAnsi="宋体"/>
                      <w:spacing w:val="-6"/>
                      <w:sz w:val="21"/>
                      <w:szCs w:val="21"/>
                    </w:rPr>
                    <w:t>1、</w:t>
                  </w:r>
                  <w:r>
                    <w:rPr>
                      <w:rFonts w:hint="eastAsia" w:ascii="宋体" w:hAnsi="宋体"/>
                      <w:color w:val="000000"/>
                      <w:sz w:val="21"/>
                      <w:szCs w:val="21"/>
                    </w:rPr>
                    <w:t>办公垃圾分类排放，检查合格率100%；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统计检查合格次数/共检查次数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vMerge w:val="continue"/>
                  <w:noWrap w:val="0"/>
                  <w:vAlign w:val="center"/>
                </w:tcPr>
                <w:p>
                  <w:pPr>
                    <w:tabs>
                      <w:tab w:val="left" w:pos="10080"/>
                    </w:tabs>
                    <w:jc w:val="center"/>
                    <w:rPr>
                      <w:rFonts w:hint="eastAsia" w:ascii="宋体" w:hAnsi="宋体"/>
                      <w:sz w:val="21"/>
                      <w:szCs w:val="21"/>
                    </w:rPr>
                  </w:pPr>
                </w:p>
              </w:tc>
              <w:tc>
                <w:tcPr>
                  <w:tcW w:w="4225" w:type="dxa"/>
                  <w:gridSpan w:val="2"/>
                  <w:noWrap w:val="0"/>
                  <w:vAlign w:val="top"/>
                </w:tcPr>
                <w:p>
                  <w:pPr>
                    <w:rPr>
                      <w:rFonts w:hint="eastAsia" w:ascii="宋体" w:hAnsi="宋体"/>
                      <w:sz w:val="21"/>
                      <w:szCs w:val="21"/>
                    </w:rPr>
                  </w:pPr>
                  <w:r>
                    <w:rPr>
                      <w:rFonts w:hint="eastAsia" w:ascii="宋体" w:hAnsi="宋体"/>
                      <w:bCs/>
                      <w:sz w:val="21"/>
                      <w:szCs w:val="21"/>
                    </w:rPr>
                    <w:t>2、</w:t>
                  </w:r>
                  <w:r>
                    <w:rPr>
                      <w:rFonts w:hint="eastAsia" w:ascii="宋体" w:hAnsi="宋体"/>
                      <w:sz w:val="21"/>
                      <w:szCs w:val="21"/>
                    </w:rPr>
                    <w:t>火灾事故为0</w:t>
                  </w:r>
                </w:p>
              </w:tc>
              <w:tc>
                <w:tcPr>
                  <w:tcW w:w="442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以实际统计数计算</w:t>
                  </w:r>
                </w:p>
              </w:tc>
            </w:tr>
          </w:tbl>
          <w:p>
            <w:pPr>
              <w:spacing w:line="360" w:lineRule="auto"/>
              <w:rPr>
                <w:rFonts w:ascii="宋体"/>
                <w:sz w:val="24"/>
                <w:szCs w:val="24"/>
              </w:rPr>
            </w:pPr>
          </w:p>
          <w:p>
            <w:pPr>
              <w:snapToGrid w:val="0"/>
              <w:spacing w:line="360" w:lineRule="auto"/>
              <w:jc w:val="center"/>
              <w:rPr>
                <w:rFonts w:hint="eastAsia" w:ascii="宋体" w:hAnsi="宋体"/>
                <w:b/>
                <w:sz w:val="24"/>
                <w:szCs w:val="24"/>
              </w:rPr>
            </w:pPr>
          </w:p>
          <w:p>
            <w:pPr>
              <w:snapToGrid w:val="0"/>
              <w:spacing w:line="360" w:lineRule="auto"/>
              <w:jc w:val="center"/>
              <w:rPr>
                <w:rFonts w:hint="eastAsia" w:ascii="宋体" w:hAnsi="宋体"/>
                <w:b/>
                <w:sz w:val="24"/>
                <w:szCs w:val="24"/>
              </w:rPr>
            </w:pPr>
          </w:p>
          <w:p>
            <w:pPr>
              <w:snapToGrid w:val="0"/>
              <w:spacing w:line="360" w:lineRule="auto"/>
              <w:jc w:val="center"/>
              <w:rPr>
                <w:rFonts w:ascii="宋体"/>
                <w:sz w:val="24"/>
                <w:szCs w:val="24"/>
              </w:rPr>
            </w:pPr>
            <w:r>
              <w:rPr>
                <w:rFonts w:hint="eastAsia" w:ascii="宋体" w:hAnsi="宋体"/>
                <w:b/>
                <w:sz w:val="24"/>
                <w:szCs w:val="24"/>
              </w:rPr>
              <w:t>公司及各部门环境目标考核报表</w:t>
            </w:r>
          </w:p>
          <w:tbl>
            <w:tblPr>
              <w:tblStyle w:val="5"/>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00"/>
              <w:gridCol w:w="2639"/>
              <w:gridCol w:w="1151"/>
              <w:gridCol w:w="1180"/>
              <w:gridCol w:w="1380"/>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54" w:type="dxa"/>
                  <w:vMerge w:val="restart"/>
                  <w:noWrap w:val="0"/>
                  <w:vAlign w:val="center"/>
                </w:tcPr>
                <w:p>
                  <w:pPr>
                    <w:tabs>
                      <w:tab w:val="left" w:pos="10080"/>
                    </w:tabs>
                    <w:spacing w:line="300" w:lineRule="exact"/>
                    <w:jc w:val="center"/>
                    <w:rPr>
                      <w:rFonts w:hint="eastAsia" w:ascii="宋体" w:hAnsi="宋体"/>
                      <w:sz w:val="21"/>
                      <w:szCs w:val="21"/>
                    </w:rPr>
                  </w:pPr>
                  <w:r>
                    <w:rPr>
                      <w:rFonts w:hint="eastAsia" w:ascii="宋体" w:hAnsi="宋体"/>
                      <w:sz w:val="21"/>
                      <w:szCs w:val="21"/>
                    </w:rPr>
                    <w:t>部 门</w:t>
                  </w:r>
                </w:p>
              </w:tc>
              <w:tc>
                <w:tcPr>
                  <w:tcW w:w="3239" w:type="dxa"/>
                  <w:gridSpan w:val="2"/>
                  <w:vMerge w:val="restart"/>
                  <w:noWrap w:val="0"/>
                  <w:vAlign w:val="center"/>
                </w:tcPr>
                <w:p>
                  <w:pPr>
                    <w:tabs>
                      <w:tab w:val="left" w:pos="10080"/>
                    </w:tabs>
                    <w:spacing w:line="300" w:lineRule="exact"/>
                    <w:jc w:val="center"/>
                    <w:rPr>
                      <w:rFonts w:hint="eastAsia" w:ascii="宋体" w:hAnsi="宋体"/>
                      <w:sz w:val="21"/>
                      <w:szCs w:val="21"/>
                    </w:rPr>
                  </w:pPr>
                  <w:r>
                    <w:rPr>
                      <w:rFonts w:hint="eastAsia" w:ascii="宋体" w:hAnsi="宋体"/>
                      <w:sz w:val="21"/>
                      <w:szCs w:val="21"/>
                    </w:rPr>
                    <w:t>E 目  标  内 容</w:t>
                  </w:r>
                </w:p>
              </w:tc>
              <w:tc>
                <w:tcPr>
                  <w:tcW w:w="5940" w:type="dxa"/>
                  <w:gridSpan w:val="5"/>
                  <w:noWrap w:val="0"/>
                  <w:vAlign w:val="top"/>
                </w:tcPr>
                <w:p>
                  <w:pPr>
                    <w:tabs>
                      <w:tab w:val="left" w:pos="10080"/>
                    </w:tabs>
                    <w:spacing w:line="300" w:lineRule="exact"/>
                    <w:jc w:val="center"/>
                    <w:rPr>
                      <w:rFonts w:hint="eastAsia" w:ascii="宋体" w:hAnsi="宋体"/>
                      <w:sz w:val="21"/>
                      <w:szCs w:val="21"/>
                    </w:rPr>
                  </w:pPr>
                  <w:r>
                    <w:rPr>
                      <w:rFonts w:hint="eastAsia" w:ascii="宋体" w:hAnsi="宋体"/>
                      <w:sz w:val="21"/>
                      <w:szCs w:val="21"/>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vMerge w:val="continue"/>
                  <w:noWrap w:val="0"/>
                  <w:vAlign w:val="center"/>
                </w:tcPr>
                <w:p>
                  <w:pPr>
                    <w:tabs>
                      <w:tab w:val="left" w:pos="10080"/>
                    </w:tabs>
                    <w:spacing w:line="300" w:lineRule="exact"/>
                    <w:rPr>
                      <w:rFonts w:hint="eastAsia" w:ascii="宋体" w:hAnsi="宋体"/>
                      <w:sz w:val="21"/>
                      <w:szCs w:val="21"/>
                    </w:rPr>
                  </w:pPr>
                </w:p>
              </w:tc>
              <w:tc>
                <w:tcPr>
                  <w:tcW w:w="1151" w:type="dxa"/>
                  <w:noWrap w:val="0"/>
                  <w:vAlign w:val="center"/>
                </w:tcPr>
                <w:p>
                  <w:pPr>
                    <w:tabs>
                      <w:tab w:val="left" w:pos="10080"/>
                    </w:tabs>
                    <w:spacing w:line="300" w:lineRule="exact"/>
                    <w:jc w:val="center"/>
                    <w:rPr>
                      <w:rFonts w:hint="eastAsia" w:ascii="宋体" w:hAnsi="宋体"/>
                      <w:sz w:val="21"/>
                      <w:szCs w:val="21"/>
                    </w:rPr>
                  </w:pPr>
                  <w:r>
                    <w:rPr>
                      <w:rFonts w:hint="eastAsia" w:ascii="宋体" w:hAnsi="宋体"/>
                      <w:sz w:val="21"/>
                      <w:szCs w:val="21"/>
                    </w:rPr>
                    <w:t>2019-8</w:t>
                  </w:r>
                </w:p>
              </w:tc>
              <w:tc>
                <w:tcPr>
                  <w:tcW w:w="1180" w:type="dxa"/>
                  <w:noWrap w:val="0"/>
                  <w:vAlign w:val="center"/>
                </w:tcPr>
                <w:p>
                  <w:pPr>
                    <w:tabs>
                      <w:tab w:val="left" w:pos="10080"/>
                    </w:tabs>
                    <w:spacing w:line="300" w:lineRule="exact"/>
                    <w:jc w:val="center"/>
                    <w:rPr>
                      <w:rFonts w:hint="eastAsia" w:ascii="宋体" w:hAnsi="宋体"/>
                      <w:sz w:val="21"/>
                      <w:szCs w:val="21"/>
                    </w:rPr>
                  </w:pPr>
                  <w:r>
                    <w:rPr>
                      <w:rFonts w:hint="eastAsia" w:ascii="宋体" w:hAnsi="宋体"/>
                      <w:sz w:val="21"/>
                      <w:szCs w:val="21"/>
                    </w:rPr>
                    <w:t>2019-9</w:t>
                  </w:r>
                </w:p>
              </w:tc>
              <w:tc>
                <w:tcPr>
                  <w:tcW w:w="1380" w:type="dxa"/>
                  <w:noWrap w:val="0"/>
                  <w:vAlign w:val="center"/>
                </w:tcPr>
                <w:p>
                  <w:pPr>
                    <w:tabs>
                      <w:tab w:val="left" w:pos="10080"/>
                    </w:tabs>
                    <w:spacing w:line="300" w:lineRule="exact"/>
                    <w:jc w:val="center"/>
                    <w:rPr>
                      <w:rFonts w:hint="eastAsia" w:ascii="宋体" w:hAnsi="宋体"/>
                      <w:sz w:val="21"/>
                      <w:szCs w:val="21"/>
                    </w:rPr>
                  </w:pPr>
                  <w:r>
                    <w:rPr>
                      <w:rFonts w:hint="eastAsia" w:ascii="宋体" w:hAnsi="宋体"/>
                      <w:sz w:val="21"/>
                      <w:szCs w:val="21"/>
                    </w:rPr>
                    <w:t>2019-10</w:t>
                  </w:r>
                </w:p>
              </w:tc>
              <w:tc>
                <w:tcPr>
                  <w:tcW w:w="1330" w:type="dxa"/>
                  <w:noWrap w:val="0"/>
                  <w:vAlign w:val="center"/>
                </w:tcPr>
                <w:p>
                  <w:pPr>
                    <w:tabs>
                      <w:tab w:val="left" w:pos="10080"/>
                    </w:tabs>
                    <w:spacing w:line="300" w:lineRule="exact"/>
                    <w:jc w:val="center"/>
                    <w:rPr>
                      <w:rFonts w:hint="eastAsia" w:ascii="宋体" w:hAnsi="宋体"/>
                      <w:sz w:val="21"/>
                      <w:szCs w:val="21"/>
                    </w:rPr>
                  </w:pPr>
                  <w:r>
                    <w:rPr>
                      <w:rFonts w:hint="eastAsia" w:ascii="宋体" w:hAnsi="宋体"/>
                      <w:sz w:val="21"/>
                      <w:szCs w:val="21"/>
                    </w:rPr>
                    <w:t>2019-11</w:t>
                  </w:r>
                </w:p>
              </w:tc>
              <w:tc>
                <w:tcPr>
                  <w:tcW w:w="899" w:type="dxa"/>
                  <w:noWrap w:val="0"/>
                  <w:vAlign w:val="center"/>
                </w:tcPr>
                <w:p>
                  <w:pPr>
                    <w:tabs>
                      <w:tab w:val="left" w:pos="10080"/>
                    </w:tabs>
                    <w:spacing w:line="300" w:lineRule="exact"/>
                    <w:jc w:val="center"/>
                    <w:rPr>
                      <w:rFonts w:hint="eastAsia" w:ascii="宋体" w:hAnsi="宋体" w:eastAsia="宋体"/>
                      <w:sz w:val="21"/>
                      <w:szCs w:val="21"/>
                      <w:lang w:eastAsia="zh-CN"/>
                    </w:rPr>
                  </w:pPr>
                  <w:r>
                    <w:rPr>
                      <w:rFonts w:hint="eastAsia" w:ascii="宋体" w:hAnsi="宋体"/>
                      <w:sz w:val="21"/>
                      <w:szCs w:val="21"/>
                      <w:lang w:eastAsia="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600" w:type="dxa"/>
                  <w:vMerge w:val="restart"/>
                  <w:noWrap w:val="0"/>
                  <w:vAlign w:val="center"/>
                </w:tcPr>
                <w:p>
                  <w:pPr>
                    <w:rPr>
                      <w:rFonts w:hint="eastAsia" w:ascii="宋体" w:hAnsi="宋体"/>
                      <w:bCs/>
                      <w:color w:val="000000"/>
                      <w:sz w:val="21"/>
                      <w:szCs w:val="21"/>
                    </w:rPr>
                  </w:pPr>
                  <w:r>
                    <w:rPr>
                      <w:rFonts w:hint="eastAsia" w:ascii="宋体" w:hAnsi="宋体"/>
                      <w:bCs/>
                      <w:color w:val="000000"/>
                      <w:sz w:val="21"/>
                      <w:szCs w:val="21"/>
                    </w:rPr>
                    <w:t>环境目标</w:t>
                  </w:r>
                </w:p>
              </w:tc>
              <w:tc>
                <w:tcPr>
                  <w:tcW w:w="2639" w:type="dxa"/>
                  <w:noWrap w:val="0"/>
                  <w:vAlign w:val="center"/>
                </w:tcPr>
                <w:p>
                  <w:pPr>
                    <w:rPr>
                      <w:rFonts w:hint="eastAsia" w:ascii="宋体" w:hAnsi="宋体"/>
                      <w:sz w:val="21"/>
                      <w:szCs w:val="21"/>
                    </w:rPr>
                  </w:pPr>
                  <w:r>
                    <w:rPr>
                      <w:rFonts w:hint="eastAsia" w:ascii="宋体" w:hAnsi="宋体"/>
                      <w:sz w:val="21"/>
                      <w:szCs w:val="21"/>
                    </w:rPr>
                    <w:t>1、</w:t>
                  </w:r>
                  <w:r>
                    <w:rPr>
                      <w:rFonts w:hint="eastAsia" w:ascii="宋体" w:hAnsi="宋体"/>
                      <w:bCs/>
                      <w:sz w:val="21"/>
                      <w:szCs w:val="21"/>
                    </w:rPr>
                    <w:t>环境污染事故为零</w:t>
                  </w:r>
                </w:p>
              </w:tc>
              <w:tc>
                <w:tcPr>
                  <w:tcW w:w="1151"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1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3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899"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600" w:type="dxa"/>
                  <w:vMerge w:val="continue"/>
                  <w:noWrap w:val="0"/>
                  <w:vAlign w:val="center"/>
                </w:tcPr>
                <w:p>
                  <w:pPr>
                    <w:tabs>
                      <w:tab w:val="left" w:pos="10080"/>
                    </w:tabs>
                    <w:jc w:val="center"/>
                    <w:rPr>
                      <w:rFonts w:hint="eastAsia" w:ascii="宋体" w:hAnsi="宋体"/>
                      <w:bCs/>
                      <w:color w:val="000000"/>
                      <w:sz w:val="21"/>
                      <w:szCs w:val="21"/>
                    </w:rPr>
                  </w:pPr>
                </w:p>
              </w:tc>
              <w:tc>
                <w:tcPr>
                  <w:tcW w:w="2639" w:type="dxa"/>
                  <w:noWrap w:val="0"/>
                  <w:vAlign w:val="center"/>
                </w:tcPr>
                <w:p>
                  <w:pPr>
                    <w:tabs>
                      <w:tab w:val="left" w:pos="10080"/>
                    </w:tabs>
                    <w:rPr>
                      <w:rFonts w:hint="eastAsia" w:ascii="宋体" w:hAnsi="宋体"/>
                      <w:sz w:val="21"/>
                      <w:szCs w:val="21"/>
                    </w:rPr>
                  </w:pPr>
                  <w:r>
                    <w:rPr>
                      <w:rFonts w:hint="eastAsia" w:ascii="宋体" w:hAnsi="宋体"/>
                      <w:sz w:val="21"/>
                      <w:szCs w:val="21"/>
                    </w:rPr>
                    <w:t>2、固体废物分类处置合格率≥95%</w:t>
                  </w:r>
                </w:p>
              </w:tc>
              <w:tc>
                <w:tcPr>
                  <w:tcW w:w="1151"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1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3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899"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600" w:type="dxa"/>
                  <w:vMerge w:val="continue"/>
                  <w:noWrap w:val="0"/>
                  <w:vAlign w:val="center"/>
                </w:tcPr>
                <w:p>
                  <w:pPr>
                    <w:tabs>
                      <w:tab w:val="left" w:pos="10080"/>
                    </w:tabs>
                    <w:jc w:val="center"/>
                    <w:rPr>
                      <w:rFonts w:hint="eastAsia" w:ascii="宋体" w:hAnsi="宋体"/>
                      <w:bCs/>
                      <w:color w:val="000000"/>
                      <w:sz w:val="21"/>
                      <w:szCs w:val="21"/>
                    </w:rPr>
                  </w:pPr>
                </w:p>
              </w:tc>
              <w:tc>
                <w:tcPr>
                  <w:tcW w:w="2639" w:type="dxa"/>
                  <w:noWrap w:val="0"/>
                  <w:vAlign w:val="center"/>
                </w:tcPr>
                <w:p>
                  <w:pPr>
                    <w:rPr>
                      <w:rFonts w:hint="eastAsia" w:ascii="宋体" w:hAnsi="宋体"/>
                      <w:sz w:val="21"/>
                      <w:szCs w:val="21"/>
                    </w:rPr>
                  </w:pPr>
                  <w:r>
                    <w:rPr>
                      <w:rFonts w:hint="eastAsia" w:ascii="宋体" w:hAnsi="宋体"/>
                      <w:bCs/>
                      <w:sz w:val="21"/>
                      <w:szCs w:val="21"/>
                    </w:rPr>
                    <w:t>3、万元产值</w:t>
                  </w:r>
                  <w:r>
                    <w:rPr>
                      <w:rFonts w:hint="eastAsia" w:ascii="宋体" w:hAnsi="宋体"/>
                      <w:sz w:val="21"/>
                      <w:szCs w:val="21"/>
                    </w:rPr>
                    <w:t>电消耗1%</w:t>
                  </w:r>
                  <w:r>
                    <w:rPr>
                      <w:rFonts w:hint="eastAsia" w:ascii="宋体" w:hAnsi="宋体"/>
                      <w:bCs/>
                      <w:sz w:val="21"/>
                      <w:szCs w:val="21"/>
                    </w:rPr>
                    <w:t>。</w:t>
                  </w:r>
                </w:p>
              </w:tc>
              <w:tc>
                <w:tcPr>
                  <w:tcW w:w="1151" w:type="dxa"/>
                  <w:noWrap w:val="0"/>
                  <w:vAlign w:val="center"/>
                </w:tcPr>
                <w:p>
                  <w:pPr>
                    <w:spacing w:line="300" w:lineRule="exact"/>
                    <w:jc w:val="center"/>
                    <w:rPr>
                      <w:rFonts w:hint="eastAsia" w:ascii="宋体" w:hAnsi="宋体"/>
                      <w:sz w:val="21"/>
                      <w:szCs w:val="21"/>
                      <w:highlight w:val="none"/>
                    </w:rPr>
                  </w:pPr>
                  <w:r>
                    <w:rPr>
                      <w:rFonts w:hint="eastAsia" w:ascii="宋体" w:hAnsi="宋体"/>
                      <w:sz w:val="21"/>
                      <w:szCs w:val="21"/>
                      <w:highlight w:val="none"/>
                    </w:rPr>
                    <w:t>1.22%</w:t>
                  </w:r>
                </w:p>
              </w:tc>
              <w:tc>
                <w:tcPr>
                  <w:tcW w:w="1180" w:type="dxa"/>
                  <w:noWrap w:val="0"/>
                  <w:vAlign w:val="center"/>
                </w:tcPr>
                <w:p>
                  <w:pPr>
                    <w:spacing w:line="300" w:lineRule="exact"/>
                    <w:jc w:val="center"/>
                    <w:rPr>
                      <w:rFonts w:hint="eastAsia" w:ascii="宋体" w:hAnsi="宋体"/>
                      <w:sz w:val="21"/>
                      <w:szCs w:val="21"/>
                      <w:highlight w:val="none"/>
                    </w:rPr>
                  </w:pPr>
                  <w:r>
                    <w:rPr>
                      <w:rFonts w:hint="eastAsia" w:ascii="宋体" w:hAnsi="宋体"/>
                      <w:sz w:val="21"/>
                      <w:szCs w:val="21"/>
                      <w:highlight w:val="none"/>
                    </w:rPr>
                    <w:t>1.03%</w:t>
                  </w:r>
                </w:p>
              </w:tc>
              <w:tc>
                <w:tcPr>
                  <w:tcW w:w="1380" w:type="dxa"/>
                  <w:noWrap w:val="0"/>
                  <w:vAlign w:val="center"/>
                </w:tcPr>
                <w:p>
                  <w:pPr>
                    <w:spacing w:line="300" w:lineRule="exact"/>
                    <w:jc w:val="center"/>
                    <w:rPr>
                      <w:rFonts w:hint="eastAsia"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18</w:t>
                  </w:r>
                  <w:r>
                    <w:rPr>
                      <w:rFonts w:hint="eastAsia" w:ascii="宋体" w:hAnsi="宋体"/>
                      <w:sz w:val="21"/>
                      <w:szCs w:val="21"/>
                      <w:highlight w:val="none"/>
                    </w:rPr>
                    <w:t>%</w:t>
                  </w:r>
                </w:p>
              </w:tc>
              <w:tc>
                <w:tcPr>
                  <w:tcW w:w="1330" w:type="dxa"/>
                  <w:noWrap w:val="0"/>
                  <w:vAlign w:val="center"/>
                </w:tcPr>
                <w:p>
                  <w:pPr>
                    <w:spacing w:line="300" w:lineRule="exact"/>
                    <w:jc w:val="center"/>
                    <w:rPr>
                      <w:rFonts w:hint="eastAsia" w:ascii="宋体" w:hAnsi="宋体"/>
                      <w:sz w:val="21"/>
                      <w:szCs w:val="21"/>
                      <w:highlight w:val="none"/>
                    </w:rPr>
                  </w:pPr>
                  <w:r>
                    <w:rPr>
                      <w:rFonts w:hint="eastAsia" w:ascii="宋体" w:hAnsi="宋体"/>
                      <w:sz w:val="21"/>
                      <w:szCs w:val="21"/>
                      <w:highlight w:val="none"/>
                    </w:rPr>
                    <w:t>1.0</w:t>
                  </w:r>
                  <w:r>
                    <w:rPr>
                      <w:rFonts w:ascii="宋体" w:hAnsi="宋体"/>
                      <w:sz w:val="21"/>
                      <w:szCs w:val="21"/>
                      <w:highlight w:val="none"/>
                    </w:rPr>
                    <w:t>8</w:t>
                  </w:r>
                  <w:r>
                    <w:rPr>
                      <w:rFonts w:hint="eastAsia" w:ascii="宋体" w:hAnsi="宋体"/>
                      <w:sz w:val="21"/>
                      <w:szCs w:val="21"/>
                      <w:highlight w:val="none"/>
                    </w:rPr>
                    <w:t>%</w:t>
                  </w:r>
                </w:p>
              </w:tc>
              <w:tc>
                <w:tcPr>
                  <w:tcW w:w="899" w:type="dxa"/>
                  <w:noWrap w:val="0"/>
                  <w:vAlign w:val="center"/>
                </w:tcPr>
                <w:p>
                  <w:pPr>
                    <w:spacing w:line="300" w:lineRule="exact"/>
                    <w:jc w:val="center"/>
                    <w:rPr>
                      <w:rFonts w:hint="eastAsia" w:ascii="宋体" w:hAnsi="宋体"/>
                      <w:sz w:val="21"/>
                      <w:szCs w:val="21"/>
                      <w:highlight w:val="none"/>
                    </w:rPr>
                  </w:pPr>
                  <w:r>
                    <w:rPr>
                      <w:rFonts w:hint="eastAsia" w:ascii="宋体" w:hAnsi="宋体"/>
                      <w:sz w:val="21"/>
                      <w:szCs w:val="21"/>
                      <w:highlight w:val="none"/>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600" w:type="dxa"/>
                  <w:vMerge w:val="continue"/>
                  <w:noWrap w:val="0"/>
                  <w:vAlign w:val="center"/>
                </w:tcPr>
                <w:p>
                  <w:pPr>
                    <w:ind w:firstLine="1890" w:firstLineChars="900"/>
                    <w:rPr>
                      <w:rFonts w:hint="eastAsia" w:ascii="宋体" w:hAnsi="宋体"/>
                      <w:kern w:val="2"/>
                      <w:sz w:val="21"/>
                      <w:szCs w:val="21"/>
                      <w:lang w:val="en-US" w:eastAsia="zh-CN" w:bidi="ar-SA"/>
                    </w:rPr>
                  </w:pPr>
                </w:p>
              </w:tc>
              <w:tc>
                <w:tcPr>
                  <w:tcW w:w="2639" w:type="dxa"/>
                  <w:tcBorders>
                    <w:bottom w:val="single" w:color="auto" w:sz="4" w:space="0"/>
                  </w:tcBorders>
                  <w:noWrap w:val="0"/>
                  <w:vAlign w:val="center"/>
                </w:tcPr>
                <w:p>
                  <w:pPr>
                    <w:rPr>
                      <w:rFonts w:hint="eastAsia" w:ascii="宋体" w:hAnsi="宋体"/>
                      <w:kern w:val="2"/>
                      <w:sz w:val="21"/>
                      <w:szCs w:val="21"/>
                      <w:lang w:val="en-US" w:eastAsia="zh-CN" w:bidi="ar-SA"/>
                    </w:rPr>
                  </w:pPr>
                  <w:r>
                    <w:rPr>
                      <w:rFonts w:hint="eastAsia" w:ascii="宋体" w:hAnsi="宋体"/>
                      <w:bCs/>
                      <w:sz w:val="21"/>
                      <w:szCs w:val="21"/>
                    </w:rPr>
                    <w:t>4、火灾事故为零</w:t>
                  </w:r>
                </w:p>
              </w:tc>
              <w:tc>
                <w:tcPr>
                  <w:tcW w:w="1151" w:type="dxa"/>
                  <w:tcBorders>
                    <w:bottom w:val="single" w:color="auto" w:sz="4" w:space="0"/>
                  </w:tcBorders>
                  <w:noWrap w:val="0"/>
                  <w:vAlign w:val="center"/>
                </w:tcPr>
                <w:p>
                  <w:pPr>
                    <w:tabs>
                      <w:tab w:val="left" w:pos="10080"/>
                    </w:tabs>
                    <w:spacing w:line="30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w:t>
                  </w:r>
                </w:p>
              </w:tc>
              <w:tc>
                <w:tcPr>
                  <w:tcW w:w="1180" w:type="dxa"/>
                  <w:tcBorders>
                    <w:bottom w:val="single" w:color="auto" w:sz="4" w:space="0"/>
                  </w:tcBorders>
                  <w:noWrap w:val="0"/>
                  <w:vAlign w:val="center"/>
                </w:tcPr>
                <w:p>
                  <w:pPr>
                    <w:tabs>
                      <w:tab w:val="left" w:pos="10080"/>
                    </w:tabs>
                    <w:spacing w:line="30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w:t>
                  </w:r>
                </w:p>
              </w:tc>
              <w:tc>
                <w:tcPr>
                  <w:tcW w:w="1380" w:type="dxa"/>
                  <w:tcBorders>
                    <w:bottom w:val="single" w:color="auto" w:sz="4" w:space="0"/>
                  </w:tcBorders>
                  <w:noWrap w:val="0"/>
                  <w:vAlign w:val="center"/>
                </w:tcPr>
                <w:p>
                  <w:pPr>
                    <w:tabs>
                      <w:tab w:val="left" w:pos="10080"/>
                    </w:tabs>
                    <w:spacing w:line="30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w:t>
                  </w:r>
                </w:p>
              </w:tc>
              <w:tc>
                <w:tcPr>
                  <w:tcW w:w="1330" w:type="dxa"/>
                  <w:tcBorders>
                    <w:bottom w:val="single" w:color="auto" w:sz="4" w:space="0"/>
                  </w:tcBorders>
                  <w:noWrap w:val="0"/>
                  <w:vAlign w:val="center"/>
                </w:tcPr>
                <w:p>
                  <w:pPr>
                    <w:tabs>
                      <w:tab w:val="left" w:pos="10080"/>
                    </w:tabs>
                    <w:spacing w:line="30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w:t>
                  </w:r>
                </w:p>
              </w:tc>
              <w:tc>
                <w:tcPr>
                  <w:tcW w:w="899" w:type="dxa"/>
                  <w:tcBorders>
                    <w:bottom w:val="single" w:color="auto" w:sz="4" w:space="0"/>
                  </w:tcBorders>
                  <w:noWrap w:val="0"/>
                  <w:vAlign w:val="center"/>
                </w:tcPr>
                <w:p>
                  <w:pPr>
                    <w:tabs>
                      <w:tab w:val="left" w:pos="10080"/>
                    </w:tabs>
                    <w:spacing w:line="30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600" w:type="dxa"/>
                  <w:vMerge w:val="continue"/>
                  <w:tcBorders>
                    <w:bottom w:val="single" w:color="auto" w:sz="4" w:space="0"/>
                  </w:tcBorders>
                  <w:noWrap w:val="0"/>
                  <w:vAlign w:val="center"/>
                </w:tcPr>
                <w:p>
                  <w:pPr>
                    <w:ind w:firstLine="1680" w:firstLineChars="800"/>
                    <w:rPr>
                      <w:rFonts w:hint="eastAsia" w:ascii="宋体" w:hAnsi="宋体"/>
                      <w:bCs/>
                      <w:kern w:val="2"/>
                      <w:sz w:val="21"/>
                      <w:szCs w:val="21"/>
                      <w:lang w:val="en-US" w:eastAsia="zh-CN" w:bidi="ar-SA"/>
                    </w:rPr>
                  </w:pPr>
                </w:p>
              </w:tc>
              <w:tc>
                <w:tcPr>
                  <w:tcW w:w="2639" w:type="dxa"/>
                  <w:tcBorders>
                    <w:bottom w:val="single" w:color="auto" w:sz="4" w:space="0"/>
                  </w:tcBorders>
                  <w:noWrap w:val="0"/>
                  <w:vAlign w:val="center"/>
                </w:tcPr>
                <w:p>
                  <w:pPr>
                    <w:rPr>
                      <w:rFonts w:hint="eastAsia" w:ascii="宋体" w:hAnsi="宋体"/>
                      <w:bCs/>
                      <w:kern w:val="2"/>
                      <w:sz w:val="21"/>
                      <w:szCs w:val="21"/>
                      <w:lang w:val="en-US" w:eastAsia="zh-CN" w:bidi="ar-SA"/>
                    </w:rPr>
                  </w:pPr>
                  <w:r>
                    <w:rPr>
                      <w:rFonts w:hint="eastAsia" w:ascii="宋体" w:hAnsi="宋体"/>
                      <w:bCs/>
                      <w:sz w:val="21"/>
                      <w:szCs w:val="21"/>
                    </w:rPr>
                    <w:t>5、环境影响投诉次数为零</w:t>
                  </w:r>
                </w:p>
              </w:tc>
              <w:tc>
                <w:tcPr>
                  <w:tcW w:w="1151" w:type="dxa"/>
                  <w:tcBorders>
                    <w:bottom w:val="single" w:color="auto" w:sz="4" w:space="0"/>
                  </w:tcBorders>
                  <w:noWrap w:val="0"/>
                  <w:vAlign w:val="center"/>
                </w:tcPr>
                <w:p>
                  <w:pPr>
                    <w:tabs>
                      <w:tab w:val="left" w:pos="10080"/>
                    </w:tabs>
                    <w:spacing w:line="30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0</w:t>
                  </w:r>
                </w:p>
              </w:tc>
              <w:tc>
                <w:tcPr>
                  <w:tcW w:w="1180" w:type="dxa"/>
                  <w:tcBorders>
                    <w:bottom w:val="single" w:color="auto" w:sz="4" w:space="0"/>
                  </w:tcBorders>
                  <w:noWrap w:val="0"/>
                  <w:vAlign w:val="center"/>
                </w:tcPr>
                <w:p>
                  <w:pPr>
                    <w:tabs>
                      <w:tab w:val="left" w:pos="10080"/>
                    </w:tabs>
                    <w:spacing w:line="30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w:t>
                  </w:r>
                </w:p>
              </w:tc>
              <w:tc>
                <w:tcPr>
                  <w:tcW w:w="1380" w:type="dxa"/>
                  <w:tcBorders>
                    <w:bottom w:val="single" w:color="auto" w:sz="4" w:space="0"/>
                  </w:tcBorders>
                  <w:noWrap w:val="0"/>
                  <w:vAlign w:val="center"/>
                </w:tcPr>
                <w:p>
                  <w:pPr>
                    <w:tabs>
                      <w:tab w:val="left" w:pos="10080"/>
                    </w:tabs>
                    <w:spacing w:line="30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w:t>
                  </w:r>
                </w:p>
              </w:tc>
              <w:tc>
                <w:tcPr>
                  <w:tcW w:w="1330" w:type="dxa"/>
                  <w:tcBorders>
                    <w:bottom w:val="single" w:color="auto" w:sz="4" w:space="0"/>
                  </w:tcBorders>
                  <w:noWrap w:val="0"/>
                  <w:vAlign w:val="center"/>
                </w:tcPr>
                <w:p>
                  <w:pPr>
                    <w:tabs>
                      <w:tab w:val="left" w:pos="10080"/>
                    </w:tabs>
                    <w:spacing w:line="30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w:t>
                  </w:r>
                </w:p>
              </w:tc>
              <w:tc>
                <w:tcPr>
                  <w:tcW w:w="899" w:type="dxa"/>
                  <w:tcBorders>
                    <w:bottom w:val="single" w:color="auto" w:sz="4" w:space="0"/>
                  </w:tcBorders>
                  <w:noWrap w:val="0"/>
                  <w:vAlign w:val="center"/>
                </w:tcPr>
                <w:p>
                  <w:pPr>
                    <w:tabs>
                      <w:tab w:val="left" w:pos="10080"/>
                    </w:tabs>
                    <w:spacing w:line="30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4" w:type="dxa"/>
                  <w:vMerge w:val="restart"/>
                  <w:noWrap w:val="0"/>
                  <w:vAlign w:val="center"/>
                </w:tcPr>
                <w:p>
                  <w:pPr>
                    <w:tabs>
                      <w:tab w:val="left" w:pos="10080"/>
                    </w:tabs>
                    <w:spacing w:line="300" w:lineRule="exact"/>
                    <w:jc w:val="center"/>
                    <w:rPr>
                      <w:rFonts w:hint="eastAsia" w:ascii="宋体" w:hAnsi="宋体"/>
                      <w:sz w:val="21"/>
                      <w:szCs w:val="21"/>
                    </w:rPr>
                  </w:pPr>
                  <w:r>
                    <w:rPr>
                      <w:rFonts w:hint="eastAsia" w:ascii="宋体" w:hAnsi="宋体"/>
                      <w:sz w:val="21"/>
                      <w:szCs w:val="21"/>
                    </w:rPr>
                    <w:t>综合管理部</w:t>
                  </w:r>
                </w:p>
              </w:tc>
              <w:tc>
                <w:tcPr>
                  <w:tcW w:w="3239" w:type="dxa"/>
                  <w:gridSpan w:val="2"/>
                  <w:tcBorders>
                    <w:bottom w:val="single" w:color="auto" w:sz="4" w:space="0"/>
                  </w:tcBorders>
                  <w:noWrap w:val="0"/>
                  <w:vAlign w:val="center"/>
                </w:tcPr>
                <w:p>
                  <w:pPr>
                    <w:rPr>
                      <w:rFonts w:hint="eastAsia" w:ascii="宋体" w:hAnsi="宋体"/>
                      <w:sz w:val="21"/>
                      <w:szCs w:val="21"/>
                    </w:rPr>
                  </w:pPr>
                  <w:r>
                    <w:rPr>
                      <w:rFonts w:hint="eastAsia" w:ascii="宋体" w:hAnsi="宋体"/>
                      <w:sz w:val="21"/>
                      <w:szCs w:val="21"/>
                    </w:rPr>
                    <w:t>1、年度培训计划执行率100</w:t>
                  </w:r>
                  <w:r>
                    <w:rPr>
                      <w:rFonts w:hint="eastAsia" w:ascii="宋体" w:hAnsi="宋体"/>
                      <w:color w:val="000000"/>
                      <w:sz w:val="21"/>
                      <w:szCs w:val="21"/>
                    </w:rPr>
                    <w:t>％</w:t>
                  </w:r>
                </w:p>
              </w:tc>
              <w:tc>
                <w:tcPr>
                  <w:tcW w:w="1151" w:type="dxa"/>
                  <w:tcBorders>
                    <w:bottom w:val="single" w:color="auto" w:sz="4" w:space="0"/>
                  </w:tcBorders>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180" w:type="dxa"/>
                  <w:tcBorders>
                    <w:bottom w:val="single" w:color="auto" w:sz="4" w:space="0"/>
                  </w:tcBorders>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80" w:type="dxa"/>
                  <w:tcBorders>
                    <w:bottom w:val="single" w:color="auto" w:sz="4" w:space="0"/>
                  </w:tcBorders>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30" w:type="dxa"/>
                  <w:tcBorders>
                    <w:bottom w:val="single" w:color="auto" w:sz="4" w:space="0"/>
                  </w:tcBorders>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899" w:type="dxa"/>
                  <w:tcBorders>
                    <w:bottom w:val="single" w:color="auto" w:sz="4" w:space="0"/>
                  </w:tcBorders>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tcBorders>
                    <w:bottom w:val="single" w:color="auto" w:sz="4" w:space="0"/>
                  </w:tcBorders>
                  <w:noWrap w:val="0"/>
                  <w:vAlign w:val="center"/>
                </w:tcPr>
                <w:p>
                  <w:pPr>
                    <w:rPr>
                      <w:rFonts w:hint="eastAsia" w:ascii="宋体" w:hAnsi="宋体"/>
                      <w:spacing w:val="-6"/>
                      <w:sz w:val="21"/>
                      <w:szCs w:val="21"/>
                    </w:rPr>
                  </w:pPr>
                  <w:r>
                    <w:rPr>
                      <w:rFonts w:hint="eastAsia" w:ascii="宋体" w:hAnsi="宋体"/>
                      <w:spacing w:val="-6"/>
                      <w:sz w:val="21"/>
                      <w:szCs w:val="21"/>
                    </w:rPr>
                    <w:t>2、</w:t>
                  </w:r>
                  <w:r>
                    <w:rPr>
                      <w:rFonts w:hint="eastAsia" w:ascii="宋体" w:hAnsi="宋体"/>
                      <w:color w:val="000000"/>
                      <w:sz w:val="21"/>
                      <w:szCs w:val="21"/>
                    </w:rPr>
                    <w:t>办公垃圾分类排放，检查合格率100%；</w:t>
                  </w:r>
                </w:p>
              </w:tc>
              <w:tc>
                <w:tcPr>
                  <w:tcW w:w="1151" w:type="dxa"/>
                  <w:tcBorders>
                    <w:bottom w:val="single" w:color="auto" w:sz="4" w:space="0"/>
                  </w:tcBorders>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180" w:type="dxa"/>
                  <w:tcBorders>
                    <w:bottom w:val="single" w:color="auto" w:sz="4" w:space="0"/>
                  </w:tcBorders>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80" w:type="dxa"/>
                  <w:tcBorders>
                    <w:bottom w:val="single" w:color="auto" w:sz="4" w:space="0"/>
                  </w:tcBorders>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30" w:type="dxa"/>
                  <w:tcBorders>
                    <w:bottom w:val="single" w:color="auto" w:sz="4" w:space="0"/>
                  </w:tcBorders>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899" w:type="dxa"/>
                  <w:tcBorders>
                    <w:bottom w:val="single" w:color="auto" w:sz="4" w:space="0"/>
                  </w:tcBorders>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tcBorders>
                    <w:bottom w:val="single" w:color="auto" w:sz="4" w:space="0"/>
                  </w:tcBorders>
                  <w:noWrap w:val="0"/>
                  <w:vAlign w:val="center"/>
                </w:tcPr>
                <w:p>
                  <w:pPr>
                    <w:rPr>
                      <w:rFonts w:hint="eastAsia" w:ascii="宋体" w:hAnsi="宋体"/>
                      <w:sz w:val="21"/>
                      <w:szCs w:val="21"/>
                    </w:rPr>
                  </w:pPr>
                  <w:r>
                    <w:rPr>
                      <w:rFonts w:hint="eastAsia" w:ascii="宋体" w:hAnsi="宋体"/>
                      <w:bCs/>
                      <w:sz w:val="21"/>
                      <w:szCs w:val="21"/>
                    </w:rPr>
                    <w:t>3、</w:t>
                  </w:r>
                  <w:r>
                    <w:rPr>
                      <w:rFonts w:hint="eastAsia" w:ascii="宋体" w:hAnsi="宋体"/>
                      <w:sz w:val="21"/>
                      <w:szCs w:val="21"/>
                    </w:rPr>
                    <w:t>火灾事故为0</w:t>
                  </w:r>
                </w:p>
              </w:tc>
              <w:tc>
                <w:tcPr>
                  <w:tcW w:w="1151" w:type="dxa"/>
                  <w:tcBorders>
                    <w:bottom w:val="single" w:color="auto" w:sz="4" w:space="0"/>
                  </w:tcBorders>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180" w:type="dxa"/>
                  <w:tcBorders>
                    <w:bottom w:val="single" w:color="auto" w:sz="4" w:space="0"/>
                  </w:tcBorders>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80" w:type="dxa"/>
                  <w:tcBorders>
                    <w:bottom w:val="single" w:color="auto" w:sz="4" w:space="0"/>
                  </w:tcBorders>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30" w:type="dxa"/>
                  <w:tcBorders>
                    <w:bottom w:val="single" w:color="auto" w:sz="4" w:space="0"/>
                  </w:tcBorders>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899" w:type="dxa"/>
                  <w:tcBorders>
                    <w:bottom w:val="single" w:color="auto" w:sz="4" w:space="0"/>
                  </w:tcBorders>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54" w:type="dxa"/>
                  <w:vMerge w:val="restart"/>
                  <w:noWrap w:val="0"/>
                  <w:vAlign w:val="center"/>
                </w:tcPr>
                <w:p>
                  <w:pPr>
                    <w:tabs>
                      <w:tab w:val="left" w:pos="10080"/>
                    </w:tabs>
                    <w:spacing w:line="300" w:lineRule="exact"/>
                    <w:jc w:val="center"/>
                    <w:rPr>
                      <w:rFonts w:hint="eastAsia" w:ascii="宋体" w:hAnsi="宋体"/>
                      <w:sz w:val="21"/>
                      <w:szCs w:val="21"/>
                    </w:rPr>
                  </w:pPr>
                  <w:r>
                    <w:rPr>
                      <w:rFonts w:hint="eastAsia" w:ascii="宋体" w:hAnsi="宋体"/>
                      <w:sz w:val="21"/>
                      <w:szCs w:val="21"/>
                    </w:rPr>
                    <w:t>生产部(含车间)</w:t>
                  </w:r>
                </w:p>
              </w:tc>
              <w:tc>
                <w:tcPr>
                  <w:tcW w:w="3239" w:type="dxa"/>
                  <w:gridSpan w:val="2"/>
                  <w:noWrap w:val="0"/>
                  <w:vAlign w:val="top"/>
                </w:tcPr>
                <w:p>
                  <w:pPr>
                    <w:rPr>
                      <w:rFonts w:hint="eastAsia" w:ascii="宋体" w:hAnsi="宋体"/>
                      <w:spacing w:val="-6"/>
                      <w:sz w:val="21"/>
                      <w:szCs w:val="21"/>
                    </w:rPr>
                  </w:pPr>
                  <w:r>
                    <w:rPr>
                      <w:rFonts w:hint="eastAsia" w:ascii="宋体" w:hAnsi="宋体"/>
                      <w:spacing w:val="-6"/>
                      <w:sz w:val="21"/>
                      <w:szCs w:val="21"/>
                    </w:rPr>
                    <w:t>1、</w:t>
                  </w:r>
                  <w:r>
                    <w:rPr>
                      <w:rFonts w:hint="eastAsia" w:ascii="宋体" w:hAnsi="宋体"/>
                      <w:color w:val="000000"/>
                      <w:sz w:val="21"/>
                      <w:szCs w:val="21"/>
                    </w:rPr>
                    <w:t>火灾事故为0</w:t>
                  </w:r>
                </w:p>
              </w:tc>
              <w:tc>
                <w:tcPr>
                  <w:tcW w:w="1151"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1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3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899"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noWrap w:val="0"/>
                  <w:vAlign w:val="top"/>
                </w:tcPr>
                <w:p>
                  <w:pPr>
                    <w:rPr>
                      <w:rFonts w:hint="eastAsia" w:ascii="宋体" w:hAnsi="宋体"/>
                      <w:spacing w:val="-6"/>
                      <w:sz w:val="21"/>
                      <w:szCs w:val="21"/>
                    </w:rPr>
                  </w:pPr>
                  <w:r>
                    <w:rPr>
                      <w:rFonts w:hint="eastAsia" w:ascii="宋体" w:hAnsi="宋体"/>
                      <w:spacing w:val="-6"/>
                      <w:sz w:val="21"/>
                      <w:szCs w:val="21"/>
                    </w:rPr>
                    <w:t>2、</w:t>
                  </w:r>
                  <w:r>
                    <w:rPr>
                      <w:rFonts w:cs="宋体"/>
                      <w:sz w:val="21"/>
                      <w:szCs w:val="21"/>
                    </w:rPr>
                    <w:t>危险废物100%交有资质的单位最终处置</w:t>
                  </w:r>
                </w:p>
              </w:tc>
              <w:tc>
                <w:tcPr>
                  <w:tcW w:w="1151"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1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3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899"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noWrap w:val="0"/>
                  <w:vAlign w:val="top"/>
                </w:tcPr>
                <w:p>
                  <w:pPr>
                    <w:rPr>
                      <w:rFonts w:hint="eastAsia" w:ascii="宋体" w:hAnsi="宋体"/>
                      <w:spacing w:val="-6"/>
                      <w:sz w:val="21"/>
                      <w:szCs w:val="21"/>
                    </w:rPr>
                  </w:pPr>
                  <w:r>
                    <w:rPr>
                      <w:rFonts w:hint="eastAsia" w:ascii="宋体" w:hAnsi="宋体"/>
                      <w:spacing w:val="-6"/>
                      <w:sz w:val="21"/>
                      <w:szCs w:val="21"/>
                    </w:rPr>
                    <w:t>4、</w:t>
                  </w:r>
                  <w:r>
                    <w:rPr>
                      <w:rFonts w:hint="eastAsia" w:ascii="宋体" w:hAnsi="宋体"/>
                      <w:bCs/>
                      <w:sz w:val="21"/>
                      <w:szCs w:val="21"/>
                    </w:rPr>
                    <w:t>噪声达标排放（</w:t>
                  </w:r>
                  <w:r>
                    <w:rPr>
                      <w:rFonts w:hint="eastAsia" w:ascii="宋体" w:hAnsi="宋体"/>
                      <w:color w:val="000000"/>
                      <w:sz w:val="21"/>
                      <w:szCs w:val="21"/>
                    </w:rPr>
                    <w:t>工业企业厂界噪声标准（G</w:t>
                  </w:r>
                  <w:r>
                    <w:rPr>
                      <w:rFonts w:ascii="宋体" w:hAnsi="宋体"/>
                      <w:color w:val="000000"/>
                      <w:sz w:val="21"/>
                      <w:szCs w:val="21"/>
                    </w:rPr>
                    <w:t>B12348-2008</w:t>
                  </w:r>
                  <w:r>
                    <w:rPr>
                      <w:rFonts w:hint="eastAsia" w:ascii="宋体" w:hAnsi="宋体"/>
                      <w:color w:val="000000"/>
                      <w:sz w:val="21"/>
                      <w:szCs w:val="21"/>
                    </w:rPr>
                    <w:t>）</w:t>
                  </w:r>
                  <w:r>
                    <w:rPr>
                      <w:rFonts w:hint="eastAsia" w:ascii="宋体" w:hAnsi="宋体"/>
                      <w:bCs/>
                      <w:sz w:val="21"/>
                      <w:szCs w:val="21"/>
                    </w:rPr>
                    <w:t xml:space="preserve">） </w:t>
                  </w:r>
                </w:p>
              </w:tc>
              <w:tc>
                <w:tcPr>
                  <w:tcW w:w="1151" w:type="dxa"/>
                  <w:noWrap w:val="0"/>
                  <w:vAlign w:val="center"/>
                </w:tcPr>
                <w:p>
                  <w:pPr>
                    <w:tabs>
                      <w:tab w:val="left" w:pos="10080"/>
                    </w:tabs>
                    <w:spacing w:line="300" w:lineRule="exact"/>
                    <w:jc w:val="center"/>
                    <w:rPr>
                      <w:rFonts w:hint="eastAsia" w:ascii="宋体" w:hAnsi="宋体"/>
                      <w:sz w:val="21"/>
                      <w:szCs w:val="21"/>
                      <w:highlight w:val="none"/>
                    </w:rPr>
                  </w:pPr>
                </w:p>
              </w:tc>
              <w:tc>
                <w:tcPr>
                  <w:tcW w:w="11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检测达标</w:t>
                  </w:r>
                </w:p>
              </w:tc>
              <w:tc>
                <w:tcPr>
                  <w:tcW w:w="1380" w:type="dxa"/>
                  <w:noWrap w:val="0"/>
                  <w:vAlign w:val="center"/>
                </w:tcPr>
                <w:p>
                  <w:pPr>
                    <w:tabs>
                      <w:tab w:val="left" w:pos="10080"/>
                    </w:tabs>
                    <w:spacing w:line="300" w:lineRule="exact"/>
                    <w:jc w:val="center"/>
                    <w:rPr>
                      <w:rFonts w:hint="eastAsia" w:ascii="宋体" w:hAnsi="宋体"/>
                      <w:sz w:val="21"/>
                      <w:szCs w:val="21"/>
                      <w:highlight w:val="none"/>
                    </w:rPr>
                  </w:pPr>
                </w:p>
              </w:tc>
              <w:tc>
                <w:tcPr>
                  <w:tcW w:w="133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检测达标</w:t>
                  </w:r>
                </w:p>
              </w:tc>
              <w:tc>
                <w:tcPr>
                  <w:tcW w:w="899"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noWrap w:val="0"/>
                  <w:vAlign w:val="center"/>
                </w:tcPr>
                <w:p>
                  <w:pPr>
                    <w:spacing w:line="440" w:lineRule="exact"/>
                    <w:rPr>
                      <w:rFonts w:hint="eastAsia" w:ascii="宋体" w:hAnsi="宋体"/>
                      <w:sz w:val="21"/>
                      <w:szCs w:val="21"/>
                    </w:rPr>
                  </w:pPr>
                  <w:r>
                    <w:rPr>
                      <w:rFonts w:hint="eastAsia" w:ascii="宋体" w:hAnsi="宋体"/>
                      <w:bCs/>
                      <w:sz w:val="21"/>
                      <w:szCs w:val="21"/>
                    </w:rPr>
                    <w:t>3、万元产值</w:t>
                  </w:r>
                  <w:r>
                    <w:rPr>
                      <w:rFonts w:hint="eastAsia" w:ascii="宋体" w:hAnsi="宋体"/>
                      <w:sz w:val="21"/>
                      <w:szCs w:val="21"/>
                    </w:rPr>
                    <w:t>降低电消耗1%</w:t>
                  </w:r>
                  <w:r>
                    <w:rPr>
                      <w:rFonts w:hint="eastAsia" w:ascii="宋体" w:hAnsi="宋体"/>
                      <w:bCs/>
                      <w:sz w:val="21"/>
                      <w:szCs w:val="21"/>
                    </w:rPr>
                    <w:t>。</w:t>
                  </w:r>
                </w:p>
              </w:tc>
              <w:tc>
                <w:tcPr>
                  <w:tcW w:w="1151" w:type="dxa"/>
                  <w:noWrap w:val="0"/>
                  <w:vAlign w:val="center"/>
                </w:tcPr>
                <w:p>
                  <w:pPr>
                    <w:spacing w:line="300" w:lineRule="exact"/>
                    <w:jc w:val="center"/>
                    <w:rPr>
                      <w:rFonts w:hint="eastAsia" w:ascii="宋体" w:hAnsi="宋体"/>
                      <w:sz w:val="21"/>
                      <w:szCs w:val="21"/>
                      <w:highlight w:val="none"/>
                    </w:rPr>
                  </w:pPr>
                  <w:r>
                    <w:rPr>
                      <w:rFonts w:hint="eastAsia" w:ascii="宋体" w:hAnsi="宋体"/>
                      <w:sz w:val="21"/>
                      <w:szCs w:val="21"/>
                      <w:highlight w:val="none"/>
                    </w:rPr>
                    <w:t>1.22%</w:t>
                  </w:r>
                </w:p>
              </w:tc>
              <w:tc>
                <w:tcPr>
                  <w:tcW w:w="1180" w:type="dxa"/>
                  <w:noWrap w:val="0"/>
                  <w:vAlign w:val="center"/>
                </w:tcPr>
                <w:p>
                  <w:pPr>
                    <w:spacing w:line="300" w:lineRule="exact"/>
                    <w:jc w:val="center"/>
                    <w:rPr>
                      <w:rFonts w:hint="eastAsia" w:ascii="宋体" w:hAnsi="宋体"/>
                      <w:sz w:val="21"/>
                      <w:szCs w:val="21"/>
                      <w:highlight w:val="none"/>
                    </w:rPr>
                  </w:pPr>
                  <w:r>
                    <w:rPr>
                      <w:rFonts w:hint="eastAsia" w:ascii="宋体" w:hAnsi="宋体"/>
                      <w:sz w:val="21"/>
                      <w:szCs w:val="21"/>
                      <w:highlight w:val="none"/>
                    </w:rPr>
                    <w:t>1.03%</w:t>
                  </w:r>
                </w:p>
              </w:tc>
              <w:tc>
                <w:tcPr>
                  <w:tcW w:w="1380" w:type="dxa"/>
                  <w:noWrap w:val="0"/>
                  <w:vAlign w:val="center"/>
                </w:tcPr>
                <w:p>
                  <w:pPr>
                    <w:spacing w:line="300" w:lineRule="exact"/>
                    <w:jc w:val="center"/>
                    <w:rPr>
                      <w:rFonts w:hint="eastAsia"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18</w:t>
                  </w:r>
                  <w:r>
                    <w:rPr>
                      <w:rFonts w:hint="eastAsia" w:ascii="宋体" w:hAnsi="宋体"/>
                      <w:sz w:val="21"/>
                      <w:szCs w:val="21"/>
                      <w:highlight w:val="none"/>
                    </w:rPr>
                    <w:t>%</w:t>
                  </w:r>
                </w:p>
              </w:tc>
              <w:tc>
                <w:tcPr>
                  <w:tcW w:w="1330" w:type="dxa"/>
                  <w:noWrap w:val="0"/>
                  <w:vAlign w:val="center"/>
                </w:tcPr>
                <w:p>
                  <w:pPr>
                    <w:spacing w:line="300" w:lineRule="exact"/>
                    <w:jc w:val="center"/>
                    <w:rPr>
                      <w:rFonts w:hint="eastAsia" w:ascii="宋体" w:hAnsi="宋体"/>
                      <w:sz w:val="21"/>
                      <w:szCs w:val="21"/>
                      <w:highlight w:val="none"/>
                    </w:rPr>
                  </w:pPr>
                  <w:r>
                    <w:rPr>
                      <w:rFonts w:hint="eastAsia" w:ascii="宋体" w:hAnsi="宋体"/>
                      <w:sz w:val="21"/>
                      <w:szCs w:val="21"/>
                      <w:highlight w:val="none"/>
                    </w:rPr>
                    <w:t>1.0</w:t>
                  </w:r>
                  <w:r>
                    <w:rPr>
                      <w:rFonts w:ascii="宋体" w:hAnsi="宋体"/>
                      <w:sz w:val="21"/>
                      <w:szCs w:val="21"/>
                      <w:highlight w:val="none"/>
                    </w:rPr>
                    <w:t>8</w:t>
                  </w:r>
                  <w:r>
                    <w:rPr>
                      <w:rFonts w:hint="eastAsia" w:ascii="宋体" w:hAnsi="宋体"/>
                      <w:sz w:val="21"/>
                      <w:szCs w:val="21"/>
                      <w:highlight w:val="none"/>
                    </w:rPr>
                    <w:t>%</w:t>
                  </w:r>
                </w:p>
              </w:tc>
              <w:tc>
                <w:tcPr>
                  <w:tcW w:w="899" w:type="dxa"/>
                  <w:noWrap w:val="0"/>
                  <w:vAlign w:val="center"/>
                </w:tcPr>
                <w:p>
                  <w:pPr>
                    <w:spacing w:line="300" w:lineRule="exact"/>
                    <w:jc w:val="center"/>
                    <w:rPr>
                      <w:rFonts w:hint="eastAsia" w:ascii="宋体" w:hAnsi="宋体"/>
                      <w:sz w:val="21"/>
                      <w:szCs w:val="21"/>
                      <w:highlight w:val="none"/>
                    </w:rPr>
                  </w:pPr>
                  <w:r>
                    <w:rPr>
                      <w:rFonts w:hint="eastAsia" w:ascii="宋体" w:hAnsi="宋体"/>
                      <w:sz w:val="21"/>
                      <w:szCs w:val="21"/>
                      <w:highlight w:val="none"/>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restart"/>
                  <w:noWrap w:val="0"/>
                  <w:vAlign w:val="center"/>
                </w:tcPr>
                <w:p>
                  <w:pPr>
                    <w:tabs>
                      <w:tab w:val="left" w:pos="10080"/>
                    </w:tabs>
                    <w:spacing w:line="300" w:lineRule="exact"/>
                    <w:jc w:val="center"/>
                    <w:rPr>
                      <w:rFonts w:ascii="宋体" w:hAnsi="宋体"/>
                      <w:sz w:val="21"/>
                      <w:szCs w:val="21"/>
                    </w:rPr>
                  </w:pPr>
                  <w:r>
                    <w:rPr>
                      <w:rFonts w:hint="eastAsia" w:ascii="宋体" w:hAnsi="宋体"/>
                      <w:sz w:val="21"/>
                      <w:szCs w:val="21"/>
                    </w:rPr>
                    <w:t>财</w:t>
                  </w:r>
                </w:p>
                <w:p>
                  <w:pPr>
                    <w:tabs>
                      <w:tab w:val="left" w:pos="10080"/>
                    </w:tabs>
                    <w:spacing w:line="300" w:lineRule="exact"/>
                    <w:jc w:val="center"/>
                    <w:rPr>
                      <w:rFonts w:ascii="宋体" w:hAnsi="宋体"/>
                      <w:sz w:val="21"/>
                      <w:szCs w:val="21"/>
                    </w:rPr>
                  </w:pPr>
                  <w:r>
                    <w:rPr>
                      <w:rFonts w:hint="eastAsia" w:ascii="宋体" w:hAnsi="宋体"/>
                      <w:sz w:val="21"/>
                      <w:szCs w:val="21"/>
                    </w:rPr>
                    <w:t>务</w:t>
                  </w:r>
                </w:p>
                <w:p>
                  <w:pPr>
                    <w:tabs>
                      <w:tab w:val="left" w:pos="10080"/>
                    </w:tabs>
                    <w:spacing w:line="300" w:lineRule="exact"/>
                    <w:jc w:val="center"/>
                    <w:rPr>
                      <w:rFonts w:hint="eastAsia" w:ascii="宋体" w:hAnsi="宋体"/>
                      <w:sz w:val="21"/>
                      <w:szCs w:val="21"/>
                    </w:rPr>
                  </w:pPr>
                  <w:r>
                    <w:rPr>
                      <w:rFonts w:hint="eastAsia" w:ascii="宋体" w:hAnsi="宋体"/>
                      <w:sz w:val="21"/>
                      <w:szCs w:val="21"/>
                    </w:rPr>
                    <w:t>部</w:t>
                  </w:r>
                </w:p>
              </w:tc>
              <w:tc>
                <w:tcPr>
                  <w:tcW w:w="3239" w:type="dxa"/>
                  <w:gridSpan w:val="2"/>
                  <w:noWrap w:val="0"/>
                  <w:vAlign w:val="center"/>
                </w:tcPr>
                <w:p>
                  <w:pPr>
                    <w:tabs>
                      <w:tab w:val="left" w:pos="10080"/>
                    </w:tabs>
                    <w:rPr>
                      <w:rFonts w:hint="eastAsia" w:ascii="宋体" w:hAnsi="宋体"/>
                      <w:sz w:val="21"/>
                      <w:szCs w:val="21"/>
                    </w:rPr>
                  </w:pPr>
                  <w:r>
                    <w:rPr>
                      <w:rFonts w:hint="eastAsia" w:ascii="宋体" w:hAnsi="宋体"/>
                      <w:color w:val="000000"/>
                      <w:sz w:val="21"/>
                      <w:szCs w:val="21"/>
                    </w:rPr>
                    <w:t>1.落实管理体系正常运行的财力保障；</w:t>
                  </w:r>
                </w:p>
              </w:tc>
              <w:tc>
                <w:tcPr>
                  <w:tcW w:w="1151" w:type="dxa"/>
                  <w:noWrap w:val="0"/>
                  <w:vAlign w:val="center"/>
                </w:tcPr>
                <w:p>
                  <w:pPr>
                    <w:widowControl/>
                    <w:spacing w:line="300" w:lineRule="exact"/>
                    <w:jc w:val="center"/>
                    <w:rPr>
                      <w:rFonts w:hint="eastAsia" w:ascii="宋体" w:hAnsi="宋体"/>
                      <w:color w:val="000000"/>
                      <w:sz w:val="21"/>
                      <w:szCs w:val="21"/>
                      <w:highlight w:val="none"/>
                    </w:rPr>
                  </w:pPr>
                </w:p>
              </w:tc>
              <w:tc>
                <w:tcPr>
                  <w:tcW w:w="1180" w:type="dxa"/>
                  <w:noWrap w:val="0"/>
                  <w:vAlign w:val="center"/>
                </w:tcPr>
                <w:p>
                  <w:pPr>
                    <w:widowControl/>
                    <w:spacing w:line="300" w:lineRule="exact"/>
                    <w:jc w:val="center"/>
                    <w:rPr>
                      <w:rFonts w:hint="eastAsia" w:ascii="宋体" w:hAnsi="宋体"/>
                      <w:color w:val="000000"/>
                      <w:sz w:val="21"/>
                      <w:szCs w:val="21"/>
                      <w:highlight w:val="none"/>
                    </w:rPr>
                  </w:pPr>
                </w:p>
              </w:tc>
              <w:tc>
                <w:tcPr>
                  <w:tcW w:w="1380" w:type="dxa"/>
                  <w:noWrap w:val="0"/>
                  <w:vAlign w:val="center"/>
                </w:tcPr>
                <w:p>
                  <w:pPr>
                    <w:widowControl/>
                    <w:spacing w:line="300" w:lineRule="exact"/>
                    <w:jc w:val="center"/>
                    <w:rPr>
                      <w:rFonts w:hint="eastAsia" w:ascii="宋体" w:hAnsi="宋体"/>
                      <w:color w:val="000000"/>
                      <w:sz w:val="21"/>
                      <w:szCs w:val="21"/>
                      <w:highlight w:val="none"/>
                    </w:rPr>
                  </w:pPr>
                </w:p>
              </w:tc>
              <w:tc>
                <w:tcPr>
                  <w:tcW w:w="1330" w:type="dxa"/>
                  <w:noWrap w:val="0"/>
                  <w:vAlign w:val="center"/>
                </w:tcPr>
                <w:p>
                  <w:pPr>
                    <w:widowControl/>
                    <w:spacing w:line="300" w:lineRule="exact"/>
                    <w:jc w:val="center"/>
                    <w:rPr>
                      <w:rFonts w:hint="eastAsia" w:ascii="宋体" w:hAnsi="宋体"/>
                      <w:color w:val="000000"/>
                      <w:sz w:val="21"/>
                      <w:szCs w:val="21"/>
                      <w:highlight w:val="none"/>
                    </w:rPr>
                  </w:pPr>
                </w:p>
              </w:tc>
              <w:tc>
                <w:tcPr>
                  <w:tcW w:w="899" w:type="dxa"/>
                  <w:noWrap w:val="0"/>
                  <w:vAlign w:val="center"/>
                </w:tcPr>
                <w:p>
                  <w:pPr>
                    <w:widowControl/>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能够保证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noWrap w:val="0"/>
                  <w:vAlign w:val="center"/>
                </w:tcPr>
                <w:p>
                  <w:pPr>
                    <w:tabs>
                      <w:tab w:val="left" w:pos="10080"/>
                    </w:tabs>
                    <w:rPr>
                      <w:rFonts w:hint="eastAsia" w:ascii="宋体" w:hAnsi="宋体"/>
                      <w:sz w:val="21"/>
                      <w:szCs w:val="21"/>
                    </w:rPr>
                  </w:pPr>
                  <w:r>
                    <w:rPr>
                      <w:rFonts w:hint="eastAsia" w:ascii="宋体" w:hAnsi="宋体"/>
                      <w:color w:val="000000"/>
                      <w:sz w:val="21"/>
                      <w:szCs w:val="21"/>
                    </w:rPr>
                    <w:t>2.办公垃圾分类排放，检查合格率100%；</w:t>
                  </w:r>
                </w:p>
              </w:tc>
              <w:tc>
                <w:tcPr>
                  <w:tcW w:w="1151"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1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3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899"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noWrap w:val="0"/>
                  <w:vAlign w:val="center"/>
                </w:tcPr>
                <w:p>
                  <w:pPr>
                    <w:tabs>
                      <w:tab w:val="left" w:pos="10080"/>
                    </w:tabs>
                    <w:rPr>
                      <w:rFonts w:hint="eastAsia" w:ascii="宋体" w:hAnsi="宋体"/>
                      <w:color w:val="000000"/>
                      <w:sz w:val="21"/>
                      <w:szCs w:val="21"/>
                    </w:rPr>
                  </w:pPr>
                  <w:r>
                    <w:rPr>
                      <w:rFonts w:hint="eastAsia" w:ascii="宋体" w:hAnsi="宋体"/>
                      <w:color w:val="000000"/>
                      <w:sz w:val="21"/>
                      <w:szCs w:val="21"/>
                    </w:rPr>
                    <w:t>3、</w:t>
                  </w:r>
                  <w:r>
                    <w:rPr>
                      <w:rFonts w:hint="eastAsia" w:ascii="宋体" w:hAnsi="宋体"/>
                      <w:sz w:val="21"/>
                      <w:szCs w:val="21"/>
                    </w:rPr>
                    <w:t>火灾事故为0</w:t>
                  </w:r>
                </w:p>
              </w:tc>
              <w:tc>
                <w:tcPr>
                  <w:tcW w:w="1151"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1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3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899"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restart"/>
                  <w:noWrap w:val="0"/>
                  <w:vAlign w:val="center"/>
                </w:tcPr>
                <w:p>
                  <w:pPr>
                    <w:tabs>
                      <w:tab w:val="left" w:pos="10080"/>
                    </w:tabs>
                    <w:jc w:val="center"/>
                    <w:rPr>
                      <w:rFonts w:ascii="宋体" w:hAnsi="宋体"/>
                      <w:sz w:val="21"/>
                      <w:szCs w:val="21"/>
                    </w:rPr>
                  </w:pPr>
                  <w:r>
                    <w:rPr>
                      <w:rFonts w:hint="eastAsia" w:ascii="宋体" w:hAnsi="宋体"/>
                      <w:sz w:val="21"/>
                      <w:szCs w:val="21"/>
                    </w:rPr>
                    <w:t>技</w:t>
                  </w:r>
                </w:p>
                <w:p>
                  <w:pPr>
                    <w:tabs>
                      <w:tab w:val="left" w:pos="10080"/>
                    </w:tabs>
                    <w:jc w:val="center"/>
                    <w:rPr>
                      <w:rFonts w:ascii="宋体" w:hAnsi="宋体"/>
                      <w:sz w:val="21"/>
                      <w:szCs w:val="21"/>
                    </w:rPr>
                  </w:pPr>
                  <w:r>
                    <w:rPr>
                      <w:rFonts w:hint="eastAsia" w:ascii="宋体" w:hAnsi="宋体"/>
                      <w:sz w:val="21"/>
                      <w:szCs w:val="21"/>
                    </w:rPr>
                    <w:t>术</w:t>
                  </w:r>
                </w:p>
                <w:p>
                  <w:pPr>
                    <w:tabs>
                      <w:tab w:val="left" w:pos="10080"/>
                    </w:tabs>
                    <w:jc w:val="center"/>
                    <w:rPr>
                      <w:rFonts w:hint="eastAsia" w:ascii="宋体" w:hAnsi="宋体"/>
                      <w:sz w:val="21"/>
                      <w:szCs w:val="21"/>
                    </w:rPr>
                  </w:pPr>
                  <w:r>
                    <w:rPr>
                      <w:rFonts w:hint="eastAsia" w:ascii="宋体" w:hAnsi="宋体"/>
                      <w:sz w:val="21"/>
                      <w:szCs w:val="21"/>
                    </w:rPr>
                    <w:t>部</w:t>
                  </w:r>
                </w:p>
              </w:tc>
              <w:tc>
                <w:tcPr>
                  <w:tcW w:w="3239" w:type="dxa"/>
                  <w:gridSpan w:val="2"/>
                  <w:noWrap w:val="0"/>
                  <w:vAlign w:val="top"/>
                </w:tcPr>
                <w:p>
                  <w:pPr>
                    <w:rPr>
                      <w:rFonts w:hint="eastAsia" w:ascii="宋体" w:hAnsi="宋体"/>
                      <w:spacing w:val="-6"/>
                      <w:sz w:val="21"/>
                      <w:szCs w:val="21"/>
                    </w:rPr>
                  </w:pPr>
                  <w:r>
                    <w:rPr>
                      <w:rFonts w:hint="eastAsia" w:ascii="宋体" w:hAnsi="宋体"/>
                      <w:spacing w:val="-6"/>
                      <w:sz w:val="21"/>
                      <w:szCs w:val="21"/>
                    </w:rPr>
                    <w:t>1、</w:t>
                  </w:r>
                  <w:r>
                    <w:rPr>
                      <w:rFonts w:hint="eastAsia" w:ascii="宋体" w:hAnsi="宋体"/>
                      <w:color w:val="000000"/>
                      <w:sz w:val="21"/>
                      <w:szCs w:val="21"/>
                    </w:rPr>
                    <w:t>办公垃圾分类排放，检查合格率100%；</w:t>
                  </w:r>
                </w:p>
              </w:tc>
              <w:tc>
                <w:tcPr>
                  <w:tcW w:w="1151"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1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3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899"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noWrap w:val="0"/>
                  <w:vAlign w:val="top"/>
                </w:tcPr>
                <w:p>
                  <w:pPr>
                    <w:rPr>
                      <w:rFonts w:hint="eastAsia" w:ascii="宋体" w:hAnsi="宋体"/>
                      <w:sz w:val="21"/>
                      <w:szCs w:val="21"/>
                    </w:rPr>
                  </w:pPr>
                  <w:r>
                    <w:rPr>
                      <w:rFonts w:hint="eastAsia" w:ascii="宋体" w:hAnsi="宋体"/>
                      <w:bCs/>
                      <w:sz w:val="21"/>
                      <w:szCs w:val="21"/>
                    </w:rPr>
                    <w:t>2、</w:t>
                  </w:r>
                  <w:r>
                    <w:rPr>
                      <w:rFonts w:hint="eastAsia" w:ascii="宋体" w:hAnsi="宋体"/>
                      <w:sz w:val="21"/>
                      <w:szCs w:val="21"/>
                    </w:rPr>
                    <w:t>火灾事故为0</w:t>
                  </w:r>
                </w:p>
              </w:tc>
              <w:tc>
                <w:tcPr>
                  <w:tcW w:w="1151"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1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3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899"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restart"/>
                  <w:noWrap w:val="0"/>
                  <w:vAlign w:val="center"/>
                </w:tcPr>
                <w:p>
                  <w:pPr>
                    <w:tabs>
                      <w:tab w:val="left" w:pos="10080"/>
                    </w:tabs>
                    <w:jc w:val="center"/>
                    <w:rPr>
                      <w:rFonts w:ascii="宋体" w:hAnsi="宋体"/>
                      <w:sz w:val="21"/>
                      <w:szCs w:val="21"/>
                    </w:rPr>
                  </w:pPr>
                  <w:r>
                    <w:rPr>
                      <w:rFonts w:hint="eastAsia" w:ascii="宋体" w:hAnsi="宋体"/>
                      <w:sz w:val="21"/>
                      <w:szCs w:val="21"/>
                    </w:rPr>
                    <w:t>销售</w:t>
                  </w:r>
                </w:p>
                <w:p>
                  <w:pPr>
                    <w:tabs>
                      <w:tab w:val="left" w:pos="10080"/>
                    </w:tabs>
                    <w:jc w:val="center"/>
                    <w:rPr>
                      <w:rFonts w:hint="eastAsia" w:ascii="宋体" w:hAnsi="宋体"/>
                      <w:sz w:val="21"/>
                      <w:szCs w:val="21"/>
                    </w:rPr>
                  </w:pPr>
                  <w:r>
                    <w:rPr>
                      <w:rFonts w:hint="eastAsia" w:ascii="宋体" w:hAnsi="宋体"/>
                      <w:sz w:val="21"/>
                      <w:szCs w:val="21"/>
                    </w:rPr>
                    <w:t>部</w:t>
                  </w:r>
                </w:p>
              </w:tc>
              <w:tc>
                <w:tcPr>
                  <w:tcW w:w="3239" w:type="dxa"/>
                  <w:gridSpan w:val="2"/>
                  <w:noWrap w:val="0"/>
                  <w:vAlign w:val="top"/>
                </w:tcPr>
                <w:p>
                  <w:pPr>
                    <w:rPr>
                      <w:rFonts w:hint="eastAsia" w:ascii="宋体" w:hAnsi="宋体"/>
                      <w:spacing w:val="-6"/>
                      <w:sz w:val="21"/>
                      <w:szCs w:val="21"/>
                    </w:rPr>
                  </w:pPr>
                  <w:r>
                    <w:rPr>
                      <w:rFonts w:hint="eastAsia" w:ascii="宋体" w:hAnsi="宋体"/>
                      <w:spacing w:val="-6"/>
                      <w:sz w:val="21"/>
                      <w:szCs w:val="21"/>
                    </w:rPr>
                    <w:t>1、</w:t>
                  </w:r>
                  <w:r>
                    <w:rPr>
                      <w:rFonts w:hint="eastAsia" w:ascii="宋体" w:hAnsi="宋体"/>
                      <w:color w:val="000000"/>
                      <w:sz w:val="21"/>
                      <w:szCs w:val="21"/>
                    </w:rPr>
                    <w:t>办公垃圾分类排放，检查合格率100%；</w:t>
                  </w:r>
                </w:p>
              </w:tc>
              <w:tc>
                <w:tcPr>
                  <w:tcW w:w="1151"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1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3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899"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noWrap w:val="0"/>
                  <w:vAlign w:val="top"/>
                </w:tcPr>
                <w:p>
                  <w:pPr>
                    <w:rPr>
                      <w:rFonts w:hint="eastAsia" w:ascii="宋体" w:hAnsi="宋体"/>
                      <w:sz w:val="21"/>
                      <w:szCs w:val="21"/>
                    </w:rPr>
                  </w:pPr>
                  <w:r>
                    <w:rPr>
                      <w:rFonts w:hint="eastAsia" w:ascii="宋体" w:hAnsi="宋体"/>
                      <w:bCs/>
                      <w:sz w:val="21"/>
                      <w:szCs w:val="21"/>
                    </w:rPr>
                    <w:t>2、</w:t>
                  </w:r>
                  <w:r>
                    <w:rPr>
                      <w:rFonts w:hint="eastAsia" w:ascii="宋体" w:hAnsi="宋体"/>
                      <w:sz w:val="21"/>
                      <w:szCs w:val="21"/>
                    </w:rPr>
                    <w:t>火灾事故为0</w:t>
                  </w:r>
                </w:p>
              </w:tc>
              <w:tc>
                <w:tcPr>
                  <w:tcW w:w="1151"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1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3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899"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restart"/>
                  <w:noWrap w:val="0"/>
                  <w:vAlign w:val="center"/>
                </w:tcPr>
                <w:p>
                  <w:pPr>
                    <w:tabs>
                      <w:tab w:val="left" w:pos="10080"/>
                    </w:tabs>
                    <w:spacing w:line="300" w:lineRule="exact"/>
                    <w:jc w:val="center"/>
                    <w:rPr>
                      <w:rFonts w:ascii="宋体" w:hAnsi="宋体"/>
                      <w:sz w:val="21"/>
                      <w:szCs w:val="21"/>
                    </w:rPr>
                  </w:pPr>
                  <w:r>
                    <w:rPr>
                      <w:rFonts w:hint="eastAsia" w:ascii="宋体" w:hAnsi="宋体"/>
                      <w:sz w:val="21"/>
                      <w:szCs w:val="21"/>
                    </w:rPr>
                    <w:t>采</w:t>
                  </w:r>
                </w:p>
                <w:p>
                  <w:pPr>
                    <w:tabs>
                      <w:tab w:val="left" w:pos="10080"/>
                    </w:tabs>
                    <w:spacing w:line="300" w:lineRule="exact"/>
                    <w:jc w:val="center"/>
                    <w:rPr>
                      <w:rFonts w:ascii="宋体" w:hAnsi="宋体"/>
                      <w:sz w:val="21"/>
                      <w:szCs w:val="21"/>
                    </w:rPr>
                  </w:pPr>
                  <w:r>
                    <w:rPr>
                      <w:rFonts w:hint="eastAsia" w:ascii="宋体" w:hAnsi="宋体"/>
                      <w:sz w:val="21"/>
                      <w:szCs w:val="21"/>
                    </w:rPr>
                    <w:t>购</w:t>
                  </w:r>
                </w:p>
                <w:p>
                  <w:pPr>
                    <w:tabs>
                      <w:tab w:val="left" w:pos="10080"/>
                    </w:tabs>
                    <w:spacing w:line="300" w:lineRule="exact"/>
                    <w:jc w:val="center"/>
                    <w:rPr>
                      <w:rFonts w:hint="eastAsia" w:ascii="宋体" w:hAnsi="宋体"/>
                      <w:sz w:val="21"/>
                      <w:szCs w:val="21"/>
                    </w:rPr>
                  </w:pPr>
                  <w:r>
                    <w:rPr>
                      <w:rFonts w:hint="eastAsia" w:ascii="宋体" w:hAnsi="宋体"/>
                      <w:sz w:val="21"/>
                      <w:szCs w:val="21"/>
                    </w:rPr>
                    <w:t>部</w:t>
                  </w:r>
                </w:p>
              </w:tc>
              <w:tc>
                <w:tcPr>
                  <w:tcW w:w="3239" w:type="dxa"/>
                  <w:gridSpan w:val="2"/>
                  <w:noWrap w:val="0"/>
                  <w:vAlign w:val="top"/>
                </w:tcPr>
                <w:p>
                  <w:pPr>
                    <w:rPr>
                      <w:rFonts w:hint="eastAsia" w:ascii="宋体" w:hAnsi="宋体"/>
                      <w:spacing w:val="-6"/>
                      <w:sz w:val="21"/>
                      <w:szCs w:val="21"/>
                    </w:rPr>
                  </w:pPr>
                  <w:r>
                    <w:rPr>
                      <w:rFonts w:hint="eastAsia" w:ascii="宋体" w:hAnsi="宋体"/>
                      <w:spacing w:val="-6"/>
                      <w:sz w:val="21"/>
                      <w:szCs w:val="21"/>
                    </w:rPr>
                    <w:t>1、</w:t>
                  </w:r>
                  <w:r>
                    <w:rPr>
                      <w:rFonts w:hint="eastAsia" w:ascii="宋体" w:hAnsi="宋体"/>
                      <w:color w:val="000000"/>
                      <w:sz w:val="21"/>
                      <w:szCs w:val="21"/>
                    </w:rPr>
                    <w:t>办公垃圾分类排放，检查合格率100%；</w:t>
                  </w:r>
                </w:p>
              </w:tc>
              <w:tc>
                <w:tcPr>
                  <w:tcW w:w="1151"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1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3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899"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noWrap w:val="0"/>
                  <w:vAlign w:val="top"/>
                </w:tcPr>
                <w:p>
                  <w:pPr>
                    <w:rPr>
                      <w:rFonts w:hint="eastAsia" w:ascii="宋体" w:hAnsi="宋体"/>
                      <w:sz w:val="21"/>
                      <w:szCs w:val="21"/>
                    </w:rPr>
                  </w:pPr>
                  <w:r>
                    <w:rPr>
                      <w:rFonts w:hint="eastAsia" w:ascii="宋体" w:hAnsi="宋体"/>
                      <w:bCs/>
                      <w:sz w:val="21"/>
                      <w:szCs w:val="21"/>
                    </w:rPr>
                    <w:t>2、</w:t>
                  </w:r>
                  <w:r>
                    <w:rPr>
                      <w:rFonts w:hint="eastAsia" w:ascii="宋体" w:hAnsi="宋体"/>
                      <w:sz w:val="21"/>
                      <w:szCs w:val="21"/>
                    </w:rPr>
                    <w:t>火灾事故为0</w:t>
                  </w:r>
                </w:p>
              </w:tc>
              <w:tc>
                <w:tcPr>
                  <w:tcW w:w="1151"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1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3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899"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noWrap w:val="0"/>
                  <w:vAlign w:val="top"/>
                </w:tcPr>
                <w:p>
                  <w:pPr>
                    <w:rPr>
                      <w:rFonts w:hint="eastAsia" w:ascii="宋体" w:hAnsi="宋体"/>
                      <w:sz w:val="21"/>
                      <w:szCs w:val="21"/>
                    </w:rPr>
                  </w:pPr>
                  <w:r>
                    <w:rPr>
                      <w:rFonts w:hint="eastAsia" w:ascii="宋体" w:hAnsi="宋体"/>
                      <w:sz w:val="21"/>
                      <w:szCs w:val="21"/>
                    </w:rPr>
                    <w:t>3、相关方施加影响率100%</w:t>
                  </w:r>
                </w:p>
              </w:tc>
              <w:tc>
                <w:tcPr>
                  <w:tcW w:w="1151"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1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3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899"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restart"/>
                  <w:noWrap w:val="0"/>
                  <w:vAlign w:val="center"/>
                </w:tcPr>
                <w:p>
                  <w:pPr>
                    <w:tabs>
                      <w:tab w:val="left" w:pos="10080"/>
                    </w:tabs>
                    <w:spacing w:line="300" w:lineRule="exact"/>
                    <w:jc w:val="center"/>
                    <w:rPr>
                      <w:rFonts w:ascii="宋体" w:hAnsi="宋体"/>
                      <w:sz w:val="21"/>
                      <w:szCs w:val="21"/>
                    </w:rPr>
                  </w:pPr>
                  <w:r>
                    <w:rPr>
                      <w:rFonts w:hint="eastAsia" w:ascii="宋体" w:hAnsi="宋体"/>
                      <w:sz w:val="21"/>
                      <w:szCs w:val="21"/>
                    </w:rPr>
                    <w:t>质</w:t>
                  </w:r>
                </w:p>
                <w:p>
                  <w:pPr>
                    <w:tabs>
                      <w:tab w:val="left" w:pos="10080"/>
                    </w:tabs>
                    <w:spacing w:line="300" w:lineRule="exact"/>
                    <w:jc w:val="center"/>
                    <w:rPr>
                      <w:rFonts w:ascii="宋体" w:hAnsi="宋体"/>
                      <w:sz w:val="21"/>
                      <w:szCs w:val="21"/>
                    </w:rPr>
                  </w:pPr>
                  <w:r>
                    <w:rPr>
                      <w:rFonts w:hint="eastAsia" w:ascii="宋体" w:hAnsi="宋体"/>
                      <w:sz w:val="21"/>
                      <w:szCs w:val="21"/>
                    </w:rPr>
                    <w:t>管</w:t>
                  </w:r>
                </w:p>
                <w:p>
                  <w:pPr>
                    <w:tabs>
                      <w:tab w:val="left" w:pos="10080"/>
                    </w:tabs>
                    <w:spacing w:line="300" w:lineRule="exact"/>
                    <w:jc w:val="center"/>
                    <w:rPr>
                      <w:rFonts w:hint="eastAsia" w:ascii="宋体" w:hAnsi="宋体"/>
                      <w:sz w:val="21"/>
                      <w:szCs w:val="21"/>
                    </w:rPr>
                  </w:pPr>
                  <w:r>
                    <w:rPr>
                      <w:rFonts w:hint="eastAsia" w:ascii="宋体" w:hAnsi="宋体"/>
                      <w:sz w:val="21"/>
                      <w:szCs w:val="21"/>
                    </w:rPr>
                    <w:t>部</w:t>
                  </w:r>
                </w:p>
              </w:tc>
              <w:tc>
                <w:tcPr>
                  <w:tcW w:w="3239" w:type="dxa"/>
                  <w:gridSpan w:val="2"/>
                  <w:noWrap w:val="0"/>
                  <w:vAlign w:val="top"/>
                </w:tcPr>
                <w:p>
                  <w:pPr>
                    <w:rPr>
                      <w:rFonts w:hint="eastAsia" w:ascii="宋体" w:hAnsi="宋体"/>
                      <w:spacing w:val="-6"/>
                      <w:sz w:val="21"/>
                      <w:szCs w:val="21"/>
                    </w:rPr>
                  </w:pPr>
                  <w:r>
                    <w:rPr>
                      <w:rFonts w:hint="eastAsia" w:ascii="宋体" w:hAnsi="宋体"/>
                      <w:spacing w:val="-6"/>
                      <w:sz w:val="21"/>
                      <w:szCs w:val="21"/>
                    </w:rPr>
                    <w:t>1、</w:t>
                  </w:r>
                  <w:r>
                    <w:rPr>
                      <w:rFonts w:hint="eastAsia" w:ascii="宋体" w:hAnsi="宋体"/>
                      <w:color w:val="000000"/>
                      <w:sz w:val="21"/>
                      <w:szCs w:val="21"/>
                    </w:rPr>
                    <w:t>办公垃圾分类排放，检查合格率100%；</w:t>
                  </w:r>
                </w:p>
              </w:tc>
              <w:tc>
                <w:tcPr>
                  <w:tcW w:w="1151"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1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8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1330"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c>
                <w:tcPr>
                  <w:tcW w:w="899" w:type="dxa"/>
                  <w:noWrap w:val="0"/>
                  <w:vAlign w:val="center"/>
                </w:tcPr>
                <w:p>
                  <w:pPr>
                    <w:tabs>
                      <w:tab w:val="left" w:pos="10080"/>
                    </w:tabs>
                    <w:spacing w:line="300" w:lineRule="exact"/>
                    <w:jc w:val="center"/>
                    <w:rPr>
                      <w:rFonts w:hint="eastAsia" w:ascii="宋体" w:hAnsi="宋体"/>
                      <w:sz w:val="21"/>
                      <w:szCs w:val="21"/>
                      <w:highlight w:val="none"/>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4" w:type="dxa"/>
                  <w:vMerge w:val="continue"/>
                  <w:noWrap w:val="0"/>
                  <w:vAlign w:val="center"/>
                </w:tcPr>
                <w:p>
                  <w:pPr>
                    <w:tabs>
                      <w:tab w:val="left" w:pos="10080"/>
                    </w:tabs>
                    <w:spacing w:line="300" w:lineRule="exact"/>
                    <w:jc w:val="center"/>
                    <w:rPr>
                      <w:rFonts w:hint="eastAsia" w:ascii="宋体" w:hAnsi="宋体"/>
                      <w:sz w:val="21"/>
                      <w:szCs w:val="21"/>
                    </w:rPr>
                  </w:pPr>
                </w:p>
              </w:tc>
              <w:tc>
                <w:tcPr>
                  <w:tcW w:w="3239" w:type="dxa"/>
                  <w:gridSpan w:val="2"/>
                  <w:noWrap w:val="0"/>
                  <w:vAlign w:val="top"/>
                </w:tcPr>
                <w:p>
                  <w:pPr>
                    <w:rPr>
                      <w:rFonts w:hint="eastAsia" w:ascii="宋体" w:hAnsi="宋体"/>
                      <w:sz w:val="21"/>
                      <w:szCs w:val="21"/>
                    </w:rPr>
                  </w:pPr>
                  <w:r>
                    <w:rPr>
                      <w:rFonts w:hint="eastAsia" w:ascii="宋体" w:hAnsi="宋体"/>
                      <w:bCs/>
                      <w:sz w:val="21"/>
                      <w:szCs w:val="21"/>
                    </w:rPr>
                    <w:t>2、</w:t>
                  </w:r>
                  <w:r>
                    <w:rPr>
                      <w:rFonts w:hint="eastAsia" w:ascii="宋体" w:hAnsi="宋体"/>
                      <w:sz w:val="21"/>
                      <w:szCs w:val="21"/>
                    </w:rPr>
                    <w:t>火灾事故为0</w:t>
                  </w:r>
                </w:p>
              </w:tc>
              <w:tc>
                <w:tcPr>
                  <w:tcW w:w="1151"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1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8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30"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899" w:type="dxa"/>
                  <w:noWrap w:val="0"/>
                  <w:vAlign w:val="center"/>
                </w:tcPr>
                <w:p>
                  <w:pPr>
                    <w:spacing w:line="30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0</w:t>
                  </w:r>
                </w:p>
              </w:tc>
            </w:tr>
          </w:tbl>
          <w:p>
            <w:pPr>
              <w:spacing w:line="360" w:lineRule="auto"/>
              <w:rPr>
                <w:rFonts w:ascii="宋体"/>
                <w:szCs w:val="24"/>
              </w:rPr>
            </w:pPr>
          </w:p>
          <w:p>
            <w:pPr>
              <w:spacing w:line="360" w:lineRule="auto"/>
              <w:rPr>
                <w:rFonts w:hint="default" w:ascii="宋体" w:eastAsia="宋体"/>
                <w:szCs w:val="24"/>
                <w:lang w:val="en-US" w:eastAsia="zh-CN"/>
              </w:rPr>
            </w:pPr>
            <w:r>
              <w:rPr>
                <w:rFonts w:hint="eastAsia" w:ascii="宋体"/>
                <w:szCs w:val="24"/>
                <w:lang w:val="en-US" w:eastAsia="zh-CN"/>
              </w:rPr>
              <w:t>经2019.11考核，各部门已完成目标。</w:t>
            </w:r>
          </w:p>
          <w:p>
            <w:pPr>
              <w:spacing w:line="360" w:lineRule="auto"/>
              <w:rPr>
                <w:rFonts w:ascii="宋体"/>
                <w:szCs w:val="24"/>
              </w:rPr>
            </w:pPr>
          </w:p>
          <w:p>
            <w:pPr>
              <w:spacing w:line="360" w:lineRule="auto"/>
              <w:rPr>
                <w:rFonts w:ascii="宋体"/>
                <w:szCs w:val="24"/>
              </w:rPr>
            </w:pPr>
          </w:p>
          <w:p>
            <w:pPr>
              <w:spacing w:line="360" w:lineRule="auto"/>
              <w:rPr>
                <w:rFonts w:ascii="宋体"/>
                <w:szCs w:val="24"/>
              </w:rPr>
            </w:pP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资源</w:t>
            </w:r>
          </w:p>
        </w:tc>
        <w:tc>
          <w:tcPr>
            <w:tcW w:w="1311" w:type="dxa"/>
            <w:vAlign w:val="center"/>
          </w:tcPr>
          <w:p>
            <w:pPr>
              <w:rPr>
                <w:rFonts w:ascii="宋体" w:hAnsi="宋体"/>
                <w:szCs w:val="24"/>
              </w:rPr>
            </w:pPr>
            <w:r>
              <w:rPr>
                <w:rFonts w:ascii="宋体" w:hAnsi="宋体"/>
                <w:szCs w:val="24"/>
              </w:rPr>
              <w:t xml:space="preserve"> </w:t>
            </w:r>
          </w:p>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7.1</w:t>
            </w:r>
          </w:p>
        </w:tc>
        <w:tc>
          <w:tcPr>
            <w:tcW w:w="10004" w:type="dxa"/>
            <w:vAlign w:val="center"/>
          </w:tcPr>
          <w:p>
            <w:pPr>
              <w:snapToGrid w:val="0"/>
              <w:spacing w:line="360" w:lineRule="auto"/>
              <w:ind w:firstLine="420" w:firstLineChars="200"/>
              <w:rPr>
                <w:rFonts w:hint="eastAsia" w:ascii="宋体" w:hAnsi="宋体"/>
                <w:szCs w:val="24"/>
              </w:rPr>
            </w:pPr>
            <w:r>
              <w:rPr>
                <w:rFonts w:hint="eastAsia" w:ascii="宋体" w:hAnsi="宋体" w:cs="Times New Roman"/>
                <w:szCs w:val="24"/>
                <w:lang w:val="en-US" w:eastAsia="zh-CN"/>
              </w:rPr>
              <w:t>公司</w:t>
            </w:r>
            <w:r>
              <w:rPr>
                <w:rFonts w:hint="eastAsia" w:ascii="宋体" w:hAnsi="宋体" w:cs="Times New Roman"/>
                <w:szCs w:val="24"/>
              </w:rPr>
              <w:t>总投资</w:t>
            </w:r>
            <w:r>
              <w:rPr>
                <w:rFonts w:hint="eastAsia" w:ascii="宋体" w:hAnsi="宋体" w:cs="Times New Roman"/>
                <w:szCs w:val="24"/>
                <w:lang w:eastAsia="zh-CN"/>
              </w:rPr>
              <w:t>8</w:t>
            </w:r>
            <w:r>
              <w:rPr>
                <w:rFonts w:hint="eastAsia" w:ascii="宋体" w:hAnsi="宋体" w:cs="Times New Roman"/>
                <w:szCs w:val="24"/>
              </w:rPr>
              <w:t>000万元，占地面积</w:t>
            </w:r>
            <w:r>
              <w:rPr>
                <w:rFonts w:hint="eastAsia" w:ascii="宋体" w:hAnsi="宋体" w:cs="Times New Roman"/>
                <w:szCs w:val="24"/>
                <w:lang w:eastAsia="zh-CN"/>
              </w:rPr>
              <w:t>8</w:t>
            </w:r>
            <w:r>
              <w:rPr>
                <w:rFonts w:hint="eastAsia" w:ascii="宋体" w:hAnsi="宋体" w:cs="Times New Roman"/>
                <w:szCs w:val="24"/>
              </w:rPr>
              <w:t>0亩，公司现</w:t>
            </w:r>
            <w:r>
              <w:rPr>
                <w:rFonts w:hint="eastAsia" w:ascii="宋体" w:hAnsi="宋体"/>
                <w:szCs w:val="24"/>
              </w:rPr>
              <w:t>拥有2条精密机加生产线，各类数控车床、加工中心、数控花键磨床、数控高效花键铣床、数控滚丝机、数控内外圆磨床等精密机加设备200余台，碳硫分析仪、元素分析仪、气密试验机、布、洛氏硬度计、金相显微镜、分析天平、三坐标测量机等检测设备20余台，可年产400余万件精密机械零部件；现主要为陕西法士特集团公司、法士特伊顿离合器合资公司提供各种配套零件。公司为确保管理体系的有效运行和持续改进，确保满足顾客要求，增强顾客满意，为管理体系的有效运行和持续改进提供充分的资源，</w:t>
            </w:r>
          </w:p>
          <w:p>
            <w:pPr>
              <w:snapToGrid w:val="0"/>
              <w:spacing w:line="360" w:lineRule="auto"/>
              <w:ind w:firstLine="420" w:firstLineChars="200"/>
              <w:rPr>
                <w:rFonts w:hint="eastAsia" w:ascii="宋体" w:hAnsi="宋体"/>
                <w:szCs w:val="24"/>
                <w:lang w:eastAsia="zh-CN"/>
              </w:rPr>
            </w:pPr>
            <w:r>
              <w:rPr>
                <w:rFonts w:hint="eastAsia" w:ascii="宋体" w:hAnsi="宋体"/>
                <w:szCs w:val="24"/>
                <w:lang w:val="en-US" w:eastAsia="zh-CN"/>
              </w:rPr>
              <w:t>公司的</w:t>
            </w:r>
            <w:r>
              <w:rPr>
                <w:rFonts w:hint="eastAsia" w:ascii="宋体" w:hAnsi="宋体"/>
                <w:szCs w:val="24"/>
              </w:rPr>
              <w:t>人力资源、基础设施和工作环境；还包括为增强顾客满意所必需的资源。现有员工、生产及办公场所、办公设备等基础设施以及必要的工作环境，配备较为充分。</w:t>
            </w:r>
          </w:p>
          <w:p>
            <w:pPr>
              <w:snapToGrid w:val="0"/>
              <w:spacing w:line="360" w:lineRule="auto"/>
              <w:ind w:firstLine="420" w:firstLineChars="200"/>
              <w:rPr>
                <w:rFonts w:ascii="宋体"/>
                <w:szCs w:val="24"/>
              </w:rPr>
            </w:pPr>
            <w:r>
              <w:rPr>
                <w:rFonts w:hint="eastAsia" w:ascii="宋体" w:hAnsi="宋体"/>
                <w:szCs w:val="24"/>
              </w:rPr>
              <w:t>总经理主持了今年的管理评审，对方针、目标的适宜性进行了评审，协助管代进行了内审，确保所需资源得到满足。</w:t>
            </w:r>
          </w:p>
          <w:p>
            <w:pPr>
              <w:snapToGrid w:val="0"/>
              <w:spacing w:line="360" w:lineRule="auto"/>
              <w:ind w:firstLine="420" w:firstLineChars="200"/>
              <w:rPr>
                <w:rFonts w:ascii="宋体"/>
                <w:szCs w:val="24"/>
              </w:rPr>
            </w:pPr>
            <w:r>
              <w:rPr>
                <w:rFonts w:hint="eastAsia" w:ascii="宋体" w:hAnsi="宋体"/>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napToGrid w:val="0"/>
              <w:spacing w:line="360" w:lineRule="auto"/>
              <w:ind w:firstLine="420" w:firstLineChars="200"/>
              <w:rPr>
                <w:rFonts w:hint="default" w:ascii="宋体"/>
                <w:szCs w:val="24"/>
                <w:lang w:val="en-US"/>
              </w:rPr>
            </w:pPr>
            <w:r>
              <w:rPr>
                <w:rFonts w:hint="eastAsia" w:ascii="宋体" w:hAnsi="宋体"/>
                <w:szCs w:val="24"/>
              </w:rPr>
              <w:t>查见</w:t>
            </w:r>
            <w:r>
              <w:rPr>
                <w:rFonts w:ascii="宋体" w:hAnsi="宋体"/>
                <w:szCs w:val="24"/>
              </w:rPr>
              <w:t>2019</w:t>
            </w:r>
            <w:r>
              <w:rPr>
                <w:rFonts w:hint="eastAsia" w:ascii="宋体" w:hAnsi="宋体"/>
                <w:szCs w:val="24"/>
              </w:rPr>
              <w:t>年环保安全资金投入计划财务支出明细，至今支出</w:t>
            </w:r>
            <w:r>
              <w:rPr>
                <w:rFonts w:hint="eastAsia"/>
                <w:lang w:val="en-US" w:eastAsia="zh-CN"/>
              </w:rPr>
              <w:t>1.2万余元</w:t>
            </w:r>
          </w:p>
          <w:p>
            <w:pPr>
              <w:autoSpaceDE w:val="0"/>
              <w:autoSpaceDN w:val="0"/>
              <w:adjustRightInd w:val="0"/>
              <w:spacing w:line="360" w:lineRule="auto"/>
              <w:ind w:firstLine="420" w:firstLineChars="200"/>
              <w:rPr>
                <w:rFonts w:ascii="宋体"/>
                <w:szCs w:val="24"/>
              </w:rPr>
            </w:pPr>
            <w:r>
              <w:rPr>
                <w:rFonts w:hint="eastAsia" w:ascii="宋体" w:hAnsi="宋体"/>
                <w:szCs w:val="24"/>
              </w:rPr>
              <w:t>通过现场观察及与领导沟通了解到，公司为确保管理体系的有效运行和持续改进，确保满足顾客要求，增强顾客满意，确定并提供了必要的资源，目前</w:t>
            </w:r>
            <w:r>
              <w:rPr>
                <w:rFonts w:hint="eastAsia" w:ascii="宋体" w:hAnsi="宋体"/>
                <w:szCs w:val="24"/>
                <w:lang w:val="en-US" w:eastAsia="zh-CN"/>
              </w:rPr>
              <w:t>生产、</w:t>
            </w:r>
            <w:r>
              <w:rPr>
                <w:rFonts w:hint="eastAsia" w:ascii="宋体" w:hAnsi="宋体"/>
                <w:szCs w:val="24"/>
              </w:rPr>
              <w:t>仓库和</w:t>
            </w:r>
            <w:r>
              <w:rPr>
                <w:rFonts w:hint="eastAsia" w:ascii="宋体" w:hAnsi="宋体"/>
                <w:szCs w:val="24"/>
                <w:lang w:eastAsia="zh-CN"/>
              </w:rPr>
              <w:t>综合管理部</w:t>
            </w:r>
            <w:r>
              <w:rPr>
                <w:rFonts w:hint="eastAsia" w:ascii="宋体" w:hAnsi="宋体"/>
                <w:szCs w:val="24"/>
              </w:rPr>
              <w:t>等资源配备基本能满足要求，机构设置合理。经过管理体系运行证明，现有资源可满足体系和产品的要求。</w:t>
            </w:r>
          </w:p>
          <w:p>
            <w:pPr>
              <w:spacing w:line="360" w:lineRule="auto"/>
              <w:ind w:firstLine="420" w:firstLineChars="200"/>
              <w:rPr>
                <w:rFonts w:ascii="宋体"/>
                <w:szCs w:val="24"/>
              </w:rPr>
            </w:pPr>
            <w:r>
              <w:rPr>
                <w:rFonts w:hint="eastAsia" w:ascii="宋体" w:hAnsi="宋体"/>
                <w:szCs w:val="24"/>
              </w:rPr>
              <w:t>公司目前的基础设施，能够满足当前</w:t>
            </w:r>
            <w:r>
              <w:rPr>
                <w:rFonts w:hint="eastAsia" w:ascii="宋体" w:hAnsi="宋体"/>
                <w:szCs w:val="24"/>
                <w:lang w:val="en-US" w:eastAsia="zh-CN"/>
              </w:rPr>
              <w:t>环境</w:t>
            </w:r>
            <w:r>
              <w:rPr>
                <w:rFonts w:hint="eastAsia" w:ascii="宋体" w:hAnsi="宋体"/>
                <w:szCs w:val="24"/>
              </w:rPr>
              <w:t>体系的要求。公司将依据经营发展的需要，会不断补充与增加。</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信息交流、沟通、</w:t>
            </w:r>
          </w:p>
          <w:p>
            <w:pPr>
              <w:rPr>
                <w:rFonts w:ascii="宋体"/>
                <w:szCs w:val="24"/>
              </w:rPr>
            </w:pPr>
            <w:r>
              <w:rPr>
                <w:rFonts w:hint="eastAsia" w:ascii="宋体" w:hAnsi="宋体"/>
                <w:szCs w:val="24"/>
              </w:rPr>
              <w:t>协商与参与</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7.4  </w:t>
            </w:r>
          </w:p>
          <w:p>
            <w:pPr>
              <w:rPr>
                <w:rFonts w:ascii="宋体" w:hAnsi="宋体"/>
                <w:szCs w:val="24"/>
              </w:rPr>
            </w:pPr>
          </w:p>
        </w:tc>
        <w:tc>
          <w:tcPr>
            <w:tcW w:w="10004" w:type="dxa"/>
            <w:vAlign w:val="center"/>
          </w:tcPr>
          <w:p>
            <w:pPr>
              <w:spacing w:line="360" w:lineRule="auto"/>
              <w:ind w:firstLine="468"/>
              <w:rPr>
                <w:rFonts w:ascii="宋体"/>
                <w:szCs w:val="24"/>
              </w:rPr>
            </w:pPr>
            <w:r>
              <w:rPr>
                <w:rFonts w:hint="eastAsia" w:ascii="宋体" w:hAnsi="宋体"/>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20" w:firstLineChars="200"/>
              <w:rPr>
                <w:rFonts w:ascii="宋体" w:hAnsi="宋体"/>
                <w:szCs w:val="24"/>
              </w:rPr>
            </w:pPr>
            <w:r>
              <w:rPr>
                <w:rFonts w:hint="eastAsia" w:ascii="宋体" w:hAnsi="宋体"/>
                <w:szCs w:val="24"/>
              </w:rPr>
              <w:t>总经理</w:t>
            </w:r>
            <w:r>
              <w:rPr>
                <w:rFonts w:hint="eastAsia" w:ascii="宋体" w:hAnsi="宋体"/>
                <w:szCs w:val="24"/>
                <w:lang w:val="en-US" w:eastAsia="zh-CN"/>
              </w:rPr>
              <w:t>李峰</w:t>
            </w:r>
            <w:r>
              <w:rPr>
                <w:rFonts w:hint="eastAsia" w:ascii="宋体" w:hAnsi="宋体"/>
                <w:szCs w:val="24"/>
              </w:rPr>
              <w:t>定期主持经营办公例会，分析公司的发展、市场情况和体系运行是否有效，管理目标完成情况，满足顾客要求和法规程度，改进建议等内部管理存在问题等。</w:t>
            </w:r>
            <w:r>
              <w:rPr>
                <w:rFonts w:ascii="宋体" w:hAnsi="宋体"/>
                <w:szCs w:val="24"/>
              </w:rPr>
              <w:t xml:space="preserve">  </w:t>
            </w:r>
          </w:p>
          <w:p>
            <w:pPr>
              <w:tabs>
                <w:tab w:val="left" w:pos="9720"/>
                <w:tab w:val="left" w:pos="9900"/>
              </w:tabs>
              <w:spacing w:before="62" w:beforeLines="20" w:after="62" w:afterLines="20" w:line="360" w:lineRule="auto"/>
              <w:ind w:firstLine="420" w:firstLineChars="200"/>
              <w:rPr>
                <w:rFonts w:ascii="宋体" w:hAnsi="宋体"/>
                <w:szCs w:val="24"/>
              </w:rPr>
            </w:pPr>
            <w:r>
              <w:rPr>
                <w:rFonts w:hint="eastAsia" w:ascii="宋体" w:hAnsi="宋体"/>
                <w:szCs w:val="24"/>
              </w:rPr>
              <w:t>总经理</w:t>
            </w:r>
            <w:r>
              <w:rPr>
                <w:rFonts w:hint="eastAsia" w:ascii="宋体" w:hAnsi="宋体"/>
                <w:szCs w:val="24"/>
                <w:lang w:val="en-US" w:eastAsia="zh-CN"/>
              </w:rPr>
              <w:t>李峰</w:t>
            </w:r>
            <w:r>
              <w:rPr>
                <w:rFonts w:hint="eastAsia" w:ascii="宋体" w:hAnsi="宋体"/>
                <w:szCs w:val="24"/>
              </w:rPr>
              <w:t>为协商、参与提供了时间、机会、培训、资源等保障，明确了沟通、协商、参与渠道，消除了障碍和壁垒。</w:t>
            </w:r>
            <w:r>
              <w:rPr>
                <w:rFonts w:ascii="宋体" w:hAnsi="宋体"/>
                <w:szCs w:val="24"/>
              </w:rPr>
              <w:t xml:space="preserve"> </w:t>
            </w:r>
          </w:p>
          <w:p>
            <w:pPr>
              <w:tabs>
                <w:tab w:val="left" w:pos="9720"/>
                <w:tab w:val="left" w:pos="9900"/>
              </w:tabs>
              <w:spacing w:before="62" w:beforeLines="20" w:after="62" w:afterLines="20" w:line="360" w:lineRule="auto"/>
              <w:ind w:firstLine="420" w:firstLineChars="200"/>
              <w:rPr>
                <w:rFonts w:ascii="宋体"/>
                <w:szCs w:val="24"/>
              </w:rPr>
            </w:pPr>
            <w:r>
              <w:rPr>
                <w:rFonts w:hint="eastAsia" w:ascii="宋体" w:hAnsi="宋体"/>
                <w:szCs w:val="24"/>
              </w:rPr>
              <w:t>管代</w:t>
            </w:r>
            <w:r>
              <w:rPr>
                <w:rFonts w:hint="eastAsia" w:ascii="宋体" w:hAnsi="宋体"/>
                <w:szCs w:val="24"/>
                <w:lang w:val="en-US" w:eastAsia="zh-CN"/>
              </w:rPr>
              <w:t>林媛</w:t>
            </w:r>
            <w:r>
              <w:rPr>
                <w:rFonts w:hint="eastAsia" w:ascii="宋体" w:hAnsi="宋体"/>
                <w:szCs w:val="24"/>
              </w:rPr>
              <w:t>介绍公司规模不大，人员不多，组织为各部门管理人员及非管理类工作人员明确了职责和权限，各部门管理人员及非管理类工作人员参与了环境因素辨识、风险和机遇评价和控制措施的确定，在确定相关方的需求和期望时进行了适当的协商，共同参与了环境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日常对于环保的信息主要利用会议、培训、座谈、电话、网络、收文等方式进行内外部沟通和协商。</w:t>
            </w:r>
          </w:p>
          <w:p>
            <w:pPr>
              <w:spacing w:line="360" w:lineRule="auto"/>
              <w:ind w:firstLine="420" w:firstLineChars="200"/>
              <w:rPr>
                <w:rFonts w:ascii="宋体"/>
                <w:szCs w:val="24"/>
              </w:rPr>
            </w:pPr>
            <w:r>
              <w:rPr>
                <w:rFonts w:hint="eastAsia" w:ascii="宋体" w:hAnsi="宋体"/>
                <w:szCs w:val="24"/>
              </w:rPr>
              <w:t>现场查见会议记录、通知通报、培训记录、文件签收等组织内部培训方式相关记录。</w:t>
            </w:r>
          </w:p>
          <w:p>
            <w:pPr>
              <w:spacing w:line="360" w:lineRule="auto"/>
              <w:ind w:firstLine="420" w:firstLineChars="200"/>
              <w:rPr>
                <w:rFonts w:ascii="宋体"/>
                <w:szCs w:val="24"/>
              </w:rPr>
            </w:pPr>
            <w:r>
              <w:rPr>
                <w:rFonts w:hint="eastAsia" w:ascii="宋体" w:hAnsi="宋体"/>
                <w:szCs w:val="24"/>
                <w:lang w:val="en-US" w:eastAsia="zh-CN"/>
              </w:rPr>
              <w:t>综合管理部</w:t>
            </w:r>
            <w:r>
              <w:rPr>
                <w:rFonts w:hint="eastAsia" w:ascii="宋体" w:hAnsi="宋体"/>
                <w:szCs w:val="24"/>
              </w:rPr>
              <w:t>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ascii="宋体"/>
                <w:szCs w:val="24"/>
              </w:rPr>
            </w:pPr>
            <w:r>
              <w:rPr>
                <w:rFonts w:hint="eastAsia" w:ascii="宋体" w:hAnsi="宋体"/>
                <w:szCs w:val="24"/>
              </w:rPr>
              <w:t>经交流：目前与环保、劳动、消防、安监部门的信息交流主要是参加会议、接收来文、电话、邮件等，均按要求予以传达和落实，沟通情况较好。</w:t>
            </w:r>
          </w:p>
          <w:p>
            <w:pPr>
              <w:spacing w:line="360" w:lineRule="auto"/>
              <w:ind w:firstLine="420" w:firstLineChars="200"/>
              <w:rPr>
                <w:rFonts w:ascii="宋体"/>
                <w:szCs w:val="24"/>
              </w:rPr>
            </w:pPr>
            <w:r>
              <w:rPr>
                <w:rFonts w:hint="eastAsia" w:ascii="宋体" w:hAnsi="宋体"/>
                <w:szCs w:val="24"/>
              </w:rPr>
              <w:t>由于公司福利待遇正常发放，员工无抱怨，目前信息交流机制畅通。</w:t>
            </w:r>
          </w:p>
          <w:p>
            <w:pPr>
              <w:spacing w:line="360" w:lineRule="auto"/>
              <w:ind w:firstLine="420" w:firstLineChars="200"/>
              <w:rPr>
                <w:rFonts w:ascii="宋体"/>
                <w:szCs w:val="24"/>
              </w:rPr>
            </w:pPr>
            <w:r>
              <w:rPr>
                <w:rFonts w:hint="eastAsia" w:ascii="宋体" w:hAnsi="宋体"/>
                <w:szCs w:val="24"/>
              </w:rPr>
              <w:t>现有的沟通渠道和方法能满足要求。审核中未发现因沟通不利不及时而造成（影响）某项工作不能正常运行的情况。</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09" w:type="dxa"/>
            <w:vAlign w:val="center"/>
          </w:tcPr>
          <w:p>
            <w:pPr>
              <w:rPr>
                <w:rFonts w:ascii="宋体"/>
                <w:szCs w:val="24"/>
              </w:rPr>
            </w:pPr>
            <w:r>
              <w:rPr>
                <w:rFonts w:hint="eastAsia" w:ascii="宋体" w:hAnsi="宋体"/>
                <w:szCs w:val="24"/>
              </w:rPr>
              <w:t>管理评审</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9.3  </w:t>
            </w:r>
          </w:p>
        </w:tc>
        <w:tc>
          <w:tcPr>
            <w:tcW w:w="10004" w:type="dxa"/>
            <w:vAlign w:val="center"/>
          </w:tcPr>
          <w:p>
            <w:pPr>
              <w:spacing w:line="360" w:lineRule="auto"/>
              <w:ind w:firstLine="420" w:firstLineChars="200"/>
              <w:rPr>
                <w:rFonts w:ascii="宋体"/>
                <w:szCs w:val="24"/>
              </w:rPr>
            </w:pPr>
            <w:r>
              <w:rPr>
                <w:rFonts w:hint="eastAsia" w:ascii="宋体" w:hAnsi="宋体"/>
                <w:szCs w:val="24"/>
              </w:rPr>
              <w:t>查看《管理评审程序》，基本符合要求。</w:t>
            </w:r>
            <w:r>
              <w:rPr>
                <w:rFonts w:ascii="宋体" w:hAnsi="宋体"/>
                <w:szCs w:val="24"/>
              </w:rPr>
              <w:t>2019.</w:t>
            </w:r>
            <w:r>
              <w:rPr>
                <w:rFonts w:hint="eastAsia" w:ascii="宋体" w:hAnsi="宋体"/>
                <w:szCs w:val="24"/>
                <w:lang w:val="en-US" w:eastAsia="zh-CN"/>
              </w:rPr>
              <w:t>11</w:t>
            </w:r>
            <w:r>
              <w:rPr>
                <w:rFonts w:ascii="宋体" w:hAnsi="宋体"/>
                <w:szCs w:val="24"/>
              </w:rPr>
              <w:t>.</w:t>
            </w:r>
            <w:r>
              <w:rPr>
                <w:rFonts w:hint="eastAsia" w:ascii="宋体" w:hAnsi="宋体"/>
                <w:szCs w:val="24"/>
                <w:lang w:val="en-US" w:eastAsia="zh-CN"/>
              </w:rPr>
              <w:t>30</w:t>
            </w:r>
            <w:r>
              <w:rPr>
                <w:rFonts w:hint="eastAsia" w:ascii="宋体" w:hAnsi="宋体"/>
                <w:szCs w:val="24"/>
              </w:rPr>
              <w:t>日进行了管理评审。</w:t>
            </w:r>
          </w:p>
          <w:p>
            <w:pPr>
              <w:spacing w:line="360" w:lineRule="auto"/>
              <w:ind w:firstLine="420" w:firstLineChars="200"/>
              <w:rPr>
                <w:rFonts w:ascii="宋体"/>
                <w:szCs w:val="24"/>
              </w:rPr>
            </w:pPr>
            <w:r>
              <w:rPr>
                <w:rFonts w:hint="eastAsia" w:ascii="宋体" w:hAnsi="宋体"/>
                <w:szCs w:val="24"/>
              </w:rPr>
              <w:t>查看</w:t>
            </w:r>
            <w:r>
              <w:rPr>
                <w:rFonts w:ascii="宋体" w:hAnsi="宋体"/>
                <w:szCs w:val="24"/>
              </w:rPr>
              <w:t xml:space="preserve"> </w:t>
            </w:r>
            <w:r>
              <w:rPr>
                <w:rFonts w:hint="eastAsia" w:ascii="宋体" w:hAnsi="宋体"/>
                <w:szCs w:val="24"/>
              </w:rPr>
              <w:t>“管理评审计划”，由</w:t>
            </w:r>
            <w:r>
              <w:rPr>
                <w:rFonts w:hint="eastAsia" w:ascii="宋体" w:hAnsi="宋体"/>
                <w:szCs w:val="24"/>
                <w:lang w:val="en-US" w:eastAsia="zh-CN"/>
              </w:rPr>
              <w:t>李峰</w:t>
            </w:r>
            <w:r>
              <w:rPr>
                <w:rFonts w:hint="eastAsia" w:ascii="宋体" w:hAnsi="宋体"/>
                <w:szCs w:val="24"/>
              </w:rPr>
              <w:t>签发；内容包括；评审目的、评审时间、参加部门人员、评审输入内容等。</w:t>
            </w:r>
          </w:p>
          <w:p>
            <w:pPr>
              <w:spacing w:line="360" w:lineRule="auto"/>
              <w:ind w:firstLine="420" w:firstLineChars="200"/>
              <w:rPr>
                <w:rFonts w:ascii="宋体"/>
                <w:szCs w:val="24"/>
              </w:rPr>
            </w:pPr>
            <w:r>
              <w:rPr>
                <w:rFonts w:hint="eastAsia" w:ascii="宋体" w:hAnsi="宋体"/>
                <w:szCs w:val="24"/>
              </w:rPr>
              <w:t>管理评审输入</w:t>
            </w:r>
            <w:r>
              <w:rPr>
                <w:rFonts w:ascii="宋体" w:hAnsi="宋体"/>
                <w:szCs w:val="24"/>
              </w:rPr>
              <w:t>:</w:t>
            </w:r>
            <w:r>
              <w:rPr>
                <w:rFonts w:hint="eastAsia" w:ascii="宋体" w:hAnsi="宋体"/>
                <w:szCs w:val="24"/>
              </w:rPr>
              <w:t>包括组织的战略方向、与环境管理体系相关的内外部因素的变化，顾客满意和相关方的反馈，目标的实现情况，监视和测量结果，内部审核结果，外部供方的绩效，资源的充分性，应对风险和机遇所采取的措施，重要环境因素，合规义务履行情况，事件调查、纠正和预防措施，改进的机会等。管理评审的输入基本充分。查到各部门汇报材料，有参加人员签到表。</w:t>
            </w:r>
          </w:p>
          <w:p>
            <w:pPr>
              <w:spacing w:line="360" w:lineRule="auto"/>
              <w:ind w:firstLine="420" w:firstLineChars="200"/>
              <w:rPr>
                <w:rFonts w:ascii="宋体"/>
                <w:szCs w:val="24"/>
              </w:rPr>
            </w:pPr>
            <w:r>
              <w:rPr>
                <w:rFonts w:hint="eastAsia" w:ascii="宋体" w:hAnsi="宋体"/>
                <w:szCs w:val="24"/>
              </w:rPr>
              <w:t>管理评审输出：</w:t>
            </w:r>
          </w:p>
          <w:p>
            <w:pPr>
              <w:spacing w:line="360" w:lineRule="auto"/>
              <w:ind w:firstLine="420" w:firstLineChars="200"/>
              <w:rPr>
                <w:rFonts w:hint="eastAsia" w:ascii="宋体" w:hAnsi="宋体"/>
                <w:szCs w:val="24"/>
              </w:rPr>
            </w:pPr>
            <w:r>
              <w:rPr>
                <w:rFonts w:hint="eastAsia" w:ascii="宋体" w:hAnsi="宋体"/>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pPr>
              <w:widowControl/>
              <w:numPr>
                <w:numId w:val="0"/>
              </w:numPr>
              <w:tabs>
                <w:tab w:val="left" w:pos="174"/>
              </w:tabs>
              <w:spacing w:line="400" w:lineRule="atLeast"/>
              <w:ind w:left="315" w:leftChars="0"/>
              <w:jc w:val="left"/>
              <w:rPr>
                <w:rFonts w:hint="eastAsia" w:ascii="宋体" w:hAnsi="宋体"/>
                <w:color w:val="000000"/>
                <w:szCs w:val="21"/>
              </w:rPr>
            </w:pPr>
            <w:r>
              <w:rPr>
                <w:rFonts w:hint="eastAsia" w:ascii="宋体" w:hAnsi="宋体"/>
                <w:szCs w:val="24"/>
              </w:rPr>
              <w:t>评审结论：</w:t>
            </w:r>
            <w:r>
              <w:rPr>
                <w:rFonts w:hint="eastAsia" w:ascii="宋体" w:hAnsi="宋体"/>
                <w:szCs w:val="24"/>
                <w:lang w:val="en-US" w:eastAsia="zh-CN"/>
              </w:rPr>
              <w:t>1、</w:t>
            </w:r>
            <w:r>
              <w:rPr>
                <w:rFonts w:hint="eastAsia" w:ascii="宋体" w:hAnsi="宋体"/>
              </w:rPr>
              <w:t>公司的环境管理体系、方针和目标符合目前状况，是适宜的、有效的、充分的。</w:t>
            </w:r>
            <w:r>
              <w:rPr>
                <w:rFonts w:hint="eastAsia" w:ascii="宋体" w:hAnsi="宋体"/>
                <w:lang w:val="en-US" w:eastAsia="zh-CN"/>
              </w:rPr>
              <w:t>2、</w:t>
            </w:r>
            <w:r>
              <w:rPr>
                <w:rFonts w:hint="eastAsia" w:ascii="宋体" w:hAnsi="宋体"/>
                <w:color w:val="000000"/>
              </w:rPr>
              <w:t>内部审核的实施达到预期的目标，各部门应增强对其人员的监督和培训，满足管理体系对其的要求。</w:t>
            </w:r>
            <w:r>
              <w:rPr>
                <w:rFonts w:hint="eastAsia" w:ascii="宋体" w:hAnsi="宋体"/>
                <w:lang w:val="en-US" w:eastAsia="zh-CN"/>
              </w:rPr>
              <w:t>3、</w:t>
            </w:r>
            <w:r>
              <w:rPr>
                <w:rFonts w:hint="eastAsia" w:ascii="宋体" w:hAnsi="宋体"/>
              </w:rPr>
              <w:t>综合管理部组织进行各级人员的培训，使其更明确程序的要求。</w:t>
            </w:r>
            <w:r>
              <w:rPr>
                <w:rFonts w:hint="eastAsia" w:ascii="宋体" w:hAnsi="宋体"/>
                <w:lang w:val="en-US" w:eastAsia="zh-CN"/>
              </w:rPr>
              <w:t>4、</w:t>
            </w:r>
            <w:r>
              <w:rPr>
                <w:rFonts w:hint="eastAsia" w:ascii="宋体" w:hAnsi="宋体"/>
                <w:color w:val="000000"/>
              </w:rPr>
              <w:t>顾客、相关方的反馈意见通过沟通能够按照程序及时处理</w:t>
            </w:r>
            <w:r>
              <w:rPr>
                <w:rFonts w:hint="eastAsia" w:ascii="宋体" w:hAnsi="宋体"/>
                <w:lang w:eastAsia="zh-CN"/>
              </w:rPr>
              <w:t>；</w:t>
            </w:r>
            <w:r>
              <w:rPr>
                <w:rFonts w:hint="eastAsia" w:ascii="宋体" w:hAnsi="宋体"/>
                <w:lang w:val="en-US" w:eastAsia="zh-CN"/>
              </w:rPr>
              <w:t>5、</w:t>
            </w:r>
            <w:r>
              <w:rPr>
                <w:rFonts w:hint="eastAsia" w:ascii="宋体" w:hAnsi="宋体"/>
                <w:color w:val="000000"/>
              </w:rPr>
              <w:t>不合格、</w:t>
            </w:r>
            <w:r>
              <w:rPr>
                <w:rFonts w:hint="eastAsia" w:ascii="宋体" w:hAnsi="宋体"/>
                <w:color w:val="000000"/>
                <w:szCs w:val="21"/>
              </w:rPr>
              <w:t>纠正措施的实施基本有效的避免类似问题的发生和再发生，风险和机遇应对措施基本有效</w:t>
            </w:r>
            <w:r>
              <w:rPr>
                <w:rFonts w:ascii="宋体" w:hAnsi="宋体"/>
                <w:color w:val="000000"/>
                <w:szCs w:val="21"/>
              </w:rPr>
              <w:t>。</w:t>
            </w:r>
            <w:r>
              <w:rPr>
                <w:rFonts w:hint="eastAsia" w:ascii="宋体" w:hAnsi="宋体"/>
                <w:color w:val="000000"/>
                <w:szCs w:val="21"/>
                <w:lang w:val="en-US" w:eastAsia="zh-CN"/>
              </w:rPr>
              <w:t>6</w:t>
            </w:r>
            <w:r>
              <w:rPr>
                <w:rFonts w:hint="eastAsia" w:ascii="宋体" w:hAnsi="宋体"/>
                <w:color w:val="000000"/>
                <w:szCs w:val="21"/>
              </w:rPr>
              <w:t>各部门在运行中基本遵守相关法律法规，按照要求对危险源和环境因素进行控制。</w:t>
            </w:r>
          </w:p>
          <w:p>
            <w:pPr>
              <w:widowControl/>
              <w:numPr>
                <w:numId w:val="0"/>
              </w:numPr>
              <w:tabs>
                <w:tab w:val="left" w:pos="174"/>
              </w:tabs>
              <w:spacing w:line="400" w:lineRule="atLeast"/>
              <w:ind w:left="315" w:leftChars="0"/>
              <w:jc w:val="left"/>
              <w:rPr>
                <w:rFonts w:hint="eastAsia" w:ascii="宋体" w:hAnsi="宋体"/>
                <w:color w:val="000000"/>
                <w:szCs w:val="21"/>
              </w:rPr>
            </w:pPr>
            <w:r>
              <w:rPr>
                <w:rFonts w:hint="eastAsia" w:ascii="宋体" w:hAnsi="宋体"/>
                <w:color w:val="000000"/>
                <w:szCs w:val="21"/>
                <w:lang w:val="en-US" w:eastAsia="zh-CN"/>
              </w:rPr>
              <w:t>7、</w:t>
            </w:r>
            <w:r>
              <w:rPr>
                <w:rFonts w:hint="eastAsia" w:ascii="宋体" w:hAnsi="宋体"/>
                <w:color w:val="000000"/>
              </w:rPr>
              <w:t>公司的资源基本能够满足体系运行的需要。</w:t>
            </w:r>
          </w:p>
          <w:p>
            <w:pPr>
              <w:spacing w:line="400" w:lineRule="atLeast"/>
              <w:rPr>
                <w:rFonts w:hint="eastAsia" w:ascii="宋体" w:hAnsi="宋体"/>
              </w:rPr>
            </w:pPr>
            <w:r>
              <w:rPr>
                <w:rFonts w:hint="eastAsia" w:ascii="宋体" w:hAnsi="宋体"/>
              </w:rPr>
              <w:t>改进要求：</w:t>
            </w:r>
          </w:p>
          <w:p>
            <w:pPr>
              <w:spacing w:line="360" w:lineRule="auto"/>
              <w:ind w:firstLine="420" w:firstLineChars="200"/>
              <w:rPr>
                <w:rFonts w:ascii="宋体"/>
                <w:szCs w:val="24"/>
              </w:rPr>
            </w:pPr>
            <w:r>
              <w:rPr>
                <w:rFonts w:hint="eastAsia" w:ascii="宋体" w:hAnsi="宋体"/>
              </w:rPr>
              <w:t xml:space="preserve">    进一步加强员工环保法规知识培训</w:t>
            </w:r>
          </w:p>
          <w:p>
            <w:pPr>
              <w:spacing w:line="360" w:lineRule="auto"/>
              <w:rPr>
                <w:rFonts w:ascii="宋体"/>
                <w:szCs w:val="24"/>
              </w:rPr>
            </w:pPr>
            <w:r>
              <w:rPr>
                <w:rFonts w:hint="eastAsia" w:ascii="宋体" w:hAnsi="宋体"/>
                <w:szCs w:val="24"/>
              </w:rPr>
              <w:t>管理评审的策划及实施符合要求。</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09" w:type="dxa"/>
            <w:vAlign w:val="center"/>
          </w:tcPr>
          <w:p>
            <w:pPr>
              <w:rPr>
                <w:rFonts w:ascii="宋体"/>
                <w:szCs w:val="24"/>
              </w:rPr>
            </w:pPr>
            <w:r>
              <w:rPr>
                <w:rFonts w:hint="eastAsia" w:ascii="宋体" w:hAnsi="宋体"/>
                <w:szCs w:val="24"/>
              </w:rPr>
              <w:t>改进</w:t>
            </w:r>
          </w:p>
          <w:p>
            <w:pPr>
              <w:rPr>
                <w:rFonts w:ascii="宋体"/>
                <w:szCs w:val="24"/>
              </w:rPr>
            </w:pP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10.1</w:t>
            </w:r>
            <w:r>
              <w:rPr>
                <w:rFonts w:hint="eastAsia" w:ascii="宋体" w:hAnsi="宋体"/>
                <w:szCs w:val="24"/>
              </w:rPr>
              <w:t>、</w:t>
            </w:r>
            <w:r>
              <w:rPr>
                <w:rFonts w:ascii="宋体" w:hAnsi="宋体"/>
                <w:szCs w:val="24"/>
              </w:rPr>
              <w:t>10.3</w:t>
            </w:r>
          </w:p>
          <w:p>
            <w:pPr>
              <w:rPr>
                <w:rFonts w:ascii="宋体" w:hAnsi="宋体"/>
                <w:szCs w:val="24"/>
              </w:rPr>
            </w:pPr>
          </w:p>
        </w:tc>
        <w:tc>
          <w:tcPr>
            <w:tcW w:w="10004" w:type="dxa"/>
            <w:vAlign w:val="center"/>
          </w:tcPr>
          <w:p>
            <w:pPr>
              <w:snapToGrid w:val="0"/>
              <w:spacing w:line="360" w:lineRule="auto"/>
              <w:ind w:firstLine="420" w:firstLineChars="200"/>
              <w:rPr>
                <w:rFonts w:ascii="宋体"/>
                <w:szCs w:val="24"/>
              </w:rPr>
            </w:pPr>
            <w:r>
              <w:rPr>
                <w:rFonts w:hint="eastAsia" w:ascii="宋体" w:hAnsi="宋体"/>
                <w:color w:val="000000"/>
                <w:szCs w:val="24"/>
              </w:rPr>
              <w:t>管理者代表根据总经理意图组织持续改进过程的策划工作，由</w:t>
            </w:r>
            <w:r>
              <w:rPr>
                <w:rFonts w:hint="eastAsia" w:ascii="宋体" w:hAnsi="宋体"/>
                <w:color w:val="000000"/>
                <w:szCs w:val="24"/>
                <w:lang w:val="en-US" w:eastAsia="zh-CN"/>
              </w:rPr>
              <w:t>综合管理部</w:t>
            </w:r>
            <w:r>
              <w:rPr>
                <w:rFonts w:hint="eastAsia" w:ascii="宋体" w:hAnsi="宋体"/>
                <w:color w:val="000000"/>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有较大的提高，持续改进了管理体系的有效性。</w:t>
            </w:r>
          </w:p>
          <w:p>
            <w:pPr>
              <w:spacing w:line="360" w:lineRule="auto"/>
              <w:ind w:firstLine="420" w:firstLineChars="200"/>
              <w:rPr>
                <w:rFonts w:ascii="宋体"/>
                <w:szCs w:val="24"/>
              </w:rPr>
            </w:pPr>
            <w:r>
              <w:rPr>
                <w:rFonts w:hint="eastAsia" w:ascii="宋体" w:hAnsi="宋体"/>
                <w:szCs w:val="24"/>
              </w:rPr>
              <w:t>自体系运行以来，全员的质量意识、服务意识、环保意识有较大的提高，市场经营规模有了较大发展，持续改进了管理体系的有效性。</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809" w:type="dxa"/>
          </w:tcPr>
          <w:p>
            <w:pPr>
              <w:rPr>
                <w:rFonts w:ascii="宋体"/>
                <w:szCs w:val="24"/>
              </w:rPr>
            </w:pPr>
            <w:r>
              <w:rPr>
                <w:rFonts w:hint="eastAsia" w:ascii="宋体" w:hAnsi="宋体"/>
                <w:szCs w:val="24"/>
              </w:rPr>
              <w:t>国家</w:t>
            </w:r>
            <w:r>
              <w:rPr>
                <w:rFonts w:ascii="宋体" w:hAnsi="宋体"/>
                <w:szCs w:val="24"/>
              </w:rPr>
              <w:t>/</w:t>
            </w:r>
            <w:r>
              <w:rPr>
                <w:rFonts w:hint="eastAsia" w:ascii="宋体" w:hAnsi="宋体"/>
                <w:szCs w:val="24"/>
              </w:rPr>
              <w:t>地方抽查、顾客满意、相关方投诉处理</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bookmarkStart w:id="1" w:name="_GoBack"/>
            <w:bookmarkEnd w:id="1"/>
            <w:r>
              <w:rPr>
                <w:rFonts w:hint="eastAsia" w:ascii="宋体" w:hAnsi="宋体"/>
                <w:szCs w:val="24"/>
              </w:rPr>
              <w:t>自公司成立以来，未受到上级主管部门有关环境问题的行政处罚。未发生相关方的投诉。</w:t>
            </w:r>
          </w:p>
          <w:p>
            <w:pPr>
              <w:spacing w:line="360" w:lineRule="auto"/>
              <w:ind w:firstLine="420" w:firstLineChars="200"/>
              <w:rPr>
                <w:rFonts w:ascii="宋体"/>
                <w:szCs w:val="24"/>
              </w:rPr>
            </w:pPr>
            <w:r>
              <w:rPr>
                <w:rFonts w:hint="eastAsia" w:ascii="宋体" w:hAnsi="宋体"/>
                <w:szCs w:val="24"/>
              </w:rPr>
              <w:t>暂时没有国家</w:t>
            </w:r>
            <w:r>
              <w:rPr>
                <w:rFonts w:ascii="宋体" w:hAnsi="宋体"/>
                <w:szCs w:val="24"/>
              </w:rPr>
              <w:t>/</w:t>
            </w:r>
            <w:r>
              <w:rPr>
                <w:rFonts w:hint="eastAsia" w:ascii="宋体" w:hAnsi="宋体"/>
                <w:szCs w:val="24"/>
              </w:rPr>
              <w:t>地方抽查情况。</w:t>
            </w:r>
          </w:p>
          <w:p>
            <w:pPr>
              <w:snapToGrid w:val="0"/>
              <w:spacing w:line="360" w:lineRule="auto"/>
              <w:ind w:firstLine="420" w:firstLineChars="200"/>
              <w:rPr>
                <w:rFonts w:ascii="宋体"/>
                <w:szCs w:val="24"/>
              </w:rPr>
            </w:pPr>
            <w:r>
              <w:rPr>
                <w:rFonts w:hint="eastAsia" w:ascii="宋体" w:hAnsi="宋体"/>
                <w:szCs w:val="24"/>
              </w:rPr>
              <w:t>目前没有相关行政主管部门的检查处罚，在审核现场也未发现抽查、相关方投诉等情况。</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rPr>
                <w:rFonts w:ascii="宋体"/>
                <w:szCs w:val="24"/>
              </w:rPr>
            </w:pPr>
            <w:r>
              <w:rPr>
                <w:rFonts w:hint="eastAsia" w:ascii="宋体" w:hAnsi="宋体"/>
                <w:szCs w:val="24"/>
              </w:rPr>
              <w:t>验证资质</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rPr>
              <w:t>提供了组织营业执照均为有效。</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09" w:type="dxa"/>
          </w:tcPr>
          <w:p>
            <w:pPr>
              <w:rPr>
                <w:rFonts w:ascii="宋体"/>
                <w:szCs w:val="24"/>
              </w:rPr>
            </w:pPr>
            <w:r>
              <w:rPr>
                <w:rFonts w:hint="eastAsia" w:ascii="宋体" w:hAnsi="宋体"/>
                <w:szCs w:val="24"/>
              </w:rPr>
              <w:t>一阶段问题验证</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rPr>
              <w:t>一阶段审核时发现的问题，经现场验证已关闭，整改措施有效。</w:t>
            </w:r>
          </w:p>
        </w:tc>
        <w:tc>
          <w:tcPr>
            <w:tcW w:w="1585" w:type="dxa"/>
          </w:tcPr>
          <w:p>
            <w:pPr>
              <w:rPr>
                <w:rFonts w:ascii="宋体"/>
                <w:sz w:val="24"/>
                <w:szCs w:val="24"/>
              </w:rPr>
            </w:pPr>
          </w:p>
        </w:tc>
      </w:tr>
    </w:tbl>
    <w:p>
      <w:pPr>
        <w:jc w:val="center"/>
        <w:rPr>
          <w:rFonts w:ascii="宋体"/>
        </w:rPr>
      </w:pPr>
    </w:p>
    <w:p>
      <w:pPr>
        <w:pStyle w:val="3"/>
        <w:rPr>
          <w:rFonts w:ascii="宋体" w:hAnsi="宋体"/>
        </w:rPr>
      </w:pPr>
      <w:r>
        <w:rPr>
          <w:rFonts w:hint="eastAsia" w:ascii="宋体" w:hAnsi="宋体"/>
        </w:rPr>
        <w:t>说明：不符合标注</w:t>
      </w:r>
      <w:r>
        <w:rPr>
          <w:rFonts w:ascii="宋体" w:hAnsi="宋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AAPML+o¨²¨¬?">
    <w:altName w:val="Segoe Print"/>
    <w:panose1 w:val="00000000000000000000"/>
    <w:charset w:val="00"/>
    <w:family w:val="auto"/>
    <w:pitch w:val="default"/>
    <w:sig w:usb0="00000000" w:usb1="00000000" w:usb2="00000000" w:usb3="00000000" w:csb0="00000001" w:csb1="00000000"/>
  </w:font>
  <w:font w:name="AdobeSongStd-Light">
    <w:altName w:val="宋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黄草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13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0"/>
        <w:rFonts w:hint="eastAsia"/>
      </w:rPr>
      <w:t>北京国标联合认证有限公司</w:t>
    </w:r>
    <w:r>
      <w:rPr>
        <w:rStyle w:val="10"/>
      </w:rPr>
      <w:tab/>
    </w:r>
    <w:r>
      <w:rPr>
        <w:rStyle w:val="10"/>
      </w:rPr>
      <w:tab/>
    </w:r>
    <w:r>
      <w:rPr>
        <w:rStyle w:val="10"/>
      </w:rPr>
      <w:tab/>
    </w:r>
  </w:p>
  <w:p>
    <w:pPr>
      <w:pStyle w:val="4"/>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0"/>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412F6"/>
    <w:rsid w:val="0005199E"/>
    <w:rsid w:val="0005697E"/>
    <w:rsid w:val="000579CF"/>
    <w:rsid w:val="00060B56"/>
    <w:rsid w:val="00082216"/>
    <w:rsid w:val="00082398"/>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45688"/>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51A6"/>
    <w:rsid w:val="00275A8E"/>
    <w:rsid w:val="002973F0"/>
    <w:rsid w:val="002975C1"/>
    <w:rsid w:val="002A0E6E"/>
    <w:rsid w:val="002A33CC"/>
    <w:rsid w:val="002B1808"/>
    <w:rsid w:val="002C1ACE"/>
    <w:rsid w:val="002C3E0D"/>
    <w:rsid w:val="002D41FB"/>
    <w:rsid w:val="002E0587"/>
    <w:rsid w:val="002E1E1D"/>
    <w:rsid w:val="00317401"/>
    <w:rsid w:val="00326FC1"/>
    <w:rsid w:val="00337922"/>
    <w:rsid w:val="00340867"/>
    <w:rsid w:val="00342857"/>
    <w:rsid w:val="00347E99"/>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400B59"/>
    <w:rsid w:val="00400B96"/>
    <w:rsid w:val="00405D5F"/>
    <w:rsid w:val="00410914"/>
    <w:rsid w:val="00415AA3"/>
    <w:rsid w:val="00420C60"/>
    <w:rsid w:val="00424936"/>
    <w:rsid w:val="00430432"/>
    <w:rsid w:val="00433759"/>
    <w:rsid w:val="0043494E"/>
    <w:rsid w:val="004414A5"/>
    <w:rsid w:val="00456697"/>
    <w:rsid w:val="004607C4"/>
    <w:rsid w:val="00465FE1"/>
    <w:rsid w:val="00475491"/>
    <w:rsid w:val="004869FB"/>
    <w:rsid w:val="00491735"/>
    <w:rsid w:val="00494A46"/>
    <w:rsid w:val="004978D0"/>
    <w:rsid w:val="004B217F"/>
    <w:rsid w:val="004B3E7F"/>
    <w:rsid w:val="004C07FE"/>
    <w:rsid w:val="004C6045"/>
    <w:rsid w:val="004D3E4C"/>
    <w:rsid w:val="004F185D"/>
    <w:rsid w:val="005056ED"/>
    <w:rsid w:val="00517E4C"/>
    <w:rsid w:val="00521CF0"/>
    <w:rsid w:val="0053208B"/>
    <w:rsid w:val="00534814"/>
    <w:rsid w:val="00536930"/>
    <w:rsid w:val="00551AE7"/>
    <w:rsid w:val="00556AF4"/>
    <w:rsid w:val="00560A2A"/>
    <w:rsid w:val="00564E53"/>
    <w:rsid w:val="005779A8"/>
    <w:rsid w:val="00583277"/>
    <w:rsid w:val="00592C3E"/>
    <w:rsid w:val="005A000F"/>
    <w:rsid w:val="005B173D"/>
    <w:rsid w:val="005B6888"/>
    <w:rsid w:val="005C7367"/>
    <w:rsid w:val="005D7FAE"/>
    <w:rsid w:val="005F6C65"/>
    <w:rsid w:val="00600F02"/>
    <w:rsid w:val="0060444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F59"/>
    <w:rsid w:val="006C24BF"/>
    <w:rsid w:val="006C40B9"/>
    <w:rsid w:val="006D790F"/>
    <w:rsid w:val="006E678B"/>
    <w:rsid w:val="0070367F"/>
    <w:rsid w:val="00712F3C"/>
    <w:rsid w:val="007170AA"/>
    <w:rsid w:val="007177FF"/>
    <w:rsid w:val="00725123"/>
    <w:rsid w:val="00732B66"/>
    <w:rsid w:val="00737C8F"/>
    <w:rsid w:val="007406DE"/>
    <w:rsid w:val="00742F4E"/>
    <w:rsid w:val="00743E79"/>
    <w:rsid w:val="00744BEA"/>
    <w:rsid w:val="00751532"/>
    <w:rsid w:val="00751C37"/>
    <w:rsid w:val="0075769B"/>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6215B"/>
    <w:rsid w:val="008646DE"/>
    <w:rsid w:val="00864902"/>
    <w:rsid w:val="00864BE7"/>
    <w:rsid w:val="00865200"/>
    <w:rsid w:val="00871695"/>
    <w:rsid w:val="00891C25"/>
    <w:rsid w:val="008931BD"/>
    <w:rsid w:val="008973EE"/>
    <w:rsid w:val="008D089D"/>
    <w:rsid w:val="008E1006"/>
    <w:rsid w:val="008E24A5"/>
    <w:rsid w:val="008F0B04"/>
    <w:rsid w:val="008F0CAC"/>
    <w:rsid w:val="008F7C55"/>
    <w:rsid w:val="00930694"/>
    <w:rsid w:val="0093521F"/>
    <w:rsid w:val="00945677"/>
    <w:rsid w:val="00955B84"/>
    <w:rsid w:val="00962F78"/>
    <w:rsid w:val="0096609F"/>
    <w:rsid w:val="009701C1"/>
    <w:rsid w:val="00971600"/>
    <w:rsid w:val="00984342"/>
    <w:rsid w:val="009973B4"/>
    <w:rsid w:val="00997D09"/>
    <w:rsid w:val="009B6E9B"/>
    <w:rsid w:val="009B7EB8"/>
    <w:rsid w:val="009C74D1"/>
    <w:rsid w:val="009E30DA"/>
    <w:rsid w:val="009E6193"/>
    <w:rsid w:val="009E7DD1"/>
    <w:rsid w:val="009F7EED"/>
    <w:rsid w:val="00A036B5"/>
    <w:rsid w:val="00A138EC"/>
    <w:rsid w:val="00A22676"/>
    <w:rsid w:val="00A60F0B"/>
    <w:rsid w:val="00A801DE"/>
    <w:rsid w:val="00A90A22"/>
    <w:rsid w:val="00A97734"/>
    <w:rsid w:val="00AA7F40"/>
    <w:rsid w:val="00AB41FC"/>
    <w:rsid w:val="00AB7D2F"/>
    <w:rsid w:val="00AD6F34"/>
    <w:rsid w:val="00AF0AAB"/>
    <w:rsid w:val="00AF156F"/>
    <w:rsid w:val="00AF616B"/>
    <w:rsid w:val="00B02A7F"/>
    <w:rsid w:val="00B0685B"/>
    <w:rsid w:val="00B218ED"/>
    <w:rsid w:val="00B22D22"/>
    <w:rsid w:val="00B23030"/>
    <w:rsid w:val="00B237B9"/>
    <w:rsid w:val="00B23CAA"/>
    <w:rsid w:val="00B410EE"/>
    <w:rsid w:val="00B8202D"/>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4940"/>
    <w:rsid w:val="00D55E69"/>
    <w:rsid w:val="00D562F6"/>
    <w:rsid w:val="00D8388C"/>
    <w:rsid w:val="00DA0DF0"/>
    <w:rsid w:val="00DA32AB"/>
    <w:rsid w:val="00DA50ED"/>
    <w:rsid w:val="00DB5DEA"/>
    <w:rsid w:val="00DD1C8E"/>
    <w:rsid w:val="00DE146D"/>
    <w:rsid w:val="00DE2D80"/>
    <w:rsid w:val="00DE6FCE"/>
    <w:rsid w:val="00DF76DB"/>
    <w:rsid w:val="00E038E4"/>
    <w:rsid w:val="00E03908"/>
    <w:rsid w:val="00E13D9A"/>
    <w:rsid w:val="00E32D13"/>
    <w:rsid w:val="00E43822"/>
    <w:rsid w:val="00E54035"/>
    <w:rsid w:val="00E574D6"/>
    <w:rsid w:val="00E62996"/>
    <w:rsid w:val="00E63714"/>
    <w:rsid w:val="00E64A51"/>
    <w:rsid w:val="00E676F9"/>
    <w:rsid w:val="00E910C0"/>
    <w:rsid w:val="00E97424"/>
    <w:rsid w:val="00EA55F7"/>
    <w:rsid w:val="00EB0164"/>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2869"/>
    <w:rsid w:val="00FD5EE5"/>
    <w:rsid w:val="00FD72A6"/>
    <w:rsid w:val="00FE09C9"/>
    <w:rsid w:val="035D40D2"/>
    <w:rsid w:val="03DD03A7"/>
    <w:rsid w:val="03F2063F"/>
    <w:rsid w:val="0952002A"/>
    <w:rsid w:val="0C2E650C"/>
    <w:rsid w:val="108219C2"/>
    <w:rsid w:val="198E1849"/>
    <w:rsid w:val="204B246C"/>
    <w:rsid w:val="253B0A81"/>
    <w:rsid w:val="264277EB"/>
    <w:rsid w:val="27983872"/>
    <w:rsid w:val="28C57B8B"/>
    <w:rsid w:val="293A16F1"/>
    <w:rsid w:val="296A79AC"/>
    <w:rsid w:val="2F2A2336"/>
    <w:rsid w:val="36BD6FED"/>
    <w:rsid w:val="3DA46900"/>
    <w:rsid w:val="43C65B90"/>
    <w:rsid w:val="45F91B41"/>
    <w:rsid w:val="4A1A2263"/>
    <w:rsid w:val="537F77EE"/>
    <w:rsid w:val="548C5E61"/>
    <w:rsid w:val="55993DCF"/>
    <w:rsid w:val="5A21345D"/>
    <w:rsid w:val="5B853EA5"/>
    <w:rsid w:val="5EA12B9A"/>
    <w:rsid w:val="62D3586D"/>
    <w:rsid w:val="69FC3910"/>
    <w:rsid w:val="6DD70F24"/>
    <w:rsid w:val="6E7E5474"/>
    <w:rsid w:val="6EA10DF3"/>
    <w:rsid w:val="7ABF1B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locked/>
    <w:uiPriority w:val="99"/>
    <w:rPr>
      <w:rFonts w:ascii="Times New Roman" w:hAnsi="Times New Roman" w:eastAsia="宋体" w:cs="Times New Roman"/>
      <w:sz w:val="18"/>
      <w:szCs w:val="18"/>
    </w:rPr>
  </w:style>
  <w:style w:type="character" w:customStyle="1" w:styleId="8">
    <w:name w:val="页脚 Char"/>
    <w:link w:val="3"/>
    <w:qFormat/>
    <w:locked/>
    <w:uiPriority w:val="99"/>
    <w:rPr>
      <w:rFonts w:ascii="Times New Roman" w:hAnsi="Times New Roman" w:eastAsia="宋体" w:cs="Times New Roman"/>
      <w:sz w:val="18"/>
      <w:szCs w:val="18"/>
    </w:rPr>
  </w:style>
  <w:style w:type="character" w:customStyle="1" w:styleId="9">
    <w:name w:val="页眉 Char"/>
    <w:link w:val="4"/>
    <w:qFormat/>
    <w:locked/>
    <w:uiPriority w:val="99"/>
    <w:rPr>
      <w:rFonts w:ascii="Times New Roman" w:hAnsi="Times New Roman" w:eastAsia="宋体" w:cs="Times New Roman"/>
      <w:sz w:val="18"/>
      <w:szCs w:val="18"/>
    </w:rPr>
  </w:style>
  <w:style w:type="character" w:customStyle="1" w:styleId="10">
    <w:name w:val="Char Char1"/>
    <w:qFormat/>
    <w:locked/>
    <w:uiPriority w:val="99"/>
    <w:rPr>
      <w:rFonts w:ascii="宋体" w:hAnsi="Courier New" w:eastAsia="宋体"/>
      <w:kern w:val="2"/>
      <w:sz w:val="21"/>
      <w:lang w:val="en-US" w:eastAsia="zh-CN"/>
    </w:rPr>
  </w:style>
  <w:style w:type="character" w:customStyle="1" w:styleId="11">
    <w:name w:val="fontstyle01"/>
    <w:qFormat/>
    <w:uiPriority w:val="99"/>
    <w:rPr>
      <w:rFonts w:ascii="宋体" w:hAnsi="宋体" w:eastAsia="宋体" w:cs="Times New Roman"/>
      <w:color w:val="000000"/>
      <w:sz w:val="24"/>
      <w:szCs w:val="24"/>
    </w:rPr>
  </w:style>
  <w:style w:type="character" w:customStyle="1" w:styleId="12">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1151</Words>
  <Characters>6566</Characters>
  <Lines>54</Lines>
  <Paragraphs>15</Paragraphs>
  <TotalTime>1</TotalTime>
  <ScaleCrop>false</ScaleCrop>
  <LinksUpToDate>false</LinksUpToDate>
  <CharactersWithSpaces>7702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LIL</cp:lastModifiedBy>
  <dcterms:modified xsi:type="dcterms:W3CDTF">2019-12-19T09:47:00Z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