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赵向利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审核时间：2019.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12.20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6"/>
              <w:tblW w:w="10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3131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目标</w:t>
                  </w:r>
                </w:p>
              </w:tc>
              <w:tc>
                <w:tcPr>
                  <w:tcW w:w="3131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考核方式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万元产值降低电耗1%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月度考核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1.15%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危险废物100%交有资质的单位最终处置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月度考核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月度考核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color w:val="000000"/>
                      <w:szCs w:val="21"/>
                      <w:lang w:val="en-US" w:eastAsia="zh-CN"/>
                    </w:rPr>
                    <w:t>达标排放</w:t>
                  </w:r>
                </w:p>
              </w:tc>
              <w:tc>
                <w:tcPr>
                  <w:tcW w:w="1138" w:type="dxa"/>
                </w:tcPr>
                <w:p>
                  <w:pPr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220" w:lineRule="atLeast"/>
                    <w:rPr>
                      <w:rFonts w:hint="default" w:ascii="楷体" w:hAnsi="楷体" w:eastAsia="楷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3131" w:type="dxa"/>
                </w:tcPr>
                <w:p>
                  <w:pPr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月度考核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220" w:lineRule="atLeast"/>
                    <w:rPr>
                      <w:rFonts w:hint="eastAsia" w:ascii="楷体" w:hAnsi="楷体" w:eastAsia="楷体"/>
                      <w:szCs w:val="21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220" w:lineRule="atLeast"/>
                    <w:jc w:val="center"/>
                    <w:rPr>
                      <w:rFonts w:ascii="楷体" w:hAnsi="楷体" w:eastAsia="楷体"/>
                      <w:szCs w:val="21"/>
                    </w:rPr>
                  </w:pPr>
                  <w:r>
                    <w:rPr>
                      <w:rFonts w:ascii="楷体" w:hAnsi="楷体" w:eastAsia="楷体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2019.8、2019.9、2019.10、2019.11月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环境因素识别评价与控制程序（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QP-05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，对环境因素的识别、评价结果、控制手段等做出了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现场提供了“环境因素登记及评价表”，识别了办公过程的废纸排放、生活垃圾排放、生产过程中噪音排放、废气排放、固废排放、火灾、能源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和资源的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消耗等，识别基本齐全。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评价出生产部的重要环境因素为：噪音排放、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能源和资源的消耗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、固废排放、火灾发生。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通过运行控制、除尘设施、管理方案、培训教育、应急预案等对重大环境因素实施控制，基本适宜，具体见E8.1条款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强化水污染防治措施，按照“清污分流，雨污分流”的原则，合理建设厂区排水管网。项目运行期间产生的生活、生产污废水经由厂内一体化污水处理设施处理后，出水水质必须达到《黄河流域（陕西段）污水综合排放标准》（DB61/224-2011）中一级标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废气管控：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废气主要来自车间粉尘，安装除烟除尘器进行有效控制；餐厅安装静电式油烟净化装置，确保经处理后的油烟满足《饮食业油烟排放标准》（GB18483-2001）要求。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噪音主要来自各种生产机械设备运行时所产生的噪声，选用相对低耗能、低噪音的优质设备，生产车间的门窗均采用隔音效果好的门窗，各设备安装时对设备基座加装防震垫圈。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产生的各类废弃物实行分类处理。下角料等生产性固体废物经收集后综合利用或出售；废乳化液、废机油、废棉纱等危险固体废物委托有资质的单位处置；生活垃圾及时交由环卫部门集中运送填埋处理。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监测报告提供情况：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提供2019年12月9日陕晟综合水监字（2019）第280号监测报告，提供2019年12月9日陕晟综合气监字（2019）第280号监测报告，结果符合要求。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提供废弃物登记和处理记录表：见综合管理部审核记录。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、为环境管理体系运行提供了财务支持，见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、现场运行控制：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Arial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现场巡视办公及生产区域配备有灭火器和消防栓多个，各车间均配有灭火器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符合要求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现场查看各工序设备运转正常，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除尘设备与机器设备联动，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车库、钻孔、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切割裁断工序过程有短暂噪声排放，声音不大，操作工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按操作规程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主体设备增设隔声罩等措施；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噪声能达标排放。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提供行车、叉车检验证书，见相关证据。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车间设置了危废仓库，提供2019年度危险废物产生环节台账，对废乳化液、油棉纱、油手套含油铁屑、油纸板、在入库、数量、存放位置、经办人、出库、接收单位经办人有明确记录，符合要求。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13355" cy="2487295"/>
                  <wp:effectExtent l="0" t="0" r="4445" b="1905"/>
                  <wp:docPr id="5" name="图片 5" descr="35984052d0fdeac0d05d1837ac2f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984052d0fdeac0d05d1837ac2f82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13355" cy="248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20035" cy="2466340"/>
                  <wp:effectExtent l="0" t="0" r="12065" b="10160"/>
                  <wp:docPr id="6" name="图片 6" descr="857753a88b4208f8830fa0a5b7f2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7753a88b4208f8830fa0a5b7f2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2003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229985" cy="3768090"/>
                  <wp:effectExtent l="0" t="0" r="5715" b="3810"/>
                  <wp:docPr id="7" name="图片 7" descr="76621820164be91e567342b14d9e7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621820164be91e567342b14d9e7a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229985" cy="376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提供危废处置有效合同（见相关证据）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提供主要环保设备（除烟除尘器）运行记录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780665" cy="2514600"/>
                  <wp:effectExtent l="0" t="0" r="635" b="0"/>
                  <wp:docPr id="8" name="图片 8" descr="8680eea1c5a2419c24b730a7e383a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680eea1c5a2419c24b730a7e383a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18105" cy="2738755"/>
                  <wp:effectExtent l="0" t="0" r="10795" b="4445"/>
                  <wp:docPr id="9" name="图片 9" descr="fe2bb3ed8bc4165a6411a3c54325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e2bb3ed8bc4165a6411a3c543253c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05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编制了《应急准备和响应控制程序》，确定的紧急情况有：火灾、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机械伤害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提供了火灾应急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日的《火灾</w:t>
            </w:r>
            <w:r>
              <w:rPr>
                <w:rFonts w:ascii="楷体" w:hAnsi="楷体" w:eastAsia="楷体" w:cs="楷体"/>
                <w:sz w:val="24"/>
                <w:szCs w:val="24"/>
              </w:rPr>
              <w:t>事故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现场巡视办公区有灭火器，均有效；车间配有多个灭火器和消防栓，均有效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环保设施运行正常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Cs/>
                <w:sz w:val="24"/>
                <w:szCs w:val="24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查到“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灭火器点检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表”，抽查2019.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1-12月份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1E7E832"/>
    <w:multiLevelType w:val="singleLevel"/>
    <w:tmpl w:val="41E7E83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17051843"/>
    <w:rsid w:val="288A7996"/>
    <w:rsid w:val="28933861"/>
    <w:rsid w:val="2A5C25B3"/>
    <w:rsid w:val="2CD34050"/>
    <w:rsid w:val="3E846961"/>
    <w:rsid w:val="4200605B"/>
    <w:rsid w:val="49EA7D04"/>
    <w:rsid w:val="4A397B25"/>
    <w:rsid w:val="4CE827F5"/>
    <w:rsid w:val="586D76F0"/>
    <w:rsid w:val="592B0F67"/>
    <w:rsid w:val="5DF218B9"/>
    <w:rsid w:val="5EA12B9A"/>
    <w:rsid w:val="62250BB7"/>
    <w:rsid w:val="68D257B6"/>
    <w:rsid w:val="6F2E0907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6</TotalTime>
  <ScaleCrop>false</ScaleCrop>
  <LinksUpToDate>false</LinksUpToDate>
  <CharactersWithSpaces>11125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2019-12-20T09:06:42Z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