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245"/>
        <w:gridCol w:w="1060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5" w:type="dxa"/>
            <w:vAlign w:val="center"/>
          </w:tcPr>
          <w:p>
            <w:pPr>
              <w:rPr>
                <w:rFonts w:hint="eastAsia" w:eastAsia="宋体"/>
                <w:sz w:val="24"/>
                <w:szCs w:val="24"/>
                <w:lang w:eastAsia="zh-CN"/>
              </w:rPr>
            </w:pPr>
            <w:r>
              <w:rPr>
                <w:rFonts w:hint="eastAsia"/>
                <w:sz w:val="24"/>
                <w:szCs w:val="24"/>
              </w:rPr>
              <w:t>受审核部门：发行中心部</w:t>
            </w:r>
            <w:r>
              <w:rPr>
                <w:rFonts w:hint="eastAsia"/>
                <w:sz w:val="24"/>
                <w:szCs w:val="24"/>
                <w:lang w:val="en-US" w:eastAsia="zh-CN"/>
              </w:rPr>
              <w:t xml:space="preserve">     </w:t>
            </w:r>
            <w:r>
              <w:rPr>
                <w:rFonts w:hint="eastAsia"/>
                <w:sz w:val="24"/>
                <w:szCs w:val="24"/>
                <w:highlight w:val="none"/>
                <w:lang w:val="en-US" w:eastAsia="zh-CN"/>
              </w:rPr>
              <w:t xml:space="preserve"> </w:t>
            </w:r>
            <w:r>
              <w:rPr>
                <w:rFonts w:hint="eastAsia"/>
                <w:sz w:val="24"/>
                <w:szCs w:val="24"/>
                <w:highlight w:val="none"/>
              </w:rPr>
              <w:t>主管领导：</w:t>
            </w:r>
            <w:r>
              <w:rPr>
                <w:rFonts w:hint="eastAsia"/>
                <w:sz w:val="24"/>
                <w:szCs w:val="24"/>
                <w:highlight w:val="none"/>
                <w:lang w:eastAsia="zh-CN"/>
              </w:rPr>
              <w:t>熊建宇</w:t>
            </w:r>
            <w:r>
              <w:rPr>
                <w:rFonts w:hint="eastAsia"/>
                <w:sz w:val="24"/>
                <w:szCs w:val="24"/>
                <w:highlight w:val="none"/>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袁峰</w:t>
            </w:r>
          </w:p>
        </w:tc>
        <w:tc>
          <w:tcPr>
            <w:tcW w:w="98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Merge w:val="continue"/>
            <w:vAlign w:val="center"/>
          </w:tcPr>
          <w:p/>
        </w:tc>
        <w:tc>
          <w:tcPr>
            <w:tcW w:w="1245" w:type="dxa"/>
            <w:vMerge w:val="continue"/>
            <w:vAlign w:val="center"/>
          </w:tcPr>
          <w:p/>
        </w:tc>
        <w:tc>
          <w:tcPr>
            <w:tcW w:w="10605" w:type="dxa"/>
            <w:vAlign w:val="center"/>
          </w:tcPr>
          <w:p>
            <w:pPr>
              <w:spacing w:before="120"/>
            </w:pPr>
            <w:r>
              <w:rPr>
                <w:rFonts w:hint="eastAsia"/>
                <w:sz w:val="24"/>
                <w:szCs w:val="24"/>
              </w:rPr>
              <w:t>审核员：</w:t>
            </w:r>
            <w:bookmarkStart w:id="0"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陈浩</w:t>
            </w:r>
            <w:bookmarkEnd w:id="0"/>
            <w:r>
              <w:rPr>
                <w:rFonts w:hint="eastAsia"/>
                <w:sz w:val="24"/>
                <w:szCs w:val="24"/>
                <w:lang w:val="en-US" w:eastAsia="zh-CN"/>
              </w:rPr>
              <w:t xml:space="preserve">        </w:t>
            </w:r>
            <w:r>
              <w:rPr>
                <w:rFonts w:hint="eastAsia"/>
                <w:sz w:val="24"/>
                <w:szCs w:val="24"/>
              </w:rPr>
              <w:t>审核时间：</w:t>
            </w:r>
            <w:bookmarkStart w:id="1" w:name="审核日期"/>
            <w:r>
              <w:t>2022年07月19日</w:t>
            </w:r>
            <w:bookmarkEnd w:id="1"/>
          </w:p>
        </w:tc>
        <w:tc>
          <w:tcPr>
            <w:tcW w:w="9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Merge w:val="continue"/>
            <w:vAlign w:val="center"/>
          </w:tcPr>
          <w:p/>
        </w:tc>
        <w:tc>
          <w:tcPr>
            <w:tcW w:w="1245" w:type="dxa"/>
            <w:vMerge w:val="continue"/>
            <w:vAlign w:val="center"/>
          </w:tcPr>
          <w:p/>
        </w:tc>
        <w:tc>
          <w:tcPr>
            <w:tcW w:w="10605" w:type="dxa"/>
            <w:vAlign w:val="center"/>
          </w:tcPr>
          <w:p>
            <w:pPr>
              <w:rPr>
                <w:rFonts w:hint="eastAsia"/>
                <w:sz w:val="24"/>
                <w:szCs w:val="24"/>
              </w:rPr>
            </w:pPr>
            <w:r>
              <w:rPr>
                <w:rFonts w:hint="eastAsia"/>
                <w:sz w:val="24"/>
                <w:szCs w:val="24"/>
              </w:rPr>
              <w:t>审核条款：</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Q:5.3组织的岗位、职责和权限、6.2质量目标、8.5生产和服务提供的控制、8.6放行、8.7不合格品控制</w:t>
            </w:r>
          </w:p>
          <w:p>
            <w:pPr>
              <w:spacing w:line="240" w:lineRule="auto"/>
              <w:rPr>
                <w:rFonts w:hint="eastAsia"/>
                <w:sz w:val="24"/>
                <w:szCs w:val="24"/>
              </w:rPr>
            </w:pPr>
            <w:r>
              <w:rPr>
                <w:rFonts w:hint="eastAsia" w:ascii="宋体" w:hAnsi="宋体" w:eastAsia="宋体" w:cs="Arial"/>
                <w:spacing w:val="-6"/>
                <w:sz w:val="21"/>
                <w:szCs w:val="21"/>
                <w:lang w:val="en-US" w:eastAsia="zh-CN"/>
              </w:rPr>
              <w:t>E/O:5.3组织的岗位、职责和权限、6.2环境/职业健康安全目标、6.1.2环境因素/危险源的识别与评价、6.1.4措施的策划、8.1运行策划和控制、8.2应急准备和响应</w:t>
            </w:r>
          </w:p>
        </w:tc>
        <w:tc>
          <w:tcPr>
            <w:tcW w:w="9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组织的岗位、职责和权限</w:t>
            </w: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lang w:val="en-US" w:eastAsia="zh-CN" w:bidi="ar-SA"/>
              </w:rPr>
            </w:pPr>
            <w:r>
              <w:rPr>
                <w:rFonts w:hint="eastAsia" w:ascii="宋体" w:hAnsi="宋体" w:eastAsia="宋体" w:cs="Arial"/>
                <w:spacing w:val="-6"/>
                <w:sz w:val="21"/>
                <w:szCs w:val="21"/>
                <w:lang w:val="en-US" w:eastAsia="zh-CN"/>
              </w:rPr>
              <w:t>QES:5.3</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发行中心现有5人，经理1人、主管1人、测试工程师1人、物资管理员1人、资料管理员1人；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lang w:val="en-US" w:eastAsia="zh-CN"/>
              </w:rPr>
              <w:t>主要负责：负责电子标签、赣通卡等ETC相关设备的初始化发行工作；</w:t>
            </w:r>
            <w:r>
              <w:rPr>
                <w:rFonts w:hint="eastAsia"/>
              </w:rPr>
              <w:t>E</w:t>
            </w:r>
            <w:r>
              <w:t>TC</w:t>
            </w:r>
            <w:r>
              <w:rPr>
                <w:rFonts w:hint="eastAsia"/>
              </w:rPr>
              <w:t>相关设备的到货验收工作</w:t>
            </w:r>
            <w:r>
              <w:rPr>
                <w:rFonts w:hint="eastAsia"/>
                <w:lang w:val="en-US" w:eastAsia="zh-CN"/>
              </w:rPr>
              <w:t>以及</w:t>
            </w:r>
            <w:r>
              <w:rPr>
                <w:rFonts w:hint="eastAsia"/>
              </w:rPr>
              <w:t>沟通协调各相关</w:t>
            </w:r>
            <w:r>
              <w:rPr>
                <w:rFonts w:hint="eastAsia" w:ascii="Times New Roman" w:hAnsi="Times New Roman" w:eastAsia="宋体" w:cs="Times New Roman"/>
                <w:szCs w:val="22"/>
                <w:lang w:val="en-US" w:eastAsia="zh-CN"/>
              </w:rPr>
              <w:t>业务厂商；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Cs w:val="22"/>
                <w:lang w:val="en-US" w:eastAsia="zh-CN"/>
              </w:rPr>
              <w:t>负责</w:t>
            </w:r>
            <w:r>
              <w:rPr>
                <w:rFonts w:hint="eastAsia" w:ascii="Times New Roman" w:hAnsi="Times New Roman" w:eastAsia="宋体" w:cs="Times New Roman"/>
                <w:szCs w:val="22"/>
                <w:lang w:val="en-US" w:eastAsia="zh-CN"/>
              </w:rPr>
              <w:t>本部门</w:t>
            </w:r>
            <w:r>
              <w:rPr>
                <w:rFonts w:hint="default" w:ascii="Times New Roman" w:hAnsi="Times New Roman" w:eastAsia="宋体" w:cs="Times New Roman"/>
                <w:szCs w:val="22"/>
                <w:lang w:val="en-US" w:eastAsia="zh-CN"/>
              </w:rPr>
              <w:t>管理体系环境</w:t>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lang w:val="en-US" w:eastAsia="zh-CN"/>
              </w:rPr>
              <w:t>职业健康安全的运行控制；</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lang w:val="en-US" w:eastAsia="zh-CN" w:bidi="ar-SA"/>
              </w:rPr>
            </w:pPr>
            <w:r>
              <w:rPr>
                <w:rFonts w:hint="eastAsia"/>
                <w:lang w:val="en-US" w:eastAsia="zh-CN"/>
              </w:rPr>
              <w:t>目标</w:t>
            </w: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QEO:6.2</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公司以方针为框架，建立了目标，并分解到各部门，查见发行中心部目标为：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电子标签、赣通卡等ETC相关设备的初始化一次发行率95%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火灾事故发生次数为0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查见“管理目标、指标及其管理方案一览表”以及“各部门目标实施措施表”，见对目标实现进行了策划；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cs="Times New Roman"/>
                <w:color w:val="auto"/>
                <w:highlight w:val="none"/>
                <w:lang w:val="en-US" w:eastAsia="zh-CN"/>
              </w:rPr>
              <w:t>查见</w:t>
            </w:r>
            <w:r>
              <w:rPr>
                <w:rFonts w:hint="eastAsia" w:cs="Times New Roman"/>
                <w:color w:val="auto"/>
                <w:highlight w:val="none"/>
                <w:lang w:eastAsia="zh-CN"/>
              </w:rPr>
              <w:t>“</w:t>
            </w:r>
            <w:r>
              <w:rPr>
                <w:rFonts w:hint="default" w:ascii="Times New Roman" w:hAnsi="Times New Roman" w:cs="Times New Roman"/>
                <w:color w:val="auto"/>
                <w:highlight w:val="none"/>
                <w:lang w:val="en-US" w:eastAsia="zh-CN"/>
              </w:rPr>
              <w:t>目标考核表</w:t>
            </w:r>
            <w:r>
              <w:rPr>
                <w:rFonts w:hint="eastAsia" w:cs="Times New Roman"/>
                <w:color w:val="auto"/>
                <w:highlight w:val="none"/>
                <w:lang w:eastAsia="zh-CN"/>
              </w:rPr>
              <w:t>”</w:t>
            </w:r>
            <w:r>
              <w:rPr>
                <w:rFonts w:hint="default" w:ascii="Times New Roman" w:hAnsi="Times New Roman" w:cs="Times New Roman"/>
                <w:color w:val="auto"/>
                <w:highlight w:val="none"/>
                <w:lang w:val="en-US" w:eastAsia="zh-CN"/>
              </w:rPr>
              <w:t>，2022年1-6月目标均已完成。</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rPr>
              <w:t>环境因素</w:t>
            </w:r>
            <w:r>
              <w:rPr>
                <w:rFonts w:hint="eastAsia" w:ascii="宋体" w:hAnsi="宋体" w:cs="Arial"/>
                <w:spacing w:val="-6"/>
                <w:sz w:val="21"/>
                <w:szCs w:val="21"/>
                <w:lang w:val="en-US" w:eastAsia="zh-CN"/>
              </w:rPr>
              <w:t>/危险源</w:t>
            </w:r>
            <w:r>
              <w:rPr>
                <w:rFonts w:hint="eastAsia" w:ascii="宋体" w:hAnsi="宋体" w:cs="Arial"/>
                <w:spacing w:val="-6"/>
                <w:sz w:val="21"/>
                <w:szCs w:val="21"/>
              </w:rPr>
              <w:t>的辨识与</w:t>
            </w:r>
            <w:r>
              <w:rPr>
                <w:rFonts w:hint="eastAsia" w:ascii="宋体" w:hAnsi="宋体" w:cs="Arial"/>
                <w:spacing w:val="-6"/>
                <w:sz w:val="21"/>
                <w:szCs w:val="21"/>
                <w:lang w:val="en-US" w:eastAsia="zh-CN"/>
              </w:rPr>
              <w:t>风险和机遇</w:t>
            </w:r>
            <w:r>
              <w:rPr>
                <w:rFonts w:hint="eastAsia" w:ascii="宋体" w:hAnsi="宋体" w:cs="Arial"/>
                <w:spacing w:val="-6"/>
                <w:sz w:val="21"/>
                <w:szCs w:val="21"/>
              </w:rPr>
              <w:t>评价、措施的策划</w:t>
            </w: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6.1.4</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查见“环境因素和危险源识别评价与控制程序”，有效文件；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环境因素辨识和评价表”，对设计开发、办公、生活场所等进行辨识和评价。见有辨识生活垃圾的处置不当、废纸随意丢弃、废电池随意丢弃、纸张使用、能源消耗、废弃的日光灯管、火灾、消防等；基本合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打分法评价，查见“重要环境因素清单”，明确了固废和潜在火灾两项环境因素为重要环境因素。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通过制定目标、管理方案、应急预案、日常检查与控制等方法，对环境因素进行控制。针对重要环境因素，制定有“环境管理目标、指标及其管理方案一览表”，明确了指标、方法、措施/技术手段、责任部门、检查部门、日常运行控制部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公司统一编制“职业安全健康管理体系危险源辨识、风险评价、风险控制一览表”，辨识的危险源包括计算机运行、办公活动、系统开发、采购、运输等过程中的触电、火灾、摔伤、交通事故造成的人身伤害等18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作业条件危险性评价法</w:t>
            </w:r>
            <w:r>
              <w:rPr>
                <w:rFonts w:hint="eastAsia" w:ascii="Times New Roman" w:hAnsi="Times New Roman" w:eastAsia="宋体" w:cs="Times New Roman"/>
                <w:lang w:val="en-US" w:eastAsia="zh-CN"/>
              </w:rPr>
              <w:t>评价，触电和潜在火灾2项为不可接受风险；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查见“重大危险源清单”，明确了触电和潜在火灾为重大危险源；针对重大危险源制订了“职业健康安全管理目标及方案”，明确了技术措施、经费预算、时间、责任部门、验证部门等。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公司通过制定目标、管理方案、应急预案、日常检查与控制等方法进行控制。</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运行控制</w:t>
            </w: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ES:8.1</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w:t>
            </w:r>
            <w:r>
              <w:rPr>
                <w:rFonts w:hint="default" w:ascii="Times New Roman" w:hAnsi="Times New Roman" w:eastAsia="宋体" w:cs="Times New Roman"/>
                <w:lang w:val="en-US" w:eastAsia="zh-CN"/>
              </w:rPr>
              <w:t>环境、安全体系运行控制有关的文件</w:t>
            </w:r>
            <w:r>
              <w:rPr>
                <w:rFonts w:hint="eastAsia" w:ascii="Times New Roman" w:hAnsi="Times New Roman" w:eastAsia="宋体" w:cs="Times New Roman"/>
                <w:lang w:val="en-US" w:eastAsia="zh-CN"/>
              </w:rPr>
              <w:t>策划有运行控制程序、废弃物控制程序、噪声控制程序、消防控制程序、资源能源控制程序、应急预案等环境与职业健康安全控制程序等；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按有关程序和要求通报供方和顾客，采用</w:t>
            </w:r>
            <w:r>
              <w:rPr>
                <w:rFonts w:hint="eastAsia" w:ascii="Times New Roman" w:hAnsi="Times New Roman" w:eastAsia="宋体" w:cs="Times New Roman"/>
                <w:lang w:val="en-US" w:eastAsia="zh-CN"/>
              </w:rPr>
              <w:t>书面</w:t>
            </w:r>
            <w:r>
              <w:rPr>
                <w:rFonts w:hint="default" w:ascii="Times New Roman" w:hAnsi="Times New Roman" w:eastAsia="宋体" w:cs="Times New Roman"/>
                <w:lang w:val="en-US" w:eastAsia="zh-CN"/>
              </w:rPr>
              <w:t>方式</w:t>
            </w:r>
            <w:r>
              <w:rPr>
                <w:rFonts w:hint="eastAsia" w:ascii="Times New Roman" w:hAnsi="Times New Roman" w:eastAsia="宋体" w:cs="Times New Roman"/>
                <w:lang w:val="en-US" w:eastAsia="zh-CN"/>
              </w:rPr>
              <w:t>告知，查见“告各相关方的一封信”；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环境面积大约2000平方米，工作场所布局合理，座椅和办公桌符合人体工程学要求，员工有自我防护意识，工间能适当走动、休息；各研发技术人员坐姿正确，避免过度疲劳；电脑显示器调整到保护视力的颜色；配置有适量的绿植，办公环境光照、温度适宜，通风良好，办公场所物品摆放整齐、有序，未见随意乱放私人物品的情况；满足办公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办公区域配备了消防设施，介绍说消防控制系统由物业公司统一管理；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员工关系和谐，墙面张贴有文化宣传活动的资料，与工作人员交流时，情绪愉快。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配置有垃圾桶，办公过程产生的垃圾统一收集，由市政环卫部门统一处理；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介绍说办公用废弃硒鼓由供应商回收，以旧换新；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办公室无明显噪声和异味，无废气排放；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节约用水用电、生活废水经市政管网排放。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纸张双面使用；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办公室内主要是电的使用，现场查看电路、电源正常，电路布线合理、电气插座完整，未见破损，无乱拉乱接电线、使用超额电气等现象；未见用电不当等安全隐患及不良影响现象。</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应急准备和响应</w:t>
            </w: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ES:</w:t>
            </w:r>
            <w:r>
              <w:rPr>
                <w:rFonts w:hint="eastAsia" w:ascii="宋体" w:hAnsi="宋体" w:cs="Arial"/>
                <w:spacing w:val="-6"/>
                <w:sz w:val="21"/>
                <w:szCs w:val="21"/>
              </w:rPr>
              <w:t>8.2</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参与综合部组织的应急演练，详见综合部审核记录。</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生产和服务提供的控制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放行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color w:val="auto"/>
                <w:spacing w:val="-6"/>
                <w:sz w:val="21"/>
                <w:szCs w:val="21"/>
                <w:lang w:val="en-US" w:eastAsia="zh-CN"/>
              </w:rPr>
              <w:t>不合格品控制</w:t>
            </w: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kern w:val="2"/>
                <w:sz w:val="21"/>
                <w:szCs w:val="21"/>
                <w:lang w:val="en-US" w:eastAsia="zh-CN" w:bidi="ar-SA"/>
              </w:rPr>
            </w:pPr>
            <w:r>
              <w:rPr>
                <w:rFonts w:hint="eastAsia" w:ascii="宋体" w:hAnsi="宋体" w:eastAsia="宋体" w:cs="Arial"/>
                <w:spacing w:val="-6"/>
                <w:sz w:val="21"/>
                <w:szCs w:val="21"/>
                <w:lang w:val="en-US" w:eastAsia="zh-CN"/>
              </w:rPr>
              <w:t>8.7</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策划了发行操作流程，明确了到货设备到验、抽样检测操作流程，设备发行授权及映射表导入流程、卡签综合一次发行系统发行操作流程等；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介绍说，本部门主要负责ETC设备的一次发行，流程包括：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产品验收——设备发行授权及映射表导入——数据写入——测试放行；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收集了相关技术标准或准则：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电子收费 专用短信通信第1部分：物理层 GB/T20851.1-2019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电子收费 专用短信通信第2部分：数据链接路层 GB/T20851.2-2019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电子收费 专用短信通信第3部分：应用层 GB/T20851.3-2019；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介绍说，一次发行主要是对厂家提供的卡片和电子标签写入系统信息和系统密钥，完成后交由发行银行进行发行；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数据写入——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介绍说，IC卡和OBU电子标签通过桌面发行器在“卡签综合一次发行系统”中对电子标签进行一次初始化发行，批量写入密钥；序列号通过电子邮件传送，密钥通过密封函件传递；过程记录在系统中自动备份；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介绍说，数据写入是涉密过程，不能提供记录。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标识：介绍说，每张卡片都有唯一序号作为标识；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顾客财产：公司的顾客财产为银行购买、供应商提供的IC卡和OBU电子标签，专门存放；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防护：产品原厂包装，不需要特别的防护；写入数据时配置防干扰屏蔽罩，防止写数据时的干扰。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一次发行成功后的卡片和电子标签装回原厂包装，由供应商交付给银行；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放行：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产品验收——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介绍说，公司主要是对供应商提供的赣通卡和OBU电子标签的数量、外观和相关信息进行验收；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查见“赣通卡”到货验收记录，</w:t>
            </w:r>
            <w:r>
              <w:rPr>
                <w:rFonts w:hint="eastAsia" w:cs="Times New Roman"/>
                <w:highlight w:val="none"/>
                <w:lang w:val="en-US" w:eastAsia="zh-CN"/>
              </w:rPr>
              <w:t>抽见2021.12，</w:t>
            </w:r>
            <w:r>
              <w:rPr>
                <w:rFonts w:hint="eastAsia" w:ascii="Times New Roman" w:hAnsi="Times New Roman" w:eastAsia="宋体" w:cs="Times New Roman"/>
                <w:highlight w:val="none"/>
                <w:lang w:val="en-US" w:eastAsia="zh-CN"/>
              </w:rPr>
              <w:t>每批次随机抽样3张进行水煮试验，结果均正常。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查见赣通卡和OBU发行、出入库表——202</w:t>
            </w:r>
            <w:r>
              <w:rPr>
                <w:rFonts w:hint="eastAsia" w:cs="Times New Roman"/>
                <w:highlight w:val="none"/>
                <w:lang w:val="en-US" w:eastAsia="zh-CN"/>
              </w:rPr>
              <w:t>2.5</w:t>
            </w:r>
            <w:r>
              <w:rPr>
                <w:rFonts w:hint="eastAsia" w:ascii="Times New Roman" w:hAnsi="Times New Roman" w:eastAsia="宋体" w:cs="Times New Roman"/>
                <w:highlight w:val="none"/>
                <w:lang w:val="en-US" w:eastAsia="zh-CN"/>
              </w:rPr>
              <w:t>，记录了</w:t>
            </w:r>
            <w:r>
              <w:rPr>
                <w:rFonts w:hint="eastAsia" w:cs="Times New Roman"/>
                <w:highlight w:val="none"/>
                <w:lang w:val="en-US" w:eastAsia="zh-CN"/>
              </w:rPr>
              <w:t>到货信息：</w:t>
            </w:r>
            <w:r>
              <w:rPr>
                <w:rFonts w:hint="eastAsia" w:ascii="Times New Roman" w:hAnsi="Times New Roman" w:eastAsia="宋体" w:cs="Times New Roman"/>
                <w:highlight w:val="none"/>
                <w:lang w:val="en-US" w:eastAsia="zh-CN"/>
              </w:rPr>
              <w:t>供货单位、设备厂家、设备型号、设备入库类型、单位、数量、序列号等；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highlight w:val="none"/>
                <w:lang w:val="en-US" w:eastAsia="zh-CN"/>
              </w:rPr>
            </w:pPr>
            <w:r>
              <w:rPr>
                <w:rFonts w:hint="eastAsia" w:cs="Times New Roman"/>
                <w:highlight w:val="none"/>
                <w:lang w:val="en-US" w:eastAsia="zh-CN"/>
              </w:rPr>
              <w:t>查赣通卡和OBU抽见登记表，记录抽样检验的入库时间、供应商、设备名称、起止序列号、抽检数量、抽检序列号等；抽见2022.5、2021.12、2022.1，检测结果记录在</w:t>
            </w:r>
            <w:r>
              <w:rPr>
                <w:rFonts w:hint="eastAsia" w:ascii="Times New Roman" w:hAnsi="Times New Roman" w:eastAsia="宋体" w:cs="Times New Roman"/>
                <w:highlight w:val="none"/>
                <w:lang w:val="en-US" w:eastAsia="zh-CN"/>
              </w:rPr>
              <w:t>“电子标签检测记录”</w:t>
            </w:r>
            <w:r>
              <w:rPr>
                <w:rFonts w:hint="eastAsia" w:cs="Times New Roman"/>
                <w:highlight w:val="none"/>
                <w:lang w:val="en-US" w:eastAsia="zh-CN"/>
              </w:rPr>
              <w:t>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ighlight w:val="none"/>
                <w:lang w:val="en-US" w:eastAsia="zh-CN"/>
              </w:rPr>
            </w:pPr>
            <w:r>
              <w:rPr>
                <w:rFonts w:hint="eastAsia" w:ascii="Times New Roman" w:hAnsi="Times New Roman" w:eastAsia="宋体" w:cs="Times New Roman"/>
                <w:highlight w:val="none"/>
                <w:lang w:val="en-US" w:eastAsia="zh-CN"/>
              </w:rPr>
              <w:t>查见“电子标签检测记录”，2021.</w:t>
            </w:r>
            <w:r>
              <w:rPr>
                <w:rFonts w:hint="eastAsia" w:cs="Times New Roman"/>
                <w:highlight w:val="none"/>
                <w:lang w:val="en-US" w:eastAsia="zh-CN"/>
              </w:rPr>
              <w:t>12.21</w:t>
            </w:r>
            <w:r>
              <w:rPr>
                <w:rFonts w:hint="eastAsia" w:ascii="Times New Roman" w:hAnsi="Times New Roman" w:eastAsia="宋体" w:cs="Times New Roman"/>
                <w:highlight w:val="none"/>
                <w:lang w:val="en-US" w:eastAsia="zh-CN"/>
              </w:rPr>
              <w:t>，记录</w:t>
            </w:r>
            <w:r>
              <w:rPr>
                <w:rFonts w:hint="eastAsia" w:cs="Times New Roman"/>
                <w:highlight w:val="none"/>
                <w:lang w:val="en-US" w:eastAsia="zh-CN"/>
              </w:rPr>
              <w:t>抽样检测的项目：</w:t>
            </w:r>
            <w:r>
              <w:rPr>
                <w:rFonts w:hint="eastAsia" w:ascii="Times New Roman" w:hAnsi="Times New Roman" w:eastAsia="宋体" w:cs="Times New Roman"/>
                <w:highlight w:val="none"/>
                <w:lang w:val="en-US" w:eastAsia="zh-CN"/>
              </w:rPr>
              <w:t>一次发行、二次发行、手持机激活、软件版本、硬件版本、交易测试</w:t>
            </w:r>
            <w:r>
              <w:rPr>
                <w:rFonts w:hint="eastAsia" w:cs="Times New Roman"/>
                <w:highlight w:val="none"/>
                <w:lang w:val="en-US" w:eastAsia="zh-CN"/>
              </w:rPr>
              <w:t>，以及各项内容</w:t>
            </w:r>
            <w:r>
              <w:rPr>
                <w:rFonts w:hint="eastAsia" w:ascii="Times New Roman" w:hAnsi="Times New Roman" w:eastAsia="宋体" w:cs="Times New Roman"/>
                <w:highlight w:val="none"/>
                <w:lang w:val="en-US" w:eastAsia="zh-CN"/>
              </w:rPr>
              <w:t>测试结果</w:t>
            </w:r>
            <w:r>
              <w:rPr>
                <w:rFonts w:hint="eastAsia" w:cs="Times New Roman"/>
                <w:highlight w:val="none"/>
                <w:lang w:val="en-US" w:eastAsia="zh-CN"/>
              </w:rPr>
              <w:t>等</w:t>
            </w:r>
            <w:r>
              <w:rPr>
                <w:rFonts w:hint="eastAsia" w:ascii="Times New Roman" w:hAnsi="Times New Roman" w:eastAsia="宋体" w:cs="Times New Roman"/>
                <w:highlight w:val="none"/>
                <w:lang w:val="en-US" w:eastAsia="zh-CN"/>
              </w:rPr>
              <w:t>；结果正常</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highlight w:val="none"/>
                <w:lang w:val="en-US" w:eastAsia="zh-CN"/>
              </w:rPr>
            </w:pPr>
            <w:r>
              <w:rPr>
                <w:rFonts w:hint="eastAsia" w:cs="Times New Roman"/>
                <w:highlight w:val="none"/>
                <w:lang w:val="en-US" w:eastAsia="zh-CN"/>
              </w:rPr>
              <w:t>另抽见：2022.1.13、2022.5.20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介绍说，今年因为疫情原因，到货量小，截至目前，抽检尚未发现不合格；如有，进行加强抽样，再发现不合格，做批退货处理。</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过程检验——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介绍说密钥写入后，按照千分之一的比例进行抽样；通过发行器对写入结果进行检测，检测无误则一次发行成功，如有误，则重新抽样，发行不成功的卡片和电子标签交回供应商销毁，序列号作废；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提供“赣通卡和OBU抽检、损坏登记表”——2021.1-6，记录了抽样标签的供货单位、设备厂家、数量、序列号、抽检数量、序列号等；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成品检验——</w:t>
            </w:r>
            <w:bookmarkStart w:id="2" w:name="_GoBack"/>
            <w:bookmarkEnd w:id="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一次发行成功后，对抽样标签在“ETC江西省赣通卡客服服务系统”中写测试数据，点击车辆管理下的测试设备发行，在测试设备发行页面点击连接桌发，桌发连接成功后点击读OBU再点击写OBU，显示OBU发行成功。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介绍说，数据写入过程会对写入结果进行测试，保留测试记录；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介绍说，不合格标签退回供应商。</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2F3A539A"/>
    <w:rsid w:val="51281E21"/>
    <w:rsid w:val="66290F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2629</Words>
  <Characters>2837</Characters>
  <Lines>1</Lines>
  <Paragraphs>1</Paragraphs>
  <TotalTime>11</TotalTime>
  <ScaleCrop>false</ScaleCrop>
  <LinksUpToDate>false</LinksUpToDate>
  <CharactersWithSpaces>2873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2022-07-19T09:19:31Z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769F823069274E079901902B341992BE</vt:lpwstr>
  </property>
  <property fmtid="{D5CDD505-2E9C-101B-9397-08002B2CF9AE}" pid="3" name="KSOProductBuildVer">
    <vt:lpwstr>2052-11.1.0.11830</vt:lpwstr>
  </property>
</Properties>
</file>