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四川乐诚新材料有限公司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990"/>
        <w:gridCol w:w="144"/>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7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52"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31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493"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318"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493" w:type="dxa"/>
            <w:gridSpan w:val="3"/>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赵勋平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318" w:type="dxa"/>
            <w:gridSpan w:val="2"/>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493" w:type="dxa"/>
            <w:gridSpan w:val="3"/>
            <w:vAlign w:val="center"/>
          </w:tcPr>
          <w:p>
            <w:pPr>
              <w:spacing w:line="240" w:lineRule="exact"/>
              <w:jc w:val="center"/>
              <w:rPr>
                <w:b/>
                <w:color w:val="000000" w:themeColor="text1"/>
                <w:sz w:val="20"/>
                <w:szCs w:val="20"/>
              </w:rPr>
            </w:pPr>
            <w:r>
              <w:rPr>
                <w:b/>
                <w:color w:val="000000" w:themeColor="text1"/>
                <w:sz w:val="20"/>
                <w:szCs w:val="20"/>
              </w:rPr>
              <w:t>12.03.00,12.05.02,16.02.04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318" w:type="dxa"/>
            <w:gridSpan w:val="2"/>
            <w:vAlign w:val="center"/>
          </w:tcPr>
          <w:p>
            <w:pPr>
              <w:rPr>
                <w:b/>
                <w:color w:val="000000" w:themeColor="text1"/>
                <w:sz w:val="20"/>
                <w:szCs w:val="20"/>
              </w:rPr>
            </w:pPr>
          </w:p>
        </w:tc>
        <w:tc>
          <w:tcPr>
            <w:tcW w:w="2493"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318" w:type="dxa"/>
            <w:gridSpan w:val="2"/>
            <w:vAlign w:val="center"/>
          </w:tcPr>
          <w:p>
            <w:pPr>
              <w:rPr>
                <w:b/>
                <w:color w:val="000000" w:themeColor="text1"/>
                <w:sz w:val="20"/>
                <w:szCs w:val="20"/>
              </w:rPr>
            </w:pPr>
          </w:p>
        </w:tc>
        <w:tc>
          <w:tcPr>
            <w:tcW w:w="2493"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318" w:type="dxa"/>
            <w:gridSpan w:val="2"/>
            <w:vAlign w:val="center"/>
          </w:tcPr>
          <w:p>
            <w:pPr>
              <w:rPr>
                <w:b/>
                <w:color w:val="000000" w:themeColor="text1"/>
                <w:sz w:val="20"/>
                <w:szCs w:val="20"/>
              </w:rPr>
            </w:pPr>
          </w:p>
        </w:tc>
        <w:tc>
          <w:tcPr>
            <w:tcW w:w="2493"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18" w:type="dxa"/>
            <w:gridSpan w:val="2"/>
            <w:vAlign w:val="center"/>
          </w:tcPr>
          <w:p>
            <w:pPr>
              <w:rPr>
                <w:b/>
                <w:color w:val="000000" w:themeColor="text1"/>
                <w:sz w:val="20"/>
                <w:szCs w:val="20"/>
              </w:rPr>
            </w:pPr>
            <w:r>
              <w:rPr>
                <w:rFonts w:hint="eastAsia"/>
                <w:b/>
                <w:color w:val="000000" w:themeColor="text1"/>
                <w:sz w:val="20"/>
                <w:szCs w:val="20"/>
              </w:rPr>
              <w:t>工作单位</w:t>
            </w:r>
          </w:p>
        </w:tc>
        <w:tc>
          <w:tcPr>
            <w:tcW w:w="2493"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18" w:type="dxa"/>
            <w:gridSpan w:val="2"/>
            <w:vAlign w:val="center"/>
          </w:tcPr>
          <w:p>
            <w:pPr>
              <w:rPr>
                <w:b/>
                <w:color w:val="000000" w:themeColor="text1"/>
              </w:rPr>
            </w:pPr>
          </w:p>
        </w:tc>
        <w:tc>
          <w:tcPr>
            <w:tcW w:w="2493"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18" w:type="dxa"/>
            <w:gridSpan w:val="2"/>
            <w:vAlign w:val="center"/>
          </w:tcPr>
          <w:p>
            <w:pPr>
              <w:rPr>
                <w:b/>
                <w:color w:val="000000" w:themeColor="text1"/>
              </w:rPr>
            </w:pPr>
          </w:p>
        </w:tc>
        <w:tc>
          <w:tcPr>
            <w:tcW w:w="2493" w:type="dxa"/>
            <w:gridSpan w:val="3"/>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四川乐诚新材料有限公司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成都市青白江区工业集中发展区向阳路666号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成都市青白江区工业集中发展区向阳路666号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戢焕俊</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13438483236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黄富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戢焕俊</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水性涂料(不含危险品）、胶粘剂、干粉腻子、砂浆的生产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12.03.00;12.05.02;16.02.04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水性涂料(不含危险品）、胶粘剂、干粉腻子、砂浆的生产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□体系运行开始的</w:t>
      </w:r>
      <w:r>
        <w:rPr>
          <w:rFonts w:hint="eastAsia"/>
          <w:b/>
          <w:color w:val="000000" w:themeColor="text1"/>
          <w:spacing w:val="-10"/>
          <w:szCs w:val="21"/>
          <w:lang w:val="en-US" w:eastAsia="zh-CN"/>
        </w:rPr>
        <w:t>2019年04月05日至2019年12月27日。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水性涂料(不含危险品）、胶粘剂、干粉腻子、砂浆的生产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sz w:val="24"/>
                <w:szCs w:val="22"/>
                <w:highlight w:val="none"/>
                <w:lang w:val="en-US" w:eastAsia="zh-CN"/>
              </w:rPr>
              <w:t>配料过程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u w:val="single"/>
                <w:lang w:val="en-US" w:eastAsia="zh-CN"/>
              </w:rPr>
              <w:t>公司</w:t>
            </w:r>
            <w:r>
              <w:rPr>
                <w:rFonts w:hint="eastAsia" w:ascii="宋体" w:hAnsi="宋体"/>
                <w:szCs w:val="21"/>
                <w:u w:val="single"/>
              </w:rPr>
              <w:t>水性涂料(不含危险品）、胶粘剂、干粉腻子、砂浆的生产</w:t>
            </w:r>
            <w:r>
              <w:rPr>
                <w:rFonts w:hint="eastAsia" w:ascii="宋体" w:hAnsi="宋体" w:cs="Times New Roman"/>
                <w:color w:val="000000"/>
                <w:szCs w:val="21"/>
                <w:u w:val="single"/>
                <w:lang w:val="en-US" w:eastAsia="zh-CN"/>
              </w:rPr>
              <w:t>依据国家成熟工艺，模式固定,按国家规定的生产技术要求生产,因此标准8.3条款“产品和服务的设计和开发”要求不适用。</w:t>
            </w:r>
            <w:r>
              <w:rPr>
                <w:rFonts w:hint="eastAsia" w:ascii="宋体" w:hAnsi="宋体" w:cs="宋体"/>
                <w:sz w:val="21"/>
                <w:szCs w:val="21"/>
                <w:u w:val="single"/>
              </w:rPr>
              <w:t>，不适用</w:t>
            </w:r>
            <w:r>
              <w:rPr>
                <w:rFonts w:hint="eastAsia" w:ascii="宋体" w:hAnsi="宋体" w:cs="宋体"/>
                <w:sz w:val="21"/>
                <w:szCs w:val="21"/>
                <w:u w:val="single"/>
                <w:lang w:eastAsia="zh-CN"/>
              </w:rPr>
              <w:t>理由</w:t>
            </w:r>
            <w:r>
              <w:rPr>
                <w:rFonts w:hint="eastAsia" w:ascii="宋体" w:hAnsi="宋体" w:cs="宋体"/>
                <w:sz w:val="21"/>
                <w:szCs w:val="21"/>
                <w:u w:val="single"/>
              </w:rPr>
              <w:t xml:space="preserve">合理。 </w:t>
            </w:r>
            <w:r>
              <w:rPr>
                <w:rFonts w:hint="eastAsia" w:ascii="宋体" w:hAnsi="宋体" w:cs="宋体"/>
                <w:sz w:val="21"/>
                <w:szCs w:val="21"/>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60" w:lineRule="auto"/>
              <w:jc w:val="left"/>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p>
          <w:p>
            <w:pPr>
              <w:spacing w:line="360" w:lineRule="auto"/>
              <w:jc w:val="left"/>
              <w:rPr>
                <w:rFonts w:ascii="宋体" w:hAnsi="宋体"/>
                <w:b/>
                <w:color w:val="000000" w:themeColor="text1"/>
              </w:rPr>
            </w:pPr>
            <w:r>
              <w:rPr>
                <w:rFonts w:hint="eastAsia" w:ascii="宋体" w:hAnsi="宋体" w:cs="宋体"/>
                <w:color w:val="000000"/>
                <w:szCs w:val="24"/>
                <w:lang w:val="en-US" w:eastAsia="zh-CN"/>
              </w:rPr>
              <w:t>2</w:t>
            </w:r>
            <w:r>
              <w:rPr>
                <w:rFonts w:hint="eastAsia" w:ascii="宋体" w:hAnsi="宋体" w:cs="宋体"/>
                <w:color w:val="000000"/>
                <w:szCs w:val="24"/>
                <w:lang w:eastAsia="zh-CN"/>
              </w:rPr>
              <w:t>、</w:t>
            </w:r>
            <w:r>
              <w:rPr>
                <w:rFonts w:hint="eastAsia" w:ascii="宋体" w:hAnsi="宋体" w:cs="宋体"/>
                <w:color w:val="000000"/>
                <w:szCs w:val="24"/>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5000</w:t>
            </w:r>
            <w:r>
              <w:rPr>
                <w:rFonts w:hint="eastAsia" w:ascii="宋体" w:hAnsi="宋体"/>
                <w:bCs/>
                <w:iCs/>
                <w:highlight w:val="none"/>
              </w:rPr>
              <w:t>平方</w:t>
            </w:r>
            <w:r>
              <w:rPr>
                <w:rFonts w:hint="eastAsia" w:ascii="宋体" w:hAnsi="宋体" w:cs="Times New Roman"/>
                <w:bCs/>
                <w:iCs/>
                <w:highlight w:val="none"/>
              </w:rPr>
              <w:t>米左右，库房</w:t>
            </w:r>
            <w:r>
              <w:rPr>
                <w:rFonts w:hint="eastAsia" w:ascii="宋体" w:hAnsi="宋体" w:cs="Times New Roman"/>
                <w:bCs/>
                <w:iCs/>
                <w:highlight w:val="none"/>
                <w:lang w:eastAsia="zh-CN"/>
              </w:rPr>
              <w:t>与生产场所分区</w:t>
            </w:r>
            <w:r>
              <w:rPr>
                <w:rFonts w:hint="eastAsia" w:ascii="宋体" w:hAnsi="宋体" w:cs="Times New Roman"/>
                <w:bCs/>
                <w:iCs/>
                <w:highlight w:val="none"/>
              </w:rPr>
              <w:t>，办公场所面积</w:t>
            </w:r>
            <w:r>
              <w:rPr>
                <w:rFonts w:hint="eastAsia" w:ascii="宋体" w:hAnsi="宋体" w:cs="Times New Roman"/>
                <w:bCs/>
                <w:iCs/>
                <w:highlight w:val="none"/>
                <w:lang w:val="en-US" w:eastAsia="zh-CN"/>
              </w:rPr>
              <w:t>300</w:t>
            </w:r>
            <w:r>
              <w:rPr>
                <w:rFonts w:hint="eastAsia" w:ascii="宋体" w:hAnsi="宋体" w:cs="Times New Roman"/>
                <w:bCs/>
                <w:iCs/>
                <w:highlight w:val="none"/>
              </w:rPr>
              <w:t>平方米左右.主要生产设备包括</w:t>
            </w:r>
            <w:r>
              <w:rPr>
                <w:rFonts w:hint="eastAsia" w:ascii="宋体" w:hAnsi="宋体" w:cs="Times New Roman"/>
                <w:bCs/>
                <w:iCs/>
                <w:highlight w:val="none"/>
                <w:lang w:eastAsia="zh-CN"/>
              </w:rPr>
              <w:t>：</w:t>
            </w:r>
            <w:r>
              <w:rPr>
                <w:rFonts w:hint="eastAsia" w:ascii="宋体" w:hAnsi="宋体" w:cs="Times New Roman"/>
                <w:bCs/>
                <w:iCs/>
                <w:highlight w:val="none"/>
                <w:lang w:val="en-US" w:eastAsia="zh-CN"/>
              </w:rPr>
              <w:t>脉冲布袋除尘器、叶轮包装机、码垛机器人、高效梨刀式混合机、震动筛机、粉料罐体、罐体搅拌机、高温反应釜、胶水罐、蒸汽锅炉、变频分散机、传福压滤机等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w:t>
            </w:r>
            <w:bookmarkStart w:id="21" w:name="_GoBack"/>
            <w:bookmarkEnd w:id="21"/>
            <w:r>
              <w:rPr>
                <w:rFonts w:hint="eastAsia" w:ascii="宋体" w:hAnsi="宋体"/>
                <w:bCs/>
                <w:iCs/>
                <w:highlight w:val="none"/>
              </w:rPr>
              <w:t>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w:t>
            </w:r>
            <w:r>
              <w:rPr>
                <w:rFonts w:hint="eastAsia" w:ascii="宋体" w:hAnsi="宋体" w:cs="宋体"/>
                <w:b w:val="0"/>
                <w:bCs w:val="0"/>
                <w:color w:val="000000"/>
                <w:szCs w:val="21"/>
                <w:highlight w:val="none"/>
              </w:rPr>
              <w:t>，均采用委外送检的方式。抽在用检具的检定或校准证书能提供在用检具的有效检定或校准证据。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叉车、锅炉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16</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eastAsia="zh-CN"/>
              </w:rPr>
              <w:t>市场部</w:t>
            </w:r>
            <w:r>
              <w:rPr>
                <w:rFonts w:hint="eastAsia" w:ascii="宋体" w:hAnsi="宋体" w:cs="宋体"/>
                <w:szCs w:val="24"/>
                <w:lang w:val="en-US" w:eastAsia="zh-CN"/>
              </w:rPr>
              <w:t>不符合</w:t>
            </w:r>
            <w:r>
              <w:rPr>
                <w:rFonts w:hint="eastAsia" w:ascii="宋体" w:hAnsi="宋体" w:cs="宋体"/>
                <w:szCs w:val="24"/>
              </w:rPr>
              <w:t>标准</w:t>
            </w:r>
            <w:r>
              <w:rPr>
                <w:rFonts w:hint="eastAsia" w:ascii="宋体" w:hAnsi="宋体" w:cs="宋体"/>
                <w:szCs w:val="24"/>
                <w:lang w:val="en-US" w:eastAsia="zh-CN"/>
              </w:rPr>
              <w:t>8.4.1</w:t>
            </w:r>
            <w:r>
              <w:rPr>
                <w:rFonts w:hint="eastAsia" w:ascii="宋体" w:hAnsi="宋体" w:cs="宋体"/>
                <w:szCs w:val="24"/>
              </w:rPr>
              <w:t>条款201</w:t>
            </w:r>
            <w:r>
              <w:rPr>
                <w:rFonts w:hint="eastAsia" w:ascii="宋体" w:hAnsi="宋体" w:cs="宋体"/>
                <w:szCs w:val="24"/>
                <w:lang w:val="en-US" w:eastAsia="zh-CN"/>
              </w:rPr>
              <w:t>9</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月份</w:t>
            </w:r>
            <w:r>
              <w:rPr>
                <w:rFonts w:hint="eastAsia" w:ascii="宋体" w:hAnsi="宋体" w:cs="宋体"/>
                <w:szCs w:val="24"/>
                <w:lang w:eastAsia="zh-CN"/>
              </w:rPr>
              <w:t>对合格供方的评审，未见相关评审的证据</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8</w:t>
            </w:r>
            <w:r>
              <w:rPr>
                <w:rFonts w:hint="eastAsia" w:ascii="宋体" w:hAnsi="宋体"/>
                <w:kern w:val="0"/>
                <w:sz w:val="21"/>
                <w:szCs w:val="21"/>
              </w:rPr>
              <w:t>月</w:t>
            </w:r>
            <w:r>
              <w:rPr>
                <w:rFonts w:hint="eastAsia" w:ascii="宋体" w:hAnsi="宋体"/>
                <w:kern w:val="0"/>
                <w:sz w:val="21"/>
                <w:szCs w:val="21"/>
                <w:lang w:val="en-US" w:eastAsia="zh-CN"/>
              </w:rPr>
              <w:t>10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2019年12月27日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70EE8"/>
    <w:rsid w:val="0CFF1DA1"/>
    <w:rsid w:val="0F55545C"/>
    <w:rsid w:val="130C1C46"/>
    <w:rsid w:val="245F5CF7"/>
    <w:rsid w:val="2EB969E1"/>
    <w:rsid w:val="30426153"/>
    <w:rsid w:val="391E4824"/>
    <w:rsid w:val="3A310376"/>
    <w:rsid w:val="42201B7C"/>
    <w:rsid w:val="439B63A1"/>
    <w:rsid w:val="449D6B63"/>
    <w:rsid w:val="4566632D"/>
    <w:rsid w:val="528F6539"/>
    <w:rsid w:val="70BC549E"/>
    <w:rsid w:val="72FE33C7"/>
    <w:rsid w:val="77572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2019-12-27T07:33:11Z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