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常州市跃进汇丰电器有限公司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常州市跃进汇丰电器有限公司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钟楼区永红街道迎宾路58号</w:t>
            </w:r>
            <w:bookmarkEnd w:id="6"/>
          </w:p>
        </w:tc>
        <w:tc>
          <w:tcPr>
            <w:tcW w:w="1242" w:type="dxa"/>
            <w:vMerge w:val="restart"/>
            <w:vAlign w:val="center"/>
          </w:tcPr>
          <w:p>
            <w:r>
              <w:rPr>
                <w:rFonts w:hint="eastAsia"/>
              </w:rPr>
              <w:t>邮编</w:t>
            </w:r>
          </w:p>
        </w:tc>
        <w:tc>
          <w:tcPr>
            <w:tcW w:w="1771" w:type="dxa"/>
          </w:tcPr>
          <w:p>
            <w:bookmarkStart w:id="7" w:name="注册邮编"/>
            <w:r>
              <w:t>21300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常州市武进区礼嘉镇和谐路11号</w:t>
            </w:r>
            <w:bookmarkEnd w:id="8"/>
          </w:p>
        </w:tc>
        <w:tc>
          <w:tcPr>
            <w:tcW w:w="1242" w:type="dxa"/>
            <w:vMerge w:val="continue"/>
            <w:vAlign w:val="center"/>
          </w:tcPr>
          <w:p/>
        </w:tc>
        <w:tc>
          <w:tcPr>
            <w:tcW w:w="1771" w:type="dxa"/>
          </w:tcPr>
          <w:p>
            <w:bookmarkStart w:id="9" w:name="办公邮编"/>
            <w:r>
              <w:t>213000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朱文杰</w:t>
            </w:r>
            <w:bookmarkEnd w:id="10"/>
          </w:p>
        </w:tc>
        <w:tc>
          <w:tcPr>
            <w:tcW w:w="1313" w:type="dxa"/>
            <w:vAlign w:val="center"/>
          </w:tcPr>
          <w:p>
            <w:r>
              <w:rPr>
                <w:rFonts w:hint="eastAsia"/>
              </w:rPr>
              <w:t>电话.</w:t>
            </w:r>
          </w:p>
        </w:tc>
        <w:tc>
          <w:tcPr>
            <w:tcW w:w="2180" w:type="dxa"/>
            <w:vAlign w:val="center"/>
          </w:tcPr>
          <w:p>
            <w:bookmarkStart w:id="11" w:name="联系人电话"/>
            <w:r>
              <w:t>13606119018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倪跃进</w:t>
            </w:r>
            <w:bookmarkEnd w:id="13"/>
          </w:p>
        </w:tc>
        <w:tc>
          <w:tcPr>
            <w:tcW w:w="1313" w:type="dxa"/>
            <w:vAlign w:val="center"/>
          </w:tcPr>
          <w:p>
            <w:r>
              <w:rPr>
                <w:rFonts w:hint="eastAsia"/>
              </w:rPr>
              <w:t>管理者代表</w:t>
            </w:r>
          </w:p>
        </w:tc>
        <w:tc>
          <w:tcPr>
            <w:tcW w:w="2180" w:type="dxa"/>
          </w:tcPr>
          <w:p>
            <w:bookmarkStart w:id="14" w:name="管理者代表"/>
            <w:r>
              <w:t>朱文杰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1、刹把/货架生产工艺流程：</w:t>
            </w:r>
          </w:p>
          <w:p>
            <w:pPr>
              <w:rPr>
                <w:rFonts w:hint="eastAsia"/>
              </w:rPr>
            </w:pPr>
            <w:r>
              <w:rPr>
                <w:rFonts w:hint="eastAsia"/>
              </w:rPr>
              <w:t xml:space="preserve">   原材料-压铸-抛光/打磨-喷漆/喷塑-组装—检验—入库；</w:t>
            </w:r>
          </w:p>
          <w:p>
            <w:pPr>
              <w:rPr>
                <w:rFonts w:hint="eastAsia"/>
              </w:rPr>
            </w:pPr>
            <w:r>
              <w:rPr>
                <w:rFonts w:hint="eastAsia"/>
              </w:rPr>
              <w:t>2、开关生产工艺流程：</w:t>
            </w:r>
          </w:p>
          <w:p>
            <w:pPr>
              <w:rPr>
                <w:rFonts w:hint="eastAsia"/>
              </w:rPr>
            </w:pPr>
            <w:r>
              <w:rPr>
                <w:rFonts w:hint="eastAsia"/>
              </w:rPr>
              <w:t xml:space="preserve">  原材料-注塑-焊线/焊零部件-组装—检验测试—入库；</w:t>
            </w:r>
          </w:p>
          <w:p>
            <w:pPr>
              <w:rPr>
                <w:rFonts w:hint="eastAsia"/>
              </w:rPr>
            </w:pPr>
            <w:r>
              <w:rPr>
                <w:rFonts w:hint="eastAsia"/>
              </w:rPr>
              <w:t>3、汽车零配件销售流程：</w:t>
            </w:r>
          </w:p>
          <w:p>
            <w:r>
              <w:rPr>
                <w:rFonts w:hint="eastAsia"/>
              </w:rPr>
              <w:t xml:space="preserve">   联系客户-介绍产品-签合同-采购-验货-交付；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2022年06月02日 上午至2022年06月02日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常州市武进区礼嘉镇和谐路11号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摩托车零配件（刹把、开关、货架）的生产；汽车零配件（水泵、风扇）的销售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22.05.01;29.03.01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2022 年  1 月 5  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t>常州市跃进汇丰电器有限公司</w:t>
            </w:r>
          </w:p>
        </w:tc>
        <w:tc>
          <w:tcPr>
            <w:tcW w:w="2267" w:type="dxa"/>
            <w:vAlign w:val="top"/>
          </w:tcPr>
          <w:p>
            <w:pPr>
              <w:spacing w:before="40" w:after="40"/>
              <w:rPr>
                <w:lang w:val="de-DE" w:eastAsia="ja-JP"/>
              </w:rPr>
            </w:pPr>
            <w:r>
              <w:rPr>
                <w:sz w:val="21"/>
                <w:szCs w:val="21"/>
              </w:rPr>
              <w:t>常州市武进区礼嘉镇和谐路11号</w:t>
            </w:r>
          </w:p>
        </w:tc>
        <w:tc>
          <w:tcPr>
            <w:tcW w:w="571" w:type="dxa"/>
            <w:vAlign w:val="center"/>
          </w:tcPr>
          <w:p>
            <w:pPr>
              <w:spacing w:before="40" w:after="40"/>
              <w:rPr>
                <w:lang w:eastAsia="ja-JP"/>
              </w:rPr>
            </w:pPr>
            <w:r>
              <w:rPr>
                <w:rFonts w:hint="eastAsia" w:eastAsia="黑体"/>
                <w:szCs w:val="21"/>
                <w:lang w:val="en-US" w:eastAsia="zh-CN"/>
              </w:rPr>
              <w:t>14</w:t>
            </w:r>
          </w:p>
        </w:tc>
        <w:tc>
          <w:tcPr>
            <w:tcW w:w="2803" w:type="dxa"/>
            <w:vAlign w:val="center"/>
          </w:tcPr>
          <w:p>
            <w:pPr>
              <w:pStyle w:val="21"/>
              <w:rPr>
                <w:lang w:eastAsia="ja-JP"/>
              </w:rPr>
            </w:pPr>
            <w:r>
              <w:rPr>
                <w:rFonts w:hint="eastAsia" w:ascii="Times New Roman" w:hAnsi="Times New Roman" w:eastAsia="宋体" w:cs="Times New Roman"/>
                <w:kern w:val="2"/>
                <w:sz w:val="21"/>
                <w:szCs w:val="24"/>
                <w:lang w:val="en-US" w:eastAsia="ja-JP" w:bidi="ar-SA"/>
              </w:rPr>
              <w:t>摩托车零配件（刹把、开关、货架）的生产；汽车零配件（水泵、风扇）的销售</w:t>
            </w:r>
          </w:p>
        </w:tc>
        <w:tc>
          <w:tcPr>
            <w:tcW w:w="669" w:type="dxa"/>
            <w:vAlign w:val="center"/>
          </w:tcPr>
          <w:p>
            <w:pPr>
              <w:rPr>
                <w:lang w:eastAsia="ja-JP"/>
              </w:rPr>
            </w:pPr>
            <w:r>
              <w:rPr>
                <w:rFonts w:hint="eastAsia"/>
              </w:rPr>
              <w:t>ISO9001:2015</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22.05.01,29.03.01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9" w:hRule="exact"/>
          <w:jc w:val="center"/>
        </w:trPr>
        <w:tc>
          <w:tcPr>
            <w:tcW w:w="1842" w:type="dxa"/>
            <w:vAlign w:val="center"/>
          </w:tcPr>
          <w:p>
            <w:pPr>
              <w:jc w:val="both"/>
            </w:pPr>
            <w:r>
              <w:rPr>
                <w:rFonts w:hint="eastAsia"/>
              </w:rPr>
              <w:t>审核组长签字</w:t>
            </w:r>
          </w:p>
        </w:tc>
        <w:tc>
          <w:tcPr>
            <w:tcW w:w="2764" w:type="dxa"/>
            <w:tcMar>
              <w:left w:w="113" w:type="dxa"/>
            </w:tcMar>
            <w:vAlign w:val="center"/>
          </w:tcPr>
          <w:p>
            <w:pPr>
              <w:jc w:val="both"/>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273050</wp:posOffset>
                  </wp:positionH>
                  <wp:positionV relativeFrom="paragraph">
                    <wp:posOffset>107315</wp:posOffset>
                  </wp:positionV>
                  <wp:extent cx="600075" cy="461010"/>
                  <wp:effectExtent l="0" t="0" r="9525" b="889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600075" cy="461010"/>
                          </a:xfrm>
                          <a:prstGeom prst="rect">
                            <a:avLst/>
                          </a:prstGeom>
                        </pic:spPr>
                      </pic:pic>
                    </a:graphicData>
                  </a:graphic>
                </wp:anchor>
              </w:drawing>
            </w:r>
          </w:p>
          <w:p>
            <w:pPr>
              <w:jc w:val="both"/>
            </w:pPr>
          </w:p>
        </w:tc>
        <w:tc>
          <w:tcPr>
            <w:tcW w:w="2764" w:type="dxa"/>
            <w:tcMar>
              <w:left w:w="113" w:type="dxa"/>
            </w:tcMar>
            <w:vAlign w:val="center"/>
          </w:tcPr>
          <w:p>
            <w:pPr>
              <w:jc w:val="both"/>
            </w:pPr>
            <w:r>
              <w:rPr>
                <w:rFonts w:hint="eastAsia"/>
              </w:rPr>
              <w:t>日期</w:t>
            </w:r>
          </w:p>
        </w:tc>
        <w:tc>
          <w:tcPr>
            <w:tcW w:w="2766" w:type="dxa"/>
            <w:tcMar>
              <w:left w:w="113" w:type="dxa"/>
            </w:tcMar>
            <w:vAlign w:val="center"/>
          </w:tcPr>
          <w:p>
            <w:pPr>
              <w:jc w:val="both"/>
              <w:rPr>
                <w:rFonts w:hint="default" w:ascii="宋体" w:eastAsia="宋体"/>
                <w:b/>
                <w:color w:val="0000FF"/>
                <w:szCs w:val="21"/>
                <w:lang w:val="en-US" w:eastAsia="zh-CN"/>
              </w:rPr>
            </w:pPr>
            <w:r>
              <w:rPr>
                <w:rFonts w:hint="eastAsia" w:ascii="Times New Roman" w:hAnsi="Times New Roman" w:eastAsia="宋体" w:cs="Times New Roman"/>
                <w:lang w:val="en-US" w:eastAsia="zh-CN"/>
              </w:rPr>
              <w:t>2022.6.2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质量第一，顾客至上。科学管理，持续改进。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1.对市场需要产品的发展趋势判断失误。</w:t>
                  </w:r>
                </w:p>
                <w:p>
                  <w:pPr>
                    <w:shd w:val="clear" w:color="auto" w:fill="C7DAF1" w:themeFill="text2" w:themeFillTint="32"/>
                  </w:pPr>
                  <w:r>
                    <w:rPr>
                      <w:rFonts w:hint="eastAsia"/>
                    </w:rPr>
                    <w:t>2.客户要求识别不完整。</w:t>
                  </w:r>
                </w:p>
                <w:p>
                  <w:pPr>
                    <w:shd w:val="clear" w:color="auto" w:fill="C7DAF1" w:themeFill="text2" w:themeFillTint="32"/>
                  </w:pPr>
                  <w:r>
                    <w:rPr>
                      <w:rFonts w:hint="eastAsia"/>
                    </w:rPr>
                    <w:t>3.未能确保能够满足客户要求就签署合同</w:t>
                  </w:r>
                </w:p>
              </w:tc>
              <w:tc>
                <w:tcPr>
                  <w:tcW w:w="3965" w:type="dxa"/>
                  <w:vAlign w:val="top"/>
                </w:tcPr>
                <w:p>
                  <w:pPr>
                    <w:shd w:val="clear" w:color="auto" w:fill="C7DAF1" w:themeFill="text2" w:themeFillTint="32"/>
                  </w:pPr>
                  <w:r>
                    <w:rPr>
                      <w:rFonts w:hint="eastAsia"/>
                    </w:rPr>
                    <w:t>1.对市场需求产品的发展趋势分析应该经过反复论证。</w:t>
                  </w:r>
                </w:p>
                <w:p>
                  <w:pPr>
                    <w:shd w:val="clear" w:color="auto" w:fill="C7DAF1" w:themeFill="text2" w:themeFillTint="32"/>
                  </w:pPr>
                  <w:r>
                    <w:rPr>
                      <w:rFonts w:hint="eastAsia"/>
                    </w:rPr>
                    <w:t>2.对客户的要求实施监视和测量。</w:t>
                  </w:r>
                </w:p>
                <w:p>
                  <w:pPr>
                    <w:shd w:val="clear" w:color="auto" w:fill="C7DAF1" w:themeFill="text2" w:themeFillTint="32"/>
                  </w:pPr>
                  <w:r>
                    <w:rPr>
                      <w:rFonts w:hint="eastAsia"/>
                    </w:rPr>
                    <w:t>3.在确定与客户签署合同前 落实合同评审事宜。</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1.不能按时交付。</w:t>
                  </w:r>
                </w:p>
                <w:p>
                  <w:pPr>
                    <w:shd w:val="clear" w:color="auto" w:fill="C7DAF1" w:themeFill="text2" w:themeFillTint="32"/>
                  </w:pPr>
                  <w:r>
                    <w:rPr>
                      <w:rFonts w:hint="eastAsia"/>
                    </w:rPr>
                    <w:t>2.交付的产品不符合客户的要求。</w:t>
                  </w:r>
                </w:p>
              </w:tc>
              <w:tc>
                <w:tcPr>
                  <w:tcW w:w="3965" w:type="dxa"/>
                  <w:vAlign w:val="top"/>
                </w:tcPr>
                <w:p>
                  <w:pPr>
                    <w:shd w:val="clear" w:color="auto" w:fill="C7DAF1" w:themeFill="text2" w:themeFillTint="32"/>
                  </w:pPr>
                  <w:r>
                    <w:rPr>
                      <w:rFonts w:hint="eastAsia"/>
                    </w:rPr>
                    <w:t>1.生产和销售计划管制。</w:t>
                  </w:r>
                </w:p>
                <w:p>
                  <w:pPr>
                    <w:shd w:val="clear" w:color="auto" w:fill="C7DAF1" w:themeFill="text2" w:themeFillTint="32"/>
                  </w:pPr>
                  <w:r>
                    <w:rPr>
                      <w:rFonts w:hint="eastAsia"/>
                    </w:rPr>
                    <w:t>2.生产和销售过程的品质控制。</w:t>
                  </w:r>
                </w:p>
                <w:p>
                  <w:pPr>
                    <w:shd w:val="clear" w:color="auto" w:fill="C7DAF1" w:themeFill="text2" w:themeFillTint="32"/>
                  </w:pPr>
                  <w:r>
                    <w:rPr>
                      <w:rFonts w:hint="eastAsia"/>
                    </w:rPr>
                    <w:t>3.成品的品质检验。</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宋体" w:hAnsi="宋体"/>
                      <w:sz w:val="21"/>
                      <w:szCs w:val="21"/>
                    </w:rPr>
                    <w:t>产品一次交验合格率</w:t>
                  </w:r>
                  <w:r>
                    <w:rPr>
                      <w:rFonts w:hint="eastAsia" w:ascii="宋体" w:hAnsi="宋体" w:eastAsia="宋体" w:cs="宋体"/>
                      <w:sz w:val="28"/>
                      <w:szCs w:val="28"/>
                      <w:lang w:eastAsia="zh-CN"/>
                    </w:rPr>
                    <w:t>&gt;</w:t>
                  </w:r>
                  <w:r>
                    <w:rPr>
                      <w:rFonts w:hint="eastAsia" w:ascii="宋体" w:hAnsi="宋体"/>
                      <w:sz w:val="21"/>
                      <w:szCs w:val="21"/>
                    </w:rPr>
                    <w:t>9</w:t>
                  </w:r>
                  <w:r>
                    <w:rPr>
                      <w:rFonts w:hint="eastAsia" w:ascii="宋体" w:hAnsi="宋体"/>
                      <w:sz w:val="21"/>
                      <w:szCs w:val="21"/>
                      <w:lang w:val="en-US" w:eastAsia="zh-CN"/>
                    </w:rPr>
                    <w:t>8</w:t>
                  </w:r>
                  <w:r>
                    <w:rPr>
                      <w:rFonts w:hint="eastAsia" w:ascii="宋体" w:hAnsi="宋体"/>
                      <w:sz w:val="21"/>
                      <w:szCs w:val="21"/>
                    </w:rPr>
                    <w:t>%；</w:t>
                  </w:r>
                </w:p>
              </w:tc>
              <w:tc>
                <w:tcPr>
                  <w:tcW w:w="3136" w:type="dxa"/>
                  <w:shd w:val="clear" w:color="auto" w:fill="auto"/>
                  <w:vAlign w:val="center"/>
                </w:tcPr>
                <w:p>
                  <w:pPr>
                    <w:jc w:val="center"/>
                    <w:rPr>
                      <w:lang w:val="en-GB"/>
                    </w:rPr>
                  </w:pPr>
                  <w:r>
                    <w:rPr>
                      <w:rFonts w:hint="eastAsia" w:ascii="宋体" w:hAnsi="宋体"/>
                    </w:rPr>
                    <w:t>满意度实得分/应得分</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top"/>
                </w:tcPr>
                <w:p>
                  <w:pPr>
                    <w:spacing w:line="240" w:lineRule="exact"/>
                    <w:jc w:val="center"/>
                    <w:rPr>
                      <w:rFonts w:ascii="宋体" w:hAnsi="宋体"/>
                      <w:lang w:val="en-GB"/>
                    </w:rPr>
                  </w:pPr>
                  <w:r>
                    <w:rPr>
                      <w:rFonts w:hint="eastAsia" w:ascii="宋体" w:hAnsi="宋体"/>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tabs>
                      <w:tab w:val="left" w:pos="792"/>
                      <w:tab w:val="left" w:pos="1152"/>
                    </w:tabs>
                    <w:kinsoku/>
                    <w:wordWrap/>
                    <w:overflowPunct/>
                    <w:topLinePunct w:val="0"/>
                    <w:autoSpaceDE/>
                    <w:autoSpaceDN/>
                    <w:bidi w:val="0"/>
                    <w:adjustRightInd/>
                    <w:snapToGrid/>
                    <w:spacing w:line="320" w:lineRule="exact"/>
                    <w:ind w:right="232" w:rightChars="0"/>
                    <w:textAlignment w:val="auto"/>
                  </w:pPr>
                  <w:r>
                    <w:rPr>
                      <w:rFonts w:hint="eastAsia" w:ascii="宋体" w:hAnsi="宋体"/>
                      <w:sz w:val="21"/>
                      <w:szCs w:val="21"/>
                    </w:rPr>
                    <w:t>顾客满意率</w:t>
                  </w:r>
                  <w:r>
                    <w:rPr>
                      <w:rFonts w:hint="eastAsia" w:ascii="宋体" w:hAnsi="宋体" w:eastAsia="宋体" w:cs="宋体"/>
                      <w:sz w:val="28"/>
                      <w:szCs w:val="28"/>
                      <w:lang w:eastAsia="zh-CN"/>
                    </w:rPr>
                    <w:t>&gt;</w:t>
                  </w:r>
                  <w:r>
                    <w:rPr>
                      <w:rFonts w:hint="eastAsia" w:ascii="宋体" w:hAnsi="宋体"/>
                      <w:sz w:val="21"/>
                      <w:szCs w:val="21"/>
                    </w:rPr>
                    <w:t>9</w:t>
                  </w:r>
                  <w:r>
                    <w:rPr>
                      <w:rFonts w:hint="eastAsia" w:ascii="宋体" w:hAnsi="宋体"/>
                      <w:sz w:val="21"/>
                      <w:szCs w:val="21"/>
                      <w:lang w:val="en-US" w:eastAsia="zh-CN"/>
                    </w:rPr>
                    <w:t>6</w:t>
                  </w:r>
                  <w:r>
                    <w:rPr>
                      <w:rFonts w:hint="eastAsia" w:ascii="宋体" w:hAnsi="宋体"/>
                      <w:sz w:val="21"/>
                      <w:szCs w:val="21"/>
                    </w:rPr>
                    <w:t>%；</w:t>
                  </w:r>
                </w:p>
              </w:tc>
              <w:tc>
                <w:tcPr>
                  <w:tcW w:w="3136" w:type="dxa"/>
                  <w:shd w:val="clear" w:color="auto" w:fill="auto"/>
                  <w:vAlign w:val="center"/>
                </w:tcPr>
                <w:p>
                  <w:pPr>
                    <w:jc w:val="center"/>
                    <w:rPr>
                      <w:rFonts w:ascii="宋体" w:hAnsi="宋体"/>
                    </w:rPr>
                  </w:pPr>
                  <w:r>
                    <w:rPr>
                      <w:rFonts w:hint="eastAsia" w:ascii="宋体" w:hAnsi="宋体"/>
                    </w:rPr>
                    <w:t>一次检验合格数/检验总数量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top"/>
                </w:tcPr>
                <w:p>
                  <w:pPr>
                    <w:spacing w:line="240" w:lineRule="exact"/>
                    <w:jc w:val="center"/>
                    <w:rPr>
                      <w:rFonts w:ascii="宋体" w:hAnsi="宋体"/>
                    </w:rPr>
                  </w:pPr>
                  <w:r>
                    <w:rPr>
                      <w:rFonts w:hint="eastAsia" w:ascii="宋体" w:hAnsi="宋体"/>
                      <w:color w:val="auto"/>
                      <w:szCs w:val="21"/>
                    </w:rPr>
                    <w:t>9</w:t>
                  </w:r>
                  <w:r>
                    <w:rPr>
                      <w:rFonts w:hint="eastAsia" w:ascii="宋体" w:hAnsi="宋体"/>
                      <w:color w:val="auto"/>
                      <w:szCs w:val="21"/>
                      <w:lang w:val="en-US" w:eastAsia="zh-CN"/>
                    </w:rPr>
                    <w:t>8.3</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建筑面积1000平方米；生产车间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注塑机、打磨机、多功能钻床、气泵、抛光机、盐雾测试机、耐候测试机、小型测试台</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钢直尺、数显卡尺、游标卡尺</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编号YJHF-JCSB-03红外温度枪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sz w:val="24"/>
                      <w:szCs w:val="24"/>
                      <w:lang w:val="en-US" w:eastAsia="zh-CN"/>
                    </w:rPr>
                    <w:t>开关生产</w:t>
                  </w:r>
                </w:p>
              </w:tc>
              <w:tc>
                <w:tcPr>
                  <w:tcW w:w="3665" w:type="dxa"/>
                </w:tcPr>
                <w:p>
                  <w:pPr>
                    <w:shd w:val="clear" w:color="auto" w:fill="C7DAF1" w:themeFill="text2" w:themeFillTint="32"/>
                    <w:jc w:val="left"/>
                  </w:pPr>
                  <w:r>
                    <w:rPr>
                      <w:rFonts w:hint="eastAsia" w:hAnsiTheme="minorEastAsia" w:eastAsiaTheme="minorEastAsia"/>
                      <w:sz w:val="24"/>
                      <w:szCs w:val="24"/>
                      <w:lang w:val="en-US" w:eastAsia="zh-CN"/>
                    </w:rPr>
                    <w:t>开关测试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刹把/货架生产</w:t>
                  </w:r>
                </w:p>
              </w:tc>
              <w:tc>
                <w:tcPr>
                  <w:tcW w:w="3665" w:type="dxa"/>
                </w:tcPr>
                <w:p>
                  <w:pPr>
                    <w:shd w:val="clear" w:color="auto" w:fill="C7DAF1" w:themeFill="text2" w:themeFillTint="32"/>
                    <w:jc w:val="left"/>
                  </w:pPr>
                  <w:r>
                    <w:rPr>
                      <w:rFonts w:hint="eastAsia" w:hAnsiTheme="minorEastAsia" w:eastAsiaTheme="minorEastAsia"/>
                      <w:sz w:val="24"/>
                      <w:szCs w:val="24"/>
                      <w:lang w:val="en-US" w:eastAsia="zh-CN"/>
                    </w:rPr>
                    <w:t>压铸</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 年</w:t>
            </w:r>
            <w:r>
              <w:rPr>
                <w:rFonts w:hint="eastAsia"/>
                <w:lang w:val="en-US" w:eastAsia="zh-CN"/>
              </w:rPr>
              <w:t>4</w:t>
            </w:r>
            <w:r>
              <w:rPr>
                <w:rFonts w:hint="eastAsia"/>
              </w:rPr>
              <w:t>月</w:t>
            </w:r>
            <w:r>
              <w:rPr>
                <w:rFonts w:hint="eastAsia"/>
                <w:lang w:val="en-US" w:eastAsia="zh-CN"/>
              </w:rPr>
              <w:t>15</w:t>
            </w:r>
            <w:r>
              <w:rPr>
                <w:rFonts w:hint="eastAsia"/>
              </w:rPr>
              <w:t>日 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w:t>
            </w:r>
            <w:r>
              <w:rPr>
                <w:rFonts w:hint="eastAsia"/>
                <w:lang w:val="en-US" w:eastAsia="zh-CN"/>
              </w:rPr>
              <w:t>4</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4B254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18600</Words>
  <Characters>19299</Characters>
  <Lines>150</Lines>
  <Paragraphs>42</Paragraphs>
  <TotalTime>2</TotalTime>
  <ScaleCrop>false</ScaleCrop>
  <LinksUpToDate>false</LinksUpToDate>
  <CharactersWithSpaces>19420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2022-06-04T17:02:27Z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