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0436-2022-QEO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石家庄市利民预制构件有限公司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2022年05月30日 上午至2022年05月30日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b w:val="0"/>
                <w:bCs w:val="0"/>
                <w:sz w:val="21"/>
                <w:szCs w:val="21"/>
              </w:rPr>
              <w:t>石家庄市正定新区西上泽社区诚峰热电厂对过</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66"/>
        <w:gridCol w:w="134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66" w:type="dxa"/>
            <w:vAlign w:val="center"/>
          </w:tcPr>
          <w:p>
            <w:pPr>
              <w:spacing w:line="240" w:lineRule="exact"/>
              <w:jc w:val="center"/>
              <w:rPr>
                <w:b/>
                <w:color w:val="000000"/>
                <w:szCs w:val="21"/>
              </w:rPr>
            </w:pPr>
            <w:r>
              <w:rPr>
                <w:rFonts w:hint="eastAsia"/>
                <w:szCs w:val="21"/>
              </w:rPr>
              <w:t>审核员注册证书号</w:t>
            </w:r>
          </w:p>
        </w:tc>
        <w:tc>
          <w:tcPr>
            <w:tcW w:w="1344"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66"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44" w:type="dxa"/>
            <w:vAlign w:val="center"/>
          </w:tcPr>
          <w:p>
            <w:pPr>
              <w:spacing w:line="240" w:lineRule="exact"/>
              <w:jc w:val="center"/>
              <w:rPr>
                <w:b/>
                <w:color w:val="000000"/>
                <w:szCs w:val="21"/>
              </w:rPr>
            </w:pPr>
            <w:r>
              <w:rPr>
                <w:b/>
                <w:color w:val="000000"/>
                <w:szCs w:val="21"/>
              </w:rPr>
              <w:t>Q:16.02.03</w:t>
            </w:r>
          </w:p>
          <w:p>
            <w:pPr>
              <w:spacing w:line="240" w:lineRule="exact"/>
              <w:jc w:val="center"/>
              <w:rPr>
                <w:b/>
                <w:color w:val="000000"/>
                <w:szCs w:val="21"/>
              </w:rPr>
            </w:pPr>
            <w:r>
              <w:rPr>
                <w:b/>
                <w:color w:val="000000"/>
                <w:szCs w:val="21"/>
              </w:rPr>
              <w:t>E:16.02.03</w:t>
            </w:r>
          </w:p>
          <w:p>
            <w:pPr>
              <w:spacing w:line="240" w:lineRule="exact"/>
              <w:jc w:val="center"/>
              <w:rPr>
                <w:b/>
                <w:color w:val="000000"/>
                <w:szCs w:val="21"/>
              </w:rPr>
            </w:pPr>
            <w:r>
              <w:rPr>
                <w:b/>
                <w:color w:val="000000"/>
                <w:szCs w:val="21"/>
              </w:rPr>
              <w:t>O:16.02.03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66"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344"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66" w:type="dxa"/>
            <w:vAlign w:val="center"/>
          </w:tcPr>
          <w:p>
            <w:pPr>
              <w:rPr>
                <w:b/>
                <w:color w:val="000000"/>
                <w:szCs w:val="21"/>
              </w:rPr>
            </w:pPr>
            <w:r>
              <w:rPr>
                <w:rFonts w:hint="eastAsia"/>
                <w:b/>
                <w:color w:val="000000"/>
                <w:szCs w:val="21"/>
              </w:rPr>
              <w:t>工作单位</w:t>
            </w:r>
          </w:p>
        </w:tc>
        <w:tc>
          <w:tcPr>
            <w:tcW w:w="2432"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66" w:type="dxa"/>
            <w:vAlign w:val="center"/>
          </w:tcPr>
          <w:p>
            <w:pPr>
              <w:rPr>
                <w:b/>
                <w:color w:val="000000"/>
                <w:szCs w:val="21"/>
              </w:rPr>
            </w:pPr>
          </w:p>
        </w:tc>
        <w:tc>
          <w:tcPr>
            <w:tcW w:w="2432"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石家庄市利民预制构件有限公司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石家庄市正定新区西上泽社区诚峰热电厂对过</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050800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石家庄市正定新区西上泽社区诚峰热电厂对过</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050800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李青</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15032677930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张贵英</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李青</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b w:val="0"/>
                <w:bCs w:val="0"/>
                <w:sz w:val="21"/>
                <w:szCs w:val="21"/>
              </w:rPr>
              <w:t>商品混凝土的生产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ascii="宋体"/>
                <w:color w:val="000000"/>
                <w:szCs w:val="21"/>
              </w:rPr>
            </w:pPr>
            <w:r>
              <w:rPr>
                <w:rFonts w:hint="eastAsia"/>
                <w:color w:val="000000"/>
              </w:rPr>
              <w:t>原材料检验、储备--根据配合比配料--电脑控制自动计量--自动控制投料--强制搅拌机搅拌--出料、检验合格混凝土出厂--混凝土搅拌运输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b w:val="0"/>
                <w:bCs w:val="0"/>
                <w:sz w:val="21"/>
                <w:szCs w:val="21"/>
              </w:rPr>
              <w:t>商品混凝土的生产</w:t>
            </w:r>
          </w:p>
        </w:tc>
        <w:tc>
          <w:tcPr>
            <w:tcW w:w="2006" w:type="dxa"/>
            <w:gridSpan w:val="3"/>
            <w:vAlign w:val="center"/>
          </w:tcPr>
          <w:p>
            <w:pPr>
              <w:spacing w:line="400" w:lineRule="exact"/>
              <w:rPr>
                <w:rFonts w:ascii="宋体" w:hAnsi="宋体"/>
                <w:b/>
                <w:color w:val="000000"/>
                <w:szCs w:val="21"/>
              </w:rPr>
            </w:pPr>
            <w:r>
              <w:rPr>
                <w:b w:val="0"/>
                <w:bCs w:val="0"/>
                <w:sz w:val="21"/>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商品混凝土的生产所涉及场所的相关环境管理活动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商品混凝土的生产所涉及场所的相关职业健康安全管理活动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8"/>
        <w:gridCol w:w="1719"/>
        <w:gridCol w:w="618"/>
        <w:gridCol w:w="1918"/>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noWrap w:val="0"/>
            <w:tcMar>
              <w:left w:w="57" w:type="dxa"/>
              <w:right w:w="57" w:type="dxa"/>
            </w:tcMar>
            <w:vAlign w:val="top"/>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498" w:type="dxa"/>
            <w:shd w:val="clear" w:color="auto" w:fill="F3F3F3"/>
            <w:noWrap w:val="0"/>
            <w:tcMar>
              <w:left w:w="57" w:type="dxa"/>
              <w:right w:w="57" w:type="dxa"/>
            </w:tcMar>
            <w:vAlign w:val="top"/>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19" w:type="dxa"/>
            <w:shd w:val="clear" w:color="auto" w:fill="F3F3F3"/>
            <w:noWrap w:val="0"/>
            <w:tcMar>
              <w:left w:w="57" w:type="dxa"/>
              <w:right w:w="57" w:type="dxa"/>
            </w:tcMar>
            <w:vAlign w:val="top"/>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noWrap w:val="0"/>
            <w:tcMar>
              <w:left w:w="57" w:type="dxa"/>
              <w:right w:w="57" w:type="dxa"/>
            </w:tcMar>
            <w:vAlign w:val="top"/>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918" w:type="dxa"/>
            <w:shd w:val="clear" w:color="auto" w:fill="F3F3F3"/>
            <w:noWrap w:val="0"/>
            <w:tcMar>
              <w:left w:w="57" w:type="dxa"/>
              <w:right w:w="57" w:type="dxa"/>
            </w:tcMar>
            <w:vAlign w:val="top"/>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824" w:type="dxa"/>
            <w:shd w:val="clear" w:color="auto" w:fill="F3F3F3"/>
            <w:noWrap w:val="0"/>
            <w:tcMar>
              <w:left w:w="57" w:type="dxa"/>
              <w:right w:w="57" w:type="dxa"/>
            </w:tcMar>
            <w:vAlign w:val="top"/>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noWrap w:val="0"/>
            <w:tcMar>
              <w:left w:w="57" w:type="dxa"/>
              <w:right w:w="57" w:type="dxa"/>
            </w:tcMar>
            <w:vAlign w:val="top"/>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shd w:val="clear" w:color="auto" w:fill="auto"/>
            <w:noWrap w:val="0"/>
            <w:vAlign w:val="center"/>
          </w:tcPr>
          <w:p>
            <w:pPr>
              <w:spacing w:before="40" w:after="40"/>
              <w:rPr>
                <w:rFonts w:eastAsia="黑体"/>
                <w:szCs w:val="21"/>
                <w:lang w:eastAsia="ja-JP"/>
              </w:rPr>
            </w:pPr>
            <w:r>
              <w:rPr>
                <w:rFonts w:eastAsia="黑体"/>
                <w:szCs w:val="21"/>
                <w:lang w:eastAsia="ja-JP"/>
              </w:rPr>
              <w:t>01</w:t>
            </w:r>
          </w:p>
        </w:tc>
        <w:tc>
          <w:tcPr>
            <w:tcW w:w="2498" w:type="dxa"/>
            <w:shd w:val="clear" w:color="auto" w:fill="auto"/>
            <w:noWrap w:val="0"/>
            <w:vAlign w:val="top"/>
          </w:tcPr>
          <w:p>
            <w:pPr>
              <w:spacing w:before="40" w:after="40"/>
              <w:rPr>
                <w:rFonts w:hint="eastAsia" w:eastAsia="黑体"/>
                <w:szCs w:val="21"/>
                <w:lang w:val="de-DE" w:eastAsia="ja-JP"/>
              </w:rPr>
            </w:pPr>
            <w:r>
              <w:rPr>
                <w:rFonts w:hint="eastAsia" w:eastAsia="黑体"/>
                <w:szCs w:val="21"/>
                <w:lang w:val="de-DE" w:eastAsia="ja-JP"/>
              </w:rPr>
              <w:t>石家庄市利民预制构件有限公司</w:t>
            </w:r>
          </w:p>
          <w:p>
            <w:pPr>
              <w:spacing w:before="40" w:after="40"/>
              <w:rPr>
                <w:rFonts w:eastAsia="黑体"/>
                <w:szCs w:val="21"/>
                <w:lang w:val="de-DE" w:eastAsia="ja-JP"/>
              </w:rPr>
            </w:pPr>
            <w:r>
              <w:rPr>
                <w:rFonts w:hint="eastAsia" w:eastAsia="黑体"/>
                <w:szCs w:val="21"/>
                <w:lang w:val="de-DE" w:eastAsia="ja-JP"/>
              </w:rPr>
              <w:t>石家庄市正定新区西上泽社区诚峰热电厂对过</w:t>
            </w:r>
          </w:p>
        </w:tc>
        <w:tc>
          <w:tcPr>
            <w:tcW w:w="1719" w:type="dxa"/>
            <w:shd w:val="clear" w:color="auto" w:fill="auto"/>
            <w:noWrap w:val="0"/>
            <w:vAlign w:val="top"/>
          </w:tcPr>
          <w:p>
            <w:pPr>
              <w:spacing w:before="40" w:after="40"/>
              <w:rPr>
                <w:rFonts w:eastAsia="黑体"/>
                <w:szCs w:val="21"/>
                <w:lang w:val="de-DE" w:eastAsia="ja-JP"/>
              </w:rPr>
            </w:pPr>
            <w:r>
              <w:rPr>
                <w:rFonts w:hint="eastAsia" w:eastAsia="黑体"/>
                <w:szCs w:val="21"/>
                <w:lang w:val="de-DE" w:eastAsia="ja-JP"/>
              </w:rPr>
              <w:t>石家庄市正定新区西上泽社区诚峰热电厂对过</w:t>
            </w:r>
          </w:p>
        </w:tc>
        <w:tc>
          <w:tcPr>
            <w:tcW w:w="618" w:type="dxa"/>
            <w:shd w:val="clear" w:color="auto" w:fill="auto"/>
            <w:noWrap w:val="0"/>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18" w:type="dxa"/>
            <w:shd w:val="clear" w:color="auto" w:fill="auto"/>
            <w:noWrap w:val="0"/>
            <w:vAlign w:val="center"/>
          </w:tcPr>
          <w:p>
            <w:pPr>
              <w:pStyle w:val="20"/>
              <w:rPr>
                <w:rFonts w:hint="eastAsia" w:eastAsia="黑体" w:cs="Arial"/>
                <w:sz w:val="21"/>
                <w:szCs w:val="21"/>
                <w:lang w:val="en-US" w:eastAsia="zh-CN"/>
              </w:rPr>
            </w:pPr>
            <w:r>
              <w:rPr>
                <w:sz w:val="21"/>
                <w:szCs w:val="21"/>
              </w:rPr>
              <w:t>商品混凝土的生产</w:t>
            </w:r>
          </w:p>
        </w:tc>
        <w:tc>
          <w:tcPr>
            <w:tcW w:w="1824" w:type="dxa"/>
            <w:shd w:val="clear" w:color="auto" w:fill="auto"/>
            <w:noWrap w:val="0"/>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GB/T45001</w:t>
            </w:r>
            <w:r>
              <w:rPr>
                <w:rFonts w:hint="eastAsia" w:ascii="宋体" w:hAnsi="宋体"/>
                <w:b/>
                <w:color w:val="000000"/>
                <w:szCs w:val="21"/>
                <w:lang w:val="en-US" w:eastAsia="zh-CN"/>
              </w:rPr>
              <w:t>-2020</w:t>
            </w:r>
          </w:p>
        </w:tc>
        <w:tc>
          <w:tcPr>
            <w:tcW w:w="668" w:type="dxa"/>
            <w:shd w:val="clear" w:color="auto" w:fill="FFFFFF"/>
            <w:noWrap w:val="0"/>
            <w:vAlign w:val="top"/>
          </w:tcPr>
          <w:p>
            <w:pPr>
              <w:rPr>
                <w:rFonts w:eastAsia="黑体"/>
                <w:szCs w:val="21"/>
              </w:rPr>
            </w:pPr>
            <w:r>
              <w:rPr>
                <w:rFonts w:hint="default" w:ascii="Arial" w:hAnsi="Arial" w:eastAsia="黑体" w:cs="Arial"/>
                <w:szCs w:val="21"/>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5</w:t>
            </w:r>
            <w:r>
              <w:rPr>
                <w:rFonts w:hint="eastAsia"/>
                <w:color w:val="000000"/>
                <w:szCs w:val="18"/>
              </w:rPr>
              <w:t>月</w:t>
            </w:r>
            <w:r>
              <w:rPr>
                <w:rFonts w:hint="eastAsia"/>
                <w:color w:val="000000"/>
                <w:szCs w:val="18"/>
                <w:lang w:val="en-US" w:eastAsia="zh-CN"/>
              </w:rPr>
              <w:t>8</w:t>
            </w:r>
            <w:r>
              <w:rPr>
                <w:rFonts w:hint="eastAsia"/>
                <w:color w:val="000000"/>
                <w:szCs w:val="18"/>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15</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26</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配料、搅拌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w:t>
            </w:r>
            <w:r>
              <w:rPr>
                <w:rFonts w:hint="eastAsia" w:ascii="宋体"/>
                <w:b/>
                <w:color w:val="000000"/>
                <w:szCs w:val="21"/>
                <w:lang w:val="en-US" w:eastAsia="zh-CN"/>
              </w:rPr>
              <w:t>6</w:t>
            </w:r>
            <w:r>
              <w:rPr>
                <w:rFonts w:hint="eastAsia" w:ascii="宋体"/>
                <w:b/>
                <w:color w:val="000000"/>
                <w:szCs w:val="21"/>
              </w:rPr>
              <w:t>-</w:t>
            </w:r>
            <w:bookmarkEnd w:id="35"/>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rPr>
                <w:sz w:val="20"/>
              </w:rPr>
              <w:t>资质范围内预拌混凝土的生产</w:t>
            </w:r>
          </w:p>
        </w:tc>
        <w:tc>
          <w:tcPr>
            <w:tcW w:w="1541" w:type="dxa"/>
            <w:vAlign w:val="center"/>
          </w:tcPr>
          <w:p>
            <w:pPr>
              <w:spacing w:line="400" w:lineRule="exact"/>
              <w:rPr>
                <w:rFonts w:ascii="宋体" w:hAnsi="宋体"/>
                <w:b/>
                <w:color w:val="000000"/>
                <w:szCs w:val="21"/>
              </w:rPr>
            </w:pPr>
            <w:r>
              <w:rPr>
                <w:sz w:val="20"/>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sz w:val="20"/>
              </w:rPr>
              <w:t>资质范围内预拌混凝土的生产所涉及场所的相关环境管理活动</w:t>
            </w:r>
          </w:p>
        </w:tc>
        <w:tc>
          <w:tcPr>
            <w:tcW w:w="1541" w:type="dxa"/>
            <w:vAlign w:val="center"/>
          </w:tcPr>
          <w:p>
            <w:pPr>
              <w:spacing w:line="400" w:lineRule="exact"/>
              <w:rPr>
                <w:rFonts w:ascii="宋体" w:hAnsi="宋体"/>
                <w:b/>
                <w:color w:val="000000"/>
                <w:szCs w:val="21"/>
              </w:rPr>
            </w:pPr>
            <w:r>
              <w:rPr>
                <w:sz w:val="20"/>
              </w:rP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sz w:val="20"/>
              </w:rPr>
              <w:t>资质范围内预拌混凝土的生产所涉及场所的相关职业健康安全管理活动</w:t>
            </w:r>
          </w:p>
        </w:tc>
        <w:tc>
          <w:tcPr>
            <w:tcW w:w="1541" w:type="dxa"/>
            <w:vAlign w:val="center"/>
          </w:tcPr>
          <w:p>
            <w:pPr>
              <w:spacing w:line="400" w:lineRule="exact"/>
              <w:rPr>
                <w:rFonts w:ascii="宋体" w:hAnsi="宋体"/>
                <w:b/>
                <w:color w:val="000000"/>
                <w:szCs w:val="21"/>
              </w:rPr>
            </w:pPr>
            <w:r>
              <w:rPr>
                <w:sz w:val="20"/>
              </w:rPr>
              <w:t>16.02.03</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1653540</wp:posOffset>
            </wp:positionH>
            <wp:positionV relativeFrom="paragraph">
              <wp:posOffset>160020</wp:posOffset>
            </wp:positionV>
            <wp:extent cx="1096645" cy="52832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96645" cy="5283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481" w:firstLineChars="26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2022.5.30</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b w:val="0"/>
                <w:bCs w:val="0"/>
                <w:sz w:val="21"/>
                <w:szCs w:val="21"/>
              </w:rPr>
              <w:t>李青</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424180</wp:posOffset>
                  </wp:positionH>
                  <wp:positionV relativeFrom="paragraph">
                    <wp:posOffset>27305</wp:posOffset>
                  </wp:positionV>
                  <wp:extent cx="1096645" cy="52832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6645" cy="52832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30</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36A6344C"/>
    <w:rsid w:val="62B56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5386</Words>
  <Characters>6062</Characters>
  <Lines>67</Lines>
  <Paragraphs>18</Paragraphs>
  <TotalTime>34</TotalTime>
  <ScaleCrop>false</ScaleCrop>
  <LinksUpToDate>false</LinksUpToDate>
  <CharactersWithSpaces>6118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2022-06-10T01:55:58Z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