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0458-2021-Q-2022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临海市宏业混凝土有限公司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临海市宏业混凝土有限公司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临海市古城街道许墅村</w:t>
            </w:r>
            <w:bookmarkEnd w:id="6"/>
          </w:p>
        </w:tc>
        <w:tc>
          <w:tcPr>
            <w:tcW w:w="1242" w:type="dxa"/>
            <w:vMerge w:val="restart"/>
            <w:vAlign w:val="center"/>
          </w:tcPr>
          <w:p>
            <w:r>
              <w:rPr>
                <w:rFonts w:hint="eastAsia"/>
              </w:rPr>
              <w:t>邮编</w:t>
            </w:r>
          </w:p>
        </w:tc>
        <w:tc>
          <w:tcPr>
            <w:tcW w:w="1771" w:type="dxa"/>
          </w:tcPr>
          <w:p>
            <w:bookmarkStart w:id="7" w:name="注册邮编"/>
            <w:r>
              <w:t>317000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临海市古城街道许墅村</w:t>
            </w:r>
            <w:bookmarkEnd w:id="8"/>
          </w:p>
        </w:tc>
        <w:tc>
          <w:tcPr>
            <w:tcW w:w="1242" w:type="dxa"/>
            <w:vMerge w:val="continue"/>
            <w:vAlign w:val="center"/>
          </w:tcPr>
          <w:p/>
        </w:tc>
        <w:tc>
          <w:tcPr>
            <w:tcW w:w="1771" w:type="dxa"/>
          </w:tcPr>
          <w:p>
            <w:bookmarkStart w:id="9" w:name="办公邮编"/>
            <w:r>
              <w:t>317000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顾玲娅</w:t>
            </w:r>
            <w:bookmarkEnd w:id="10"/>
          </w:p>
        </w:tc>
        <w:tc>
          <w:tcPr>
            <w:tcW w:w="1313" w:type="dxa"/>
            <w:vAlign w:val="center"/>
          </w:tcPr>
          <w:p>
            <w:r>
              <w:rPr>
                <w:rFonts w:hint="eastAsia"/>
              </w:rPr>
              <w:t>电话.</w:t>
            </w:r>
          </w:p>
        </w:tc>
        <w:tc>
          <w:tcPr>
            <w:tcW w:w="2180" w:type="dxa"/>
            <w:vAlign w:val="center"/>
          </w:tcPr>
          <w:p>
            <w:bookmarkStart w:id="11" w:name="联系人电话"/>
            <w:r>
              <w:t>13173720867</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徐辉</w:t>
            </w:r>
            <w:bookmarkEnd w:id="13"/>
          </w:p>
        </w:tc>
        <w:tc>
          <w:tcPr>
            <w:tcW w:w="1313" w:type="dxa"/>
            <w:vAlign w:val="center"/>
          </w:tcPr>
          <w:p>
            <w:r>
              <w:rPr>
                <w:rFonts w:hint="eastAsia"/>
              </w:rPr>
              <w:t>管理者代表</w:t>
            </w:r>
          </w:p>
        </w:tc>
        <w:tc>
          <w:tcPr>
            <w:tcW w:w="2180" w:type="dxa"/>
          </w:tcPr>
          <w:p>
            <w:bookmarkStart w:id="14" w:name="管理者代表"/>
            <w:r>
              <w:t>顾玲娅</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r>
              <w:rPr>
                <w:rFonts w:hint="eastAsia"/>
              </w:rPr>
              <w:t>受审核组织的班次：</w:t>
            </w:r>
            <w:r>
              <w:rPr>
                <w:rFonts w:hint="eastAsia"/>
              </w:rPr>
              <w:sym w:font="Wingdings 2" w:char="0052"/>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r>
              <w:rPr>
                <w:rFonts w:hint="eastAsia"/>
                <w:b/>
                <w:sz w:val="20"/>
                <w:lang w:val="en-US" w:eastAsia="zh-CN"/>
              </w:rPr>
              <w:t>碎石黄沙混拌集料---水泥、外加剂、粉煤灰、水混全搅拌---检验---运输交付</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2022年05月30日 上午至2022年05月30日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预拌商品混凝土的生产</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16.02.03</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sym w:font="Wingdings 2" w:char="0052"/>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1</w:t>
            </w:r>
            <w:r>
              <w:rPr>
                <w:rFonts w:hint="eastAsia"/>
              </w:rPr>
              <w:t>月</w:t>
            </w:r>
            <w:r>
              <w:rPr>
                <w:rFonts w:hint="eastAsia"/>
                <w:lang w:val="en-US" w:eastAsia="zh-CN"/>
              </w:rPr>
              <w:t>12</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5</w:t>
            </w:r>
            <w:r>
              <w:rPr>
                <w:rFonts w:hint="eastAsia"/>
              </w:rPr>
              <w:t>月</w:t>
            </w:r>
            <w:r>
              <w:rPr>
                <w:rFonts w:hint="eastAsia"/>
                <w:lang w:val="en-US" w:eastAsia="zh-CN"/>
              </w:rPr>
              <w:t>19</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2024</w:t>
            </w:r>
            <w:r>
              <w:rPr>
                <w:rFonts w:hint="eastAsia"/>
              </w:rPr>
              <w:t>年</w:t>
            </w:r>
            <w:r>
              <w:rPr>
                <w:rFonts w:hint="eastAsia"/>
                <w:lang w:val="en-US" w:eastAsia="zh-CN"/>
              </w:rPr>
              <w:t>5</w:t>
            </w:r>
            <w:r>
              <w:rPr>
                <w:rFonts w:hint="eastAsia"/>
              </w:rPr>
              <w:t>月</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cs="Times New Roman" w:asciiTheme="minorEastAsia" w:hAnsiTheme="minorEastAsia" w:eastAsiaTheme="minorEastAsia"/>
                <w:sz w:val="20"/>
                <w:lang w:val="en-US" w:eastAsia="zh-CN"/>
              </w:rPr>
            </w:pPr>
            <w:r>
              <w:rPr>
                <w:rFonts w:cs="Times New Roman" w:asciiTheme="minorEastAsia" w:hAnsiTheme="minorEastAsia" w:eastAsiaTheme="minorEastAsia"/>
                <w:sz w:val="20"/>
              </w:rPr>
              <w:t>临海市宏业混凝土有限公司</w:t>
            </w:r>
            <w:r>
              <w:rPr>
                <w:rFonts w:hint="eastAsia" w:cs="Times New Roman" w:asciiTheme="minorEastAsia" w:hAnsiTheme="minorEastAsia" w:eastAsiaTheme="minorEastAsia"/>
                <w:sz w:val="20"/>
                <w:lang w:val="en-US" w:eastAsia="zh-CN"/>
              </w:rPr>
              <w:t>/</w:t>
            </w:r>
            <w:r>
              <w:rPr>
                <w:rFonts w:cs="Times New Roman" w:asciiTheme="minorEastAsia" w:hAnsiTheme="minorEastAsia" w:eastAsiaTheme="minorEastAsia"/>
                <w:sz w:val="20"/>
              </w:rPr>
              <w:t>临海市古城街道许墅村</w:t>
            </w:r>
          </w:p>
        </w:tc>
        <w:tc>
          <w:tcPr>
            <w:tcW w:w="2267" w:type="dxa"/>
          </w:tcPr>
          <w:p>
            <w:pPr>
              <w:rPr>
                <w:rFonts w:cs="Times New Roman" w:asciiTheme="minorEastAsia" w:hAnsiTheme="minorEastAsia" w:eastAsiaTheme="minorEastAsia"/>
                <w:sz w:val="20"/>
                <w:lang w:val="de-DE" w:eastAsia="ja-JP"/>
              </w:rPr>
            </w:pPr>
            <w:r>
              <w:rPr>
                <w:rFonts w:cs="Times New Roman" w:asciiTheme="minorEastAsia" w:hAnsiTheme="minorEastAsia" w:eastAsiaTheme="minorEastAsia"/>
                <w:sz w:val="20"/>
              </w:rPr>
              <w:t>临海市古城街道许墅村</w:t>
            </w:r>
          </w:p>
        </w:tc>
        <w:tc>
          <w:tcPr>
            <w:tcW w:w="571" w:type="dxa"/>
            <w:vAlign w:val="center"/>
          </w:tcPr>
          <w:p>
            <w:pPr>
              <w:rPr>
                <w:rFonts w:hint="default" w:eastAsia="宋体"/>
                <w:lang w:val="en-US" w:eastAsia="zh-CN"/>
              </w:rPr>
            </w:pPr>
            <w:r>
              <w:rPr>
                <w:rFonts w:hint="eastAsia"/>
                <w:lang w:val="en-US" w:eastAsia="zh-CN"/>
              </w:rPr>
              <w:t>65人</w:t>
            </w:r>
          </w:p>
        </w:tc>
        <w:tc>
          <w:tcPr>
            <w:tcW w:w="2803" w:type="dxa"/>
            <w:vAlign w:val="center"/>
          </w:tcPr>
          <w:p>
            <w:pPr>
              <w:rPr>
                <w:lang w:eastAsia="ja-JP"/>
              </w:rPr>
            </w:pPr>
            <w:r>
              <w:rPr>
                <w:sz w:val="20"/>
              </w:rPr>
              <w:t>预拌商品混凝土的生产</w:t>
            </w:r>
          </w:p>
        </w:tc>
        <w:tc>
          <w:tcPr>
            <w:tcW w:w="669" w:type="dxa"/>
            <w:vAlign w:val="center"/>
          </w:tcPr>
          <w:p>
            <w:pPr>
              <w:rPr>
                <w:rFonts w:hint="default" w:eastAsia="宋体"/>
                <w:lang w:val="en-US" w:eastAsia="zh-CN"/>
              </w:rPr>
            </w:pPr>
            <w:r>
              <w:rPr>
                <w:rFonts w:hint="eastAsia"/>
                <w:lang w:val="en-US" w:eastAsia="zh-CN"/>
              </w:rPr>
              <w:t>GB/T19001-2016</w:t>
            </w:r>
          </w:p>
        </w:tc>
        <w:tc>
          <w:tcPr>
            <w:tcW w:w="668" w:type="dxa"/>
            <w:shd w:val="clear" w:color="auto" w:fill="FFFFFF"/>
          </w:tcPr>
          <w:p>
            <w:r>
              <w:rPr>
                <w:rFonts w:hint="eastAsia"/>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林兵</w:t>
            </w:r>
          </w:p>
        </w:tc>
        <w:tc>
          <w:tcPr>
            <w:tcW w:w="1089" w:type="dxa"/>
            <w:vAlign w:val="center"/>
          </w:tcPr>
          <w:p>
            <w:r>
              <w:t>组长</w:t>
            </w:r>
          </w:p>
        </w:tc>
        <w:tc>
          <w:tcPr>
            <w:tcW w:w="711" w:type="dxa"/>
            <w:vAlign w:val="center"/>
          </w:tcPr>
          <w:p>
            <w:r>
              <w:t>男</w:t>
            </w:r>
          </w:p>
        </w:tc>
        <w:tc>
          <w:tcPr>
            <w:tcW w:w="3870" w:type="dxa"/>
            <w:vAlign w:val="center"/>
          </w:tcPr>
          <w:p>
            <w:r>
              <w:t>2021-N1QMS-505</w:t>
            </w:r>
            <w:bookmarkStart w:id="32" w:name="_GoBack"/>
            <w:bookmarkEnd w:id="32"/>
            <w:r>
              <w:t>9501</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盛贝</w:t>
            </w:r>
          </w:p>
        </w:tc>
        <w:tc>
          <w:tcPr>
            <w:tcW w:w="1089" w:type="dxa"/>
            <w:vAlign w:val="center"/>
          </w:tcPr>
          <w:p>
            <w:r>
              <w:t>组员</w:t>
            </w:r>
          </w:p>
        </w:tc>
        <w:tc>
          <w:tcPr>
            <w:tcW w:w="711" w:type="dxa"/>
            <w:vAlign w:val="center"/>
          </w:tcPr>
          <w:p>
            <w:r>
              <w:t>男</w:t>
            </w:r>
          </w:p>
        </w:tc>
        <w:tc>
          <w:tcPr>
            <w:tcW w:w="3870" w:type="dxa"/>
            <w:vAlign w:val="center"/>
          </w:tcPr>
          <w:p>
            <w:r>
              <w:t>ISC-JSZJ-298</w:t>
            </w:r>
          </w:p>
          <w:p>
            <w:r>
              <w:t>浙江铭隆装饰设计工程有限公司</w:t>
            </w:r>
          </w:p>
        </w:tc>
        <w:tc>
          <w:tcPr>
            <w:tcW w:w="2179" w:type="dxa"/>
            <w:vAlign w:val="center"/>
          </w:tcPr>
          <w:p>
            <w:r>
              <w:t>16.02.03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t>盛贝</w:t>
            </w:r>
          </w:p>
        </w:tc>
        <w:tc>
          <w:tcPr>
            <w:tcW w:w="1089" w:type="dxa"/>
            <w:vAlign w:val="center"/>
          </w:tcPr>
          <w:p>
            <w:pPr>
              <w:rPr>
                <w:rFonts w:hint="default" w:eastAsia="宋体"/>
                <w:lang w:val="en-US" w:eastAsia="zh-CN"/>
              </w:rPr>
            </w:pPr>
            <w:r>
              <w:rPr>
                <w:rFonts w:hint="eastAsia"/>
                <w:lang w:val="en-US" w:eastAsia="zh-CN"/>
              </w:rPr>
              <w:t>技术专家</w:t>
            </w:r>
          </w:p>
        </w:tc>
        <w:tc>
          <w:tcPr>
            <w:tcW w:w="711" w:type="dxa"/>
            <w:vAlign w:val="center"/>
          </w:tcPr>
          <w:p>
            <w:pPr>
              <w:rPr>
                <w:rFonts w:hint="eastAsia" w:eastAsia="宋体"/>
                <w:lang w:val="en-US" w:eastAsia="zh-CN"/>
              </w:rPr>
            </w:pPr>
            <w:r>
              <w:rPr>
                <w:rFonts w:hint="eastAsia"/>
                <w:lang w:val="en-US" w:eastAsia="zh-CN"/>
              </w:rPr>
              <w:t>男</w:t>
            </w:r>
          </w:p>
        </w:tc>
        <w:tc>
          <w:tcPr>
            <w:tcW w:w="3870" w:type="dxa"/>
            <w:vAlign w:val="center"/>
          </w:tcPr>
          <w:p>
            <w:r>
              <w:t>浙江铭隆装饰设计工程有限公司</w:t>
            </w:r>
          </w:p>
        </w:tc>
        <w:tc>
          <w:tcPr>
            <w:tcW w:w="2179" w:type="dxa"/>
            <w:vAlign w:val="center"/>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pPr>
        <w:rPr>
          <w:rFonts w:hint="eastAsia"/>
        </w:rPr>
      </w:pPr>
      <w:r>
        <w:rPr>
          <w:rFonts w:hint="eastAsia"/>
        </w:rPr>
        <w:t>未开具不符合报告。</w:t>
      </w:r>
    </w:p>
    <w:p>
      <w:pPr>
        <w:pStyle w:val="2"/>
      </w:pPr>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0</w:t>
            </w:r>
          </w:p>
        </w:tc>
        <w:tc>
          <w:tcPr>
            <w:tcW w:w="1717" w:type="dxa"/>
          </w:tcP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sym w:font="Wingdings 2" w:char="00A3"/>
            </w:r>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eastAsia="宋体"/>
                <w:lang w:eastAsia="zh-CN"/>
              </w:rPr>
              <w:drawing>
                <wp:anchor distT="0" distB="0" distL="114300" distR="114300" simplePos="0" relativeHeight="251661312" behindDoc="1" locked="0" layoutInCell="1" allowOverlap="1">
                  <wp:simplePos x="0" y="0"/>
                  <wp:positionH relativeFrom="column">
                    <wp:posOffset>274320</wp:posOffset>
                  </wp:positionH>
                  <wp:positionV relativeFrom="paragraph">
                    <wp:posOffset>330835</wp:posOffset>
                  </wp:positionV>
                  <wp:extent cx="883920" cy="639445"/>
                  <wp:effectExtent l="0" t="0" r="0" b="635"/>
                  <wp:wrapNone/>
                  <wp:docPr id="1" name="图片 1"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林兵签名"/>
                          <pic:cNvPicPr>
                            <a:picLocks noChangeAspect="1"/>
                          </pic:cNvPicPr>
                        </pic:nvPicPr>
                        <pic:blipFill>
                          <a:blip r:embed="rId6"/>
                          <a:stretch>
                            <a:fillRect/>
                          </a:stretch>
                        </pic:blipFill>
                        <pic:spPr>
                          <a:xfrm>
                            <a:off x="0" y="0"/>
                            <a:ext cx="883920" cy="639445"/>
                          </a:xfrm>
                          <a:prstGeom prst="rect">
                            <a:avLst/>
                          </a:prstGeom>
                        </pic:spPr>
                      </pic:pic>
                    </a:graphicData>
                  </a:graphic>
                </wp:anchor>
              </w:drawing>
            </w: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pPr>
              <w:rPr>
                <w:rFonts w:hint="eastAsia" w:eastAsia="宋体"/>
                <w:lang w:eastAsia="zh-CN"/>
              </w:rPr>
            </w:pP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2022年5月30日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市场拓展□设备能力</w:t>
            </w:r>
            <w:r>
              <w:rPr>
                <w:rFonts w:hint="eastAsia"/>
              </w:rPr>
              <w:sym w:font="Wingdings 2" w:char="0052"/>
            </w:r>
            <w:r>
              <w:rPr>
                <w:rFonts w:hint="eastAsia"/>
              </w:rPr>
              <w:t>人员能力□检测水平</w:t>
            </w:r>
            <w:r>
              <w:rPr>
                <w:rFonts w:hint="eastAsia"/>
              </w:rPr>
              <w:sym w:font="Wingdings 2" w:char="0052"/>
            </w:r>
            <w:r>
              <w:rPr>
                <w:rFonts w:hint="eastAsia"/>
              </w:rPr>
              <w:t>合同评审</w:t>
            </w:r>
            <w:r>
              <w:rPr>
                <w:rFonts w:hint="eastAsia"/>
              </w:rPr>
              <w:sym w:font="Wingdings 2" w:char="0052"/>
            </w:r>
            <w:r>
              <w:rPr>
                <w:rFonts w:hint="eastAsia"/>
              </w:rPr>
              <w:t>知识保密</w:t>
            </w:r>
          </w:p>
          <w:p>
            <w:pPr>
              <w:shd w:val="clear" w:color="auto" w:fill="C7DAF1" w:themeFill="text2" w:themeFillTint="32"/>
              <w:spacing w:before="40" w:after="40"/>
            </w:pPr>
            <w:r>
              <w:rPr>
                <w:rFonts w:hint="eastAsia"/>
              </w:rPr>
              <w:sym w:font="Wingdings 2" w:char="0052"/>
            </w:r>
            <w:r>
              <w:rPr>
                <w:rFonts w:hint="eastAsia"/>
              </w:rPr>
              <w:t>新产品设计开发□原材料采购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w:t>
            </w:r>
            <w:r>
              <w:rPr>
                <w:rFonts w:hint="eastAsia"/>
              </w:rPr>
              <w:sym w:font="Wingdings 2" w:char="0052"/>
            </w:r>
            <w:r>
              <w:rPr>
                <w:rFonts w:hint="eastAsia"/>
              </w:rPr>
              <w:t>原材料订制□生产/服务过程</w:t>
            </w:r>
            <w:r>
              <w:rPr>
                <w:rFonts w:hint="eastAsia"/>
              </w:rPr>
              <w:sym w:font="Wingdings 2" w:char="0052"/>
            </w:r>
            <w:r>
              <w:rPr>
                <w:rFonts w:hint="eastAsia"/>
              </w:rPr>
              <w:t>检验检测□产品运输</w:t>
            </w:r>
            <w:r>
              <w:rPr>
                <w:rFonts w:hint="eastAsia"/>
              </w:rPr>
              <w:sym w:font="Wingdings 2" w:char="0052"/>
            </w:r>
            <w:r>
              <w:rPr>
                <w:rFonts w:hint="eastAsia"/>
              </w:rPr>
              <w:t>设备维修</w:t>
            </w:r>
          </w:p>
          <w:p>
            <w:pPr>
              <w:shd w:val="clear" w:color="auto" w:fill="C7DAF1" w:themeFill="text2" w:themeFillTint="32"/>
              <w:spacing w:before="40" w:after="40"/>
              <w:rPr>
                <w:rFonts w:hint="default" w:eastAsia="宋体"/>
                <w:lang w:val="en-US" w:eastAsia="zh-CN"/>
              </w:rPr>
            </w:pPr>
            <w:r>
              <w:rPr>
                <w:rFonts w:hint="eastAsia"/>
              </w:rPr>
              <w:t>□人员培训</w:t>
            </w:r>
            <w:r>
              <w:rPr>
                <w:rFonts w:hint="eastAsia"/>
              </w:rPr>
              <w:sym w:font="Wingdings 2" w:char="00A3"/>
            </w:r>
            <w:r>
              <w:rPr>
                <w:rFonts w:hint="eastAsia"/>
              </w:rPr>
              <w:t>其他</w:t>
            </w:r>
            <w:r>
              <w:rPr>
                <w:rFonts w:hint="eastAsia"/>
                <w:lang w:val="en-US" w:eastAsia="zh-CN"/>
              </w:rPr>
              <w:t xml:space="preserve">:； </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最高管理者制定了</w:t>
            </w:r>
            <w:r>
              <w:rPr>
                <w:rFonts w:hint="eastAsia" w:ascii="Times New Roman" w:hAnsi="Times New Roman" w:eastAsia="宋体" w:cs="Times New Roman"/>
              </w:rPr>
              <w:t>文件化的管理体系方针：企业以人为本、质量以严为纲、以市场为导向、以顾客为中心</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试验部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rPr>
                <w:rFonts w:hint="eastAsia" w:ascii="Times New Roman" w:hAnsi="Times New Roman" w:eastAsia="宋体" w:cs="Times New Roman"/>
                <w:lang w:val="en-GB"/>
              </w:rPr>
            </w:pPr>
            <w:r>
              <w:rPr>
                <w:rFonts w:hint="eastAsia" w:ascii="Times New Roman" w:hAnsi="Times New Roman" w:eastAsia="宋体" w:cs="Times New Roman"/>
                <w:lang w:val="en-GB"/>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C7DAF1" w:themeFill="text2" w:themeFillTint="32"/>
                    <w:rPr>
                      <w:rFonts w:hint="eastAsia" w:ascii="Times New Roman" w:hAnsi="Times New Roman" w:eastAsia="宋体" w:cs="Times New Roman"/>
                      <w:lang w:val="en-GB"/>
                    </w:rPr>
                  </w:pPr>
                  <w:r>
                    <w:rPr>
                      <w:rFonts w:hint="eastAsia" w:ascii="Times New Roman" w:hAnsi="Times New Roman" w:eastAsia="宋体" w:cs="Times New Roman"/>
                      <w:lang w:val="en-GB"/>
                    </w:rPr>
                    <w:t>主要的风险或机遇描述</w:t>
                  </w:r>
                </w:p>
              </w:tc>
              <w:tc>
                <w:tcPr>
                  <w:tcW w:w="3965" w:type="dxa"/>
                </w:tcPr>
                <w:p>
                  <w:pPr>
                    <w:shd w:val="clear" w:color="auto" w:fill="C7DAF1" w:themeFill="text2" w:themeFillTint="32"/>
                    <w:rPr>
                      <w:rFonts w:hint="eastAsia" w:ascii="Times New Roman" w:hAnsi="Times New Roman" w:eastAsia="宋体" w:cs="Times New Roman"/>
                      <w:lang w:val="en-GB"/>
                    </w:rPr>
                  </w:pPr>
                  <w:r>
                    <w:rPr>
                      <w:rFonts w:hint="eastAsia" w:ascii="Times New Roman" w:hAnsi="Times New Roman" w:eastAsia="宋体" w:cs="Times New Roman"/>
                      <w:lang w:val="en-GB"/>
                    </w:rPr>
                    <w:t>应对措施</w:t>
                  </w:r>
                </w:p>
              </w:tc>
              <w:tc>
                <w:tcPr>
                  <w:tcW w:w="1717" w:type="dxa"/>
                </w:tcPr>
                <w:p>
                  <w:pPr>
                    <w:shd w:val="clear" w:color="auto" w:fill="C7DAF1" w:themeFill="text2" w:themeFillTint="32"/>
                    <w:rPr>
                      <w:rFonts w:hint="eastAsia" w:ascii="Times New Roman" w:hAnsi="Times New Roman" w:eastAsia="宋体" w:cs="Times New Roman"/>
                      <w:lang w:val="en-GB"/>
                    </w:rPr>
                  </w:pPr>
                  <w:r>
                    <w:rPr>
                      <w:rFonts w:hint="eastAsia" w:ascii="Times New Roman" w:hAnsi="Times New Roman" w:eastAsia="宋体" w:cs="Times New Roman"/>
                      <w:lang w:val="en-GB"/>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GB"/>
                    </w:rPr>
                    <w:t>法律法规环境政策机遇</w:t>
                  </w:r>
                </w:p>
              </w:tc>
              <w:tc>
                <w:tcPr>
                  <w:tcW w:w="3965" w:type="dxa"/>
                  <w:vAlign w:val="top"/>
                </w:tcPr>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GB"/>
                    </w:rPr>
                    <w:t>对于新的法规注意学习，依法执行法律法规</w:t>
                  </w:r>
                </w:p>
              </w:tc>
              <w:tc>
                <w:tcPr>
                  <w:tcW w:w="1717" w:type="dxa"/>
                  <w:vAlign w:val="top"/>
                </w:tcPr>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GB"/>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GB"/>
                    </w:rPr>
                    <w:t>考核机制执行不到位</w:t>
                  </w:r>
                </w:p>
              </w:tc>
              <w:tc>
                <w:tcPr>
                  <w:tcW w:w="3965" w:type="dxa"/>
                  <w:vAlign w:val="top"/>
                </w:tcPr>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GB"/>
                    </w:rPr>
                    <w:t>公司建立绩效考核制度并不断完善，使其发挥正常作用</w:t>
                  </w:r>
                </w:p>
              </w:tc>
              <w:tc>
                <w:tcPr>
                  <w:tcW w:w="1717" w:type="dxa"/>
                  <w:vAlign w:val="top"/>
                </w:tcPr>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GB"/>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GB"/>
                    </w:rPr>
                    <w:t>公司人力资源配置与业务增长需求不匹配</w:t>
                  </w:r>
                </w:p>
              </w:tc>
              <w:tc>
                <w:tcPr>
                  <w:tcW w:w="3965" w:type="dxa"/>
                  <w:vAlign w:val="top"/>
                </w:tcPr>
                <w:p>
                  <w:pPr>
                    <w:shd w:val="clear" w:color="auto" w:fill="C7DAF1" w:themeFill="text2" w:themeFillTint="32"/>
                    <w:rPr>
                      <w:rFonts w:hint="eastAsia" w:ascii="Times New Roman" w:hAnsi="Times New Roman" w:eastAsia="宋体" w:cs="Times New Roman"/>
                      <w:lang w:val="en-GB"/>
                    </w:rPr>
                  </w:pPr>
                  <w:r>
                    <w:rPr>
                      <w:rFonts w:hint="eastAsia" w:ascii="Times New Roman" w:hAnsi="Times New Roman" w:eastAsia="宋体" w:cs="Times New Roman"/>
                      <w:lang w:val="en-GB"/>
                    </w:rPr>
                    <w:t>1.提高员工工资待遇，改善工作环境，降低员工流失率；</w:t>
                  </w:r>
                </w:p>
                <w:p>
                  <w:pPr>
                    <w:shd w:val="clear" w:color="auto" w:fill="C7DAF1" w:themeFill="text2" w:themeFillTint="32"/>
                    <w:rPr>
                      <w:rFonts w:hint="eastAsia" w:ascii="Times New Roman" w:hAnsi="Times New Roman" w:eastAsia="宋体" w:cs="Times New Roman"/>
                      <w:lang w:val="en-GB"/>
                    </w:rPr>
                  </w:pPr>
                  <w:r>
                    <w:rPr>
                      <w:rFonts w:hint="eastAsia" w:ascii="Times New Roman" w:hAnsi="Times New Roman" w:eastAsia="宋体" w:cs="Times New Roman"/>
                      <w:lang w:val="en-GB"/>
                    </w:rPr>
                    <w:t>2.培训和宣传公司企业文件和价值观，培训员工一岗多能</w:t>
                  </w:r>
                </w:p>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GB"/>
                    </w:rPr>
                    <w:t>3.与招聘中介、劳务市场保持密切联系，寻求协助以应急</w:t>
                  </w:r>
                </w:p>
              </w:tc>
              <w:tc>
                <w:tcPr>
                  <w:tcW w:w="1717" w:type="dxa"/>
                  <w:vAlign w:val="top"/>
                </w:tcPr>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GB"/>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GB"/>
                    </w:rPr>
                    <w:t>合规风险</w:t>
                  </w:r>
                </w:p>
              </w:tc>
              <w:tc>
                <w:tcPr>
                  <w:tcW w:w="3965" w:type="dxa"/>
                  <w:vAlign w:val="top"/>
                </w:tcPr>
                <w:p>
                  <w:pPr>
                    <w:shd w:val="clear" w:color="auto" w:fill="C7DAF1" w:themeFill="text2" w:themeFillTint="32"/>
                    <w:rPr>
                      <w:rFonts w:hint="eastAsia" w:ascii="Times New Roman" w:hAnsi="Times New Roman" w:eastAsia="宋体" w:cs="Times New Roman"/>
                      <w:lang w:val="en-GB"/>
                    </w:rPr>
                  </w:pPr>
                  <w:r>
                    <w:rPr>
                      <w:rFonts w:hint="eastAsia" w:ascii="Times New Roman" w:hAnsi="Times New Roman" w:eastAsia="宋体" w:cs="Times New Roman"/>
                      <w:lang w:val="en-GB"/>
                    </w:rPr>
                    <w:t>1</w:t>
                  </w:r>
                  <w:r>
                    <w:rPr>
                      <w:rFonts w:hint="eastAsia" w:ascii="Times New Roman" w:hAnsi="Times New Roman" w:eastAsia="宋体" w:cs="Times New Roman"/>
                      <w:lang w:val="en-US" w:eastAsia="zh-CN"/>
                    </w:rPr>
                    <w:t>.加强内部质量控制</w:t>
                  </w:r>
                  <w:r>
                    <w:rPr>
                      <w:rFonts w:hint="eastAsia" w:ascii="Times New Roman" w:hAnsi="Times New Roman" w:eastAsia="宋体" w:cs="Times New Roman"/>
                      <w:lang w:val="en-GB"/>
                    </w:rPr>
                    <w:t>。</w:t>
                  </w:r>
                </w:p>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GB"/>
                    </w:rPr>
                    <w:t>2 聘请法律顾问并及时商定解决方案以应对紧急情况</w:t>
                  </w:r>
                </w:p>
              </w:tc>
              <w:tc>
                <w:tcPr>
                  <w:tcW w:w="1717" w:type="dxa"/>
                  <w:vAlign w:val="top"/>
                </w:tcPr>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GB"/>
                    </w:rPr>
                    <w:t>有效</w:t>
                  </w:r>
                </w:p>
              </w:tc>
            </w:tr>
          </w:tbl>
          <w:p>
            <w:pPr>
              <w:shd w:val="clear" w:color="auto" w:fill="C7DAF1" w:themeFill="text2" w:themeFillTint="32"/>
              <w:rPr>
                <w:rFonts w:hint="eastAsia" w:ascii="Times New Roman" w:hAnsi="Times New Roman" w:eastAsia="宋体" w:cs="Times New Roman"/>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成品一次检验合格率99.5%</w:t>
                  </w:r>
                </w:p>
                <w:p>
                  <w:pPr>
                    <w:shd w:val="clear" w:color="auto" w:fill="C7DAF1" w:themeFill="text2" w:themeFillTint="32"/>
                    <w:rPr>
                      <w:rFonts w:hint="eastAsia" w:ascii="Times New Roman" w:hAnsi="Times New Roman" w:eastAsia="宋体" w:cs="Times New Roman"/>
                      <w:lang w:val="en-US" w:eastAsia="zh-CN"/>
                    </w:rPr>
                  </w:pPr>
                </w:p>
              </w:tc>
              <w:tc>
                <w:tcPr>
                  <w:tcW w:w="3136" w:type="dxa"/>
                  <w:shd w:val="clear" w:color="auto" w:fill="auto"/>
                  <w:vAlign w:val="center"/>
                </w:tcPr>
                <w:p>
                  <w:pPr>
                    <w:shd w:val="clear" w:color="auto" w:fill="C7DAF1" w:themeFill="text2" w:themeFillTint="32"/>
                    <w:rPr>
                      <w:rFonts w:hint="eastAsia" w:ascii="Times New Roman" w:hAnsi="Times New Roman" w:eastAsia="宋体" w:cs="Times New Roman"/>
                      <w:lang w:val="en-GB" w:eastAsia="zh-CN"/>
                    </w:rPr>
                  </w:pPr>
                  <w:r>
                    <w:rPr>
                      <w:rFonts w:hint="eastAsia" w:ascii="Times New Roman" w:hAnsi="Times New Roman" w:eastAsia="宋体" w:cs="Times New Roman"/>
                      <w:lang w:val="en-US" w:eastAsia="zh-CN"/>
                    </w:rPr>
                    <w:t>每年调查一次</w:t>
                  </w: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试验部</w:t>
                  </w:r>
                </w:p>
              </w:tc>
              <w:tc>
                <w:tcPr>
                  <w:tcW w:w="1774" w:type="dxa"/>
                  <w:shd w:val="clear" w:color="auto" w:fill="auto"/>
                  <w:vAlign w:val="center"/>
                </w:tcPr>
                <w:p>
                  <w:pPr>
                    <w:shd w:val="clear" w:color="auto" w:fill="C7DAF1" w:themeFill="text2" w:themeFillTint="32"/>
                    <w:rPr>
                      <w:rFonts w:hint="eastAsia" w:ascii="Times New Roman" w:hAnsi="Times New Roman" w:eastAsia="宋体" w:cs="Times New Roman"/>
                      <w:lang w:val="en-GB" w:eastAsia="zh-CN"/>
                    </w:rPr>
                  </w:pPr>
                  <w:r>
                    <w:rPr>
                      <w:rFonts w:hint="eastAsia" w:ascii="Times New Roman" w:hAnsi="Times New Roman" w:eastAsia="宋体" w:cs="Times New Roman"/>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顾客满意率≥90%</w:t>
                  </w:r>
                </w:p>
              </w:tc>
              <w:tc>
                <w:tcPr>
                  <w:tcW w:w="3136" w:type="dxa"/>
                  <w:shd w:val="clear" w:color="auto" w:fill="auto"/>
                  <w:vAlign w:val="center"/>
                </w:tcPr>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每年调查一次</w:t>
                  </w: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业务部</w:t>
                  </w:r>
                </w:p>
              </w:tc>
              <w:tc>
                <w:tcPr>
                  <w:tcW w:w="1774" w:type="dxa"/>
                  <w:shd w:val="clear" w:color="auto" w:fill="auto"/>
                  <w:vAlign w:val="center"/>
                </w:tcPr>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96.5%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交货及时率100%</w:t>
                  </w:r>
                </w:p>
              </w:tc>
              <w:tc>
                <w:tcPr>
                  <w:tcW w:w="3136" w:type="dxa"/>
                  <w:shd w:val="clear" w:color="auto" w:fill="auto"/>
                  <w:vAlign w:val="center"/>
                </w:tcPr>
                <w:p>
                  <w:pPr>
                    <w:shd w:val="clear" w:color="auto" w:fill="C7DAF1" w:themeFill="text2" w:themeFillTint="32"/>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第批次</w:t>
                  </w: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业务部</w:t>
                  </w:r>
                </w:p>
              </w:tc>
              <w:tc>
                <w:tcPr>
                  <w:tcW w:w="1774" w:type="dxa"/>
                  <w:shd w:val="clear" w:color="auto" w:fill="auto"/>
                  <w:vAlign w:val="center"/>
                </w:tcPr>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sym w:font="Wingdings 2" w:char="0052"/>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sym w:font="Wingdings 2" w:char="00A3"/>
            </w:r>
            <w:r>
              <w:rPr>
                <w:rFonts w:hint="eastAsia"/>
              </w:rPr>
              <w:t>组织结构变更</w:t>
            </w:r>
            <w:r>
              <w:rPr>
                <w:rFonts w:hint="eastAsia"/>
              </w:rPr>
              <w:sym w:font="Wingdings 2" w:char="00A3"/>
            </w:r>
            <w:r>
              <w:rPr>
                <w:rFonts w:hint="eastAsia"/>
              </w:rPr>
              <w:t>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建筑面积平方米；生产车间</w:t>
            </w:r>
            <w:r>
              <w:rPr>
                <w:rFonts w:hint="eastAsia"/>
                <w:lang w:val="en-US" w:eastAsia="zh-CN"/>
              </w:rPr>
              <w:t>2</w:t>
            </w:r>
            <w:r>
              <w:rPr>
                <w:rFonts w:hint="eastAsia"/>
              </w:rPr>
              <w:t>个；库房个；实验室</w:t>
            </w:r>
            <w:r>
              <w:rPr>
                <w:rFonts w:hint="eastAsia"/>
                <w:lang w:val="en-US" w:eastAsia="zh-CN"/>
              </w:rPr>
              <w:t>1</w:t>
            </w:r>
            <w:r>
              <w:rPr>
                <w:rFonts w:hint="eastAsia"/>
              </w:rPr>
              <w:t>个；</w:t>
            </w:r>
          </w:p>
          <w:p>
            <w:pPr>
              <w:shd w:val="clear" w:color="auto" w:fill="C7DAF1" w:themeFill="text2" w:themeFillTint="32"/>
              <w:rPr>
                <w:rFonts w:hint="default" w:eastAsia="宋体"/>
                <w:u w:val="single"/>
                <w:lang w:val="en-US" w:eastAsia="zh-CN"/>
              </w:rPr>
            </w:pPr>
            <w:r>
              <w:rPr>
                <w:rFonts w:hint="eastAsia"/>
              </w:rPr>
              <w:t>主要生产设备有：</w:t>
            </w:r>
            <w:r>
              <w:rPr>
                <w:rFonts w:hint="eastAsia"/>
                <w:lang w:val="en-US" w:eastAsia="zh-CN"/>
              </w:rPr>
              <w:t>搅拌</w:t>
            </w:r>
            <w:r>
              <w:rPr>
                <w:rFonts w:hint="eastAsia"/>
                <w:u w:val="single"/>
                <w:lang w:val="en-US" w:eastAsia="zh-CN"/>
              </w:rPr>
              <w:t>生产线A和B,混凝土运输车辆</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428"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default"/>
                <w:u w:val="single"/>
                <w:lang w:val="en-US"/>
              </w:rPr>
            </w:pPr>
            <w:r>
              <w:rPr>
                <w:rFonts w:hint="eastAsia"/>
              </w:rPr>
              <w:t>组织的</w:t>
            </w:r>
            <w:r>
              <w:t>监视和测量资源</w:t>
            </w:r>
            <w:r>
              <w:rPr>
                <w:rFonts w:hint="eastAsia"/>
              </w:rPr>
              <w:t>：</w:t>
            </w:r>
            <w:r>
              <w:rPr>
                <w:rFonts w:hint="eastAsia" w:ascii="Wingdings" w:hAnsi="Wingdings"/>
                <w:lang w:val="en-US" w:eastAsia="zh-CN"/>
              </w:rPr>
              <w:t>相关</w:t>
            </w:r>
            <w:r>
              <w:rPr>
                <w:rFonts w:hint="eastAsia"/>
                <w:lang w:val="en-US" w:eastAsia="zh-CN"/>
              </w:rPr>
              <w:t>服务过程主要涉及时间计量等方面信息，无校准要求。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sym w:font="Wingdings 2" w:char="0052"/>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sym w:font="Wingdings 2" w:char="0052"/>
            </w:r>
            <w:r>
              <w:rPr>
                <w:rFonts w:hint="eastAsia"/>
              </w:rPr>
              <w:t>管理软件</w:t>
            </w:r>
            <w:r>
              <w:rPr>
                <w:rFonts w:hint="eastAsia" w:ascii="Wingdings" w:hAnsi="Wingdings"/>
                <w:lang w:eastAsia="zh-CN"/>
              </w:rPr>
              <w:sym w:font="Wingdings 2" w:char="0052"/>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sym w:font="Wingdings 2" w:char="0052"/>
            </w:r>
            <w:r>
              <w:rPr>
                <w:rFonts w:hint="eastAsia"/>
              </w:rPr>
              <w:t>学术交流信息</w:t>
            </w:r>
            <w:r>
              <w:rPr>
                <w:rFonts w:hint="eastAsia" w:ascii="Wingdings" w:hAnsi="Wingdings"/>
                <w:lang w:eastAsia="zh-CN"/>
              </w:rPr>
              <w:sym w:font="Wingdings 2" w:char="0052"/>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sym w:font="Wingdings 2" w:char="0052"/>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sym w:font="Wingdings 2" w:char="0052"/>
            </w:r>
            <w:r>
              <w:rPr>
                <w:rFonts w:hint="eastAsia"/>
              </w:rPr>
              <w:t>接收准则</w:t>
            </w:r>
            <w:r>
              <w:rPr>
                <w:rFonts w:hint="eastAsia" w:ascii="Wingdings" w:hAnsi="Wingdings"/>
                <w:lang w:eastAsia="zh-CN"/>
              </w:rPr>
              <w:sym w:font="Wingdings 2" w:char="0052"/>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sym w:font="Wingdings 2" w:char="00A3"/>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sym w:font="Wingdings 2" w:char="0052"/>
            </w:r>
            <w:r>
              <w:rPr>
                <w:rFonts w:hint="eastAsia"/>
              </w:rPr>
              <w:t>顾客要求</w:t>
            </w:r>
            <w:r>
              <w:rPr>
                <w:rFonts w:hint="eastAsia" w:ascii="Wingdings" w:hAnsi="Wingdings"/>
                <w:lang w:eastAsia="zh-CN"/>
              </w:rPr>
              <w:sym w:font="Wingdings 2" w:char="0052"/>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restart"/>
                </w:tcPr>
                <w:p>
                  <w:pPr>
                    <w:shd w:val="clear" w:color="auto" w:fill="C7DAF1" w:themeFill="text2" w:themeFillTint="32"/>
                    <w:jc w:val="left"/>
                    <w:rPr>
                      <w:rFonts w:hint="default" w:eastAsia="宋体"/>
                      <w:lang w:val="en-US" w:eastAsia="zh-CN"/>
                    </w:rPr>
                  </w:pPr>
                  <w:r>
                    <w:rPr>
                      <w:rFonts w:hint="eastAsia"/>
                      <w:lang w:val="en-US" w:eastAsia="zh-CN"/>
                    </w:rPr>
                    <w:t>混凝土生产</w:t>
                  </w:r>
                </w:p>
              </w:tc>
              <w:tc>
                <w:tcPr>
                  <w:tcW w:w="3665" w:type="dxa"/>
                </w:tcPr>
                <w:p>
                  <w:pPr>
                    <w:shd w:val="clear" w:color="auto" w:fill="C7DAF1" w:themeFill="text2" w:themeFillTint="32"/>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混合配料过程</w:t>
                  </w:r>
                </w:p>
              </w:tc>
              <w:tc>
                <w:tcPr>
                  <w:tcW w:w="3265" w:type="dxa"/>
                </w:tcPr>
                <w:p>
                  <w:pPr>
                    <w:shd w:val="clear" w:color="auto" w:fill="C7DAF1" w:themeFill="text2" w:themeFillTint="32"/>
                    <w:jc w:val="left"/>
                  </w:pPr>
                  <w:r>
                    <w:rPr>
                      <w:rFonts w:hint="eastAsia" w:ascii="Times New Roman" w:hAnsi="Times New Roman" w:eastAsia="宋体" w:cs="Times New Roman"/>
                      <w:lang w:val="en-US" w:eastAsia="zh-CN"/>
                    </w:rPr>
                    <w:t>总量不得大于500kg/m</w:t>
                  </w:r>
                  <w:r>
                    <w:rPr>
                      <w:rFonts w:hint="eastAsia" w:ascii="Times New Roman" w:hAnsi="Times New Roman" w:eastAsia="宋体" w:cs="Times New Roman"/>
                      <w:vertAlign w:val="superscript"/>
                      <w:lang w:val="en-US" w:eastAsia="zh-CN"/>
                    </w:rPr>
                    <w:t>3</w:t>
                  </w:r>
                  <w:r>
                    <w:rPr>
                      <w:rFonts w:hint="eastAsia" w:ascii="Times New Roman" w:hAnsi="Times New Roman" w:eastAsia="宋体" w:cs="Times New Roman"/>
                      <w:lang w:val="en-US" w:eastAsia="zh-CN"/>
                    </w:rPr>
                    <w:t>，水胶比不得大于0.35，掺合料的最大掺量不超过水泥质量的25%；拌和物最小含气量控制在3％~4%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continue"/>
                  <w:tcBorders/>
                </w:tcPr>
                <w:p>
                  <w:pPr>
                    <w:shd w:val="clear" w:color="auto" w:fill="C7DAF1" w:themeFill="text2" w:themeFillTint="32"/>
                    <w:jc w:val="left"/>
                  </w:pPr>
                </w:p>
              </w:tc>
              <w:tc>
                <w:tcPr>
                  <w:tcW w:w="3665" w:type="dxa"/>
                </w:tcPr>
                <w:p>
                  <w:pPr>
                    <w:shd w:val="clear" w:color="auto" w:fill="C7DAF1" w:themeFill="text2" w:themeFillTint="32"/>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搅拌过程</w:t>
                  </w:r>
                </w:p>
              </w:tc>
              <w:tc>
                <w:tcPr>
                  <w:tcW w:w="3265" w:type="dxa"/>
                </w:tcPr>
                <w:p>
                  <w:pPr>
                    <w:shd w:val="clear" w:color="auto" w:fill="C7DAF1" w:themeFill="text2" w:themeFillTint="32"/>
                    <w:jc w:val="lef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搅拌时间不少于2min，一般情况下也不超过3min，冬期施工时，水温加热时不能超过80℃</w:t>
                  </w:r>
                </w:p>
              </w:tc>
            </w:tr>
          </w:tbl>
          <w:p>
            <w:pPr>
              <w:shd w:val="clear" w:color="auto" w:fill="C7DAF1" w:themeFill="text2" w:themeFillTint="32"/>
              <w:jc w:val="left"/>
            </w:pPr>
            <w:r>
              <w:rPr>
                <w:rFonts w:hint="eastAsia"/>
              </w:rPr>
              <w:t>需要确认的过程：，</w:t>
            </w:r>
          </w:p>
          <w:p>
            <w:pPr>
              <w:shd w:val="clear" w:color="auto" w:fill="C7DAF1" w:themeFill="text2" w:themeFillTint="32"/>
              <w:jc w:val="left"/>
            </w:pPr>
            <w:r>
              <w:rPr>
                <w:rFonts w:hint="eastAsia" w:ascii="Wingdings" w:hAnsi="Wingdings"/>
                <w:lang w:eastAsia="zh-CN"/>
              </w:rPr>
              <w:sym w:font="Wingdings 2" w:char="0052"/>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标签</w:t>
            </w:r>
            <w:r>
              <w:rPr>
                <w:rFonts w:hint="eastAsia" w:ascii="Wingdings" w:hAnsi="Wingdings"/>
                <w:lang w:eastAsia="zh-CN"/>
              </w:rPr>
              <w:sym w:font="Wingdings 2" w:char="0052"/>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sym w:font="Wingdings 2" w:char="0052"/>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sym w:font="Wingdings 2" w:char="0052"/>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sym w:font="Wingdings 2" w:char="0052"/>
            </w:r>
            <w:r>
              <w:rPr>
                <w:rFonts w:hint="eastAsia"/>
              </w:rPr>
              <w:t>道歉</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sym w:font="Wingdings 2" w:char="0052"/>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sym w:font="Wingdings 2" w:char="0052"/>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sym w:font="Wingdings 2" w:char="0052"/>
            </w:r>
            <w:r>
              <w:rPr>
                <w:rFonts w:hint="eastAsia"/>
              </w:rPr>
              <w:t>过程检验</w:t>
            </w:r>
            <w:r>
              <w:rPr>
                <w:rFonts w:hint="eastAsia" w:ascii="Wingdings" w:hAnsi="Wingdings"/>
                <w:lang w:eastAsia="zh-CN"/>
              </w:rPr>
              <w:sym w:font="Wingdings 2" w:char="0052"/>
            </w:r>
            <w:r>
              <w:rPr>
                <w:rFonts w:hint="eastAsia"/>
              </w:rPr>
              <w:t>最终检验</w:t>
            </w:r>
            <w:r>
              <w:rPr>
                <w:rFonts w:hint="eastAsia" w:ascii="Wingdings" w:hAnsi="Wingdings"/>
                <w:lang w:eastAsia="zh-CN"/>
              </w:rPr>
              <w:sym w:font="Wingdings 2" w:char="0052"/>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r>
              <w:rPr>
                <w:rFonts w:hint="eastAsia"/>
                <w:lang w:val="en-US" w:eastAsia="zh-CN"/>
              </w:rPr>
              <w:t>报告编号：GCD202100248，检验机构：金华市计量质量科学研究院</w:t>
            </w:r>
            <w:r>
              <w:rPr>
                <w:rFonts w:hint="eastAsia"/>
              </w:rPr>
              <w:t>。</w:t>
            </w:r>
          </w:p>
          <w:p>
            <w:pPr>
              <w:shd w:val="clear" w:color="auto" w:fill="C7DAF1" w:themeFill="text2" w:themeFillTint="32"/>
            </w:pPr>
            <w:r>
              <w:rPr>
                <w:rFonts w:hint="eastAsia"/>
              </w:rPr>
              <w:t>产品检验/服务放行：</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sym w:font="Wingdings 2" w:char="0052"/>
            </w:r>
            <w:r>
              <w:rPr>
                <w:rFonts w:hint="eastAsia"/>
              </w:rPr>
              <w:t>顾客对交付产品或服务的反馈</w:t>
            </w:r>
            <w:r>
              <w:rPr>
                <w:rFonts w:hint="eastAsia" w:ascii="Wingdings" w:hAnsi="Wingdings"/>
                <w:lang w:eastAsia="zh-CN"/>
              </w:rPr>
              <w:sym w:font="Wingdings 2" w:char="0052"/>
            </w:r>
            <w:r>
              <w:rPr>
                <w:rFonts w:hint="eastAsia"/>
              </w:rPr>
              <w:t>顾客座谈</w:t>
            </w:r>
            <w:r>
              <w:rPr>
                <w:rFonts w:hint="eastAsia" w:ascii="Wingdings" w:hAnsi="Wingdings"/>
                <w:lang w:eastAsia="zh-CN"/>
              </w:rPr>
              <w:sym w:font="Wingdings 2" w:char="0052"/>
            </w:r>
            <w:r>
              <w:rPr>
                <w:rFonts w:hint="eastAsia"/>
              </w:rPr>
              <w:t>市场占有率分析</w:t>
            </w:r>
            <w:r>
              <w:rPr>
                <w:rFonts w:hint="eastAsia" w:ascii="Wingdings" w:hAnsi="Wingdings"/>
                <w:lang w:eastAsia="zh-CN"/>
              </w:rPr>
              <w:sym w:font="Wingdings 2" w:char="0052"/>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16~17</w:t>
            </w:r>
            <w:r>
              <w:rPr>
                <w:rFonts w:hint="eastAsia"/>
              </w:rPr>
              <w:t>日实施了质量管理体系内部审核，对质量管理体系的符合性和有效性进行了审核。内审发现的项不符合在本次审核前已完成整改。在公司内完成的这些审核是可信的。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5</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sym w:font="Wingdings 2" w:char="0052"/>
            </w:r>
            <w:r>
              <w:rPr>
                <w:rFonts w:hint="eastAsia"/>
              </w:rPr>
              <w:t>不合格产品/服务</w:t>
            </w:r>
            <w:r>
              <w:rPr>
                <w:rFonts w:hint="eastAsia" w:ascii="Wingdings" w:hAnsi="Wingdings"/>
                <w:lang w:eastAsia="zh-CN"/>
              </w:rPr>
              <w:sym w:font="Wingdings 2" w:char="0052"/>
            </w:r>
            <w:r>
              <w:rPr>
                <w:rFonts w:hint="eastAsia"/>
              </w:rPr>
              <w:t>自我验证的结果</w:t>
            </w:r>
            <w:r>
              <w:rPr>
                <w:rFonts w:hint="eastAsia" w:ascii="Wingdings" w:hAnsi="Wingdings"/>
                <w:lang w:eastAsia="zh-CN"/>
              </w:rPr>
              <w:sym w:font="Wingdings 2" w:char="0052"/>
            </w:r>
            <w:r>
              <w:rPr>
                <w:rFonts w:hint="eastAsia"/>
              </w:rPr>
              <w:t>顾客投诉</w:t>
            </w:r>
            <w:r>
              <w:rPr>
                <w:rFonts w:hint="eastAsia" w:ascii="Wingdings" w:hAnsi="Wingdings"/>
                <w:lang w:eastAsia="zh-CN"/>
              </w:rPr>
              <w:sym w:font="Wingdings 2" w:char="0052"/>
            </w:r>
            <w:r>
              <w:rPr>
                <w:rFonts w:hint="eastAsia"/>
              </w:rPr>
              <w:t>顾客满意调查</w:t>
            </w:r>
          </w:p>
          <w:p>
            <w:pPr>
              <w:shd w:val="clear" w:color="auto" w:fill="C7DAF1" w:themeFill="text2"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49"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49"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49" w:type="dxa"/>
            <w:vAlign w:val="center"/>
          </w:tcPr>
          <w:p>
            <w:pPr>
              <w:shd w:val="clear" w:color="auto" w:fill="C7DAF1" w:themeFill="text2" w:themeFillTint="32"/>
              <w:rPr>
                <w:lang w:eastAsia="ja-JP"/>
              </w:rPr>
            </w:pPr>
            <w: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49"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49"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49"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Y0YTE0MGY2ZDNlMWRjNTY0YzZjODI1ZjhiNzdmYzQifQ=="/>
  </w:docVars>
  <w:rsids>
    <w:rsidRoot w:val="00000000"/>
    <w:rsid w:val="1F60462D"/>
    <w:rsid w:val="55CE3F18"/>
    <w:rsid w:val="58FF45B5"/>
    <w:rsid w:val="5DC640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18511</Words>
  <Characters>19196</Characters>
  <Lines>150</Lines>
  <Paragraphs>42</Paragraphs>
  <TotalTime>2</TotalTime>
  <ScaleCrop>false</ScaleCrop>
  <LinksUpToDate>false</LinksUpToDate>
  <CharactersWithSpaces>19317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森林</cp:lastModifiedBy>
  <cp:lastPrinted>2019-05-13T03:19:00Z</cp:lastPrinted>
  <dcterms:modified xsi:type="dcterms:W3CDTF">2022-05-30T05:37:15Z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2052-11.1.0.11744</vt:lpwstr>
  </property>
</Properties>
</file>