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033"/>
        <w:gridCol w:w="1173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过程与活动、</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抽样计划</w:t>
            </w:r>
          </w:p>
        </w:tc>
        <w:tc>
          <w:tcPr>
            <w:tcW w:w="103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涉及</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w:t>
            </w:r>
          </w:p>
        </w:tc>
        <w:tc>
          <w:tcPr>
            <w:tcW w:w="117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受审核部门：</w:t>
            </w:r>
            <w:r>
              <w:rPr>
                <w:rFonts w:hint="eastAsia" w:ascii="宋体" w:hAnsi="宋体" w:cs="宋体"/>
                <w:color w:val="auto"/>
                <w:sz w:val="24"/>
                <w:szCs w:val="24"/>
                <w:lang w:val="en-US" w:eastAsia="zh-CN"/>
              </w:rPr>
              <w:t>管理层</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主管领导：</w:t>
            </w:r>
            <w:r>
              <w:rPr>
                <w:rFonts w:hint="eastAsia" w:ascii="宋体" w:hAnsi="宋体" w:cs="宋体"/>
                <w:color w:val="auto"/>
                <w:sz w:val="24"/>
                <w:szCs w:val="24"/>
                <w:lang w:val="en-US" w:eastAsia="zh-CN"/>
              </w:rPr>
              <w:t>王亚东</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陪同人员：</w:t>
            </w:r>
            <w:r>
              <w:rPr>
                <w:rFonts w:hint="eastAsia" w:ascii="宋体" w:hAnsi="宋体" w:cs="宋体"/>
                <w:color w:val="auto"/>
                <w:sz w:val="24"/>
                <w:szCs w:val="24"/>
                <w:lang w:val="en-US" w:eastAsia="zh-CN"/>
              </w:rPr>
              <w:t>刘盼贞</w:t>
            </w:r>
          </w:p>
        </w:tc>
        <w:tc>
          <w:tcPr>
            <w:tcW w:w="45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p>
        </w:tc>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p>
        </w:tc>
        <w:tc>
          <w:tcPr>
            <w:tcW w:w="117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审核员：</w:t>
            </w:r>
            <w:r>
              <w:rPr>
                <w:rFonts w:hint="eastAsia" w:ascii="宋体" w:hAnsi="宋体" w:cs="宋体"/>
                <w:color w:val="auto"/>
                <w:sz w:val="24"/>
                <w:szCs w:val="24"/>
                <w:lang w:val="en-US" w:eastAsia="zh-CN"/>
              </w:rPr>
              <w:t xml:space="preserve">杨园               </w:t>
            </w:r>
            <w:r>
              <w:rPr>
                <w:rFonts w:hint="eastAsia" w:ascii="宋体" w:hAnsi="宋体" w:eastAsia="宋体" w:cs="宋体"/>
                <w:color w:val="auto"/>
                <w:sz w:val="24"/>
                <w:szCs w:val="24"/>
              </w:rPr>
              <w:t>审核时间：</w:t>
            </w:r>
            <w:r>
              <w:rPr>
                <w:rFonts w:hint="eastAsia" w:ascii="宋体" w:hAnsi="宋体" w:cs="宋体"/>
                <w:color w:val="auto"/>
                <w:sz w:val="24"/>
                <w:szCs w:val="24"/>
                <w:lang w:val="en-US" w:eastAsia="zh-CN"/>
              </w:rPr>
              <w:t>2022年5月27日</w:t>
            </w:r>
          </w:p>
        </w:tc>
        <w:tc>
          <w:tcPr>
            <w:tcW w:w="457"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p>
        </w:tc>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p>
        </w:tc>
        <w:tc>
          <w:tcPr>
            <w:tcW w:w="117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color w:val="auto"/>
                <w:sz w:val="24"/>
                <w:szCs w:val="24"/>
              </w:rPr>
            </w:pPr>
            <w:r>
              <w:rPr>
                <w:rFonts w:hint="eastAsia"/>
                <w:color w:val="auto"/>
                <w:sz w:val="24"/>
                <w:szCs w:val="24"/>
              </w:rPr>
              <w:t>审核条款：</w:t>
            </w:r>
            <w:r>
              <w:rPr>
                <w:rFonts w:hint="default" w:ascii="宋体" w:hAnsi="宋体" w:eastAsia="宋体" w:cs="宋体"/>
                <w:color w:val="auto"/>
                <w:sz w:val="24"/>
                <w:szCs w:val="24"/>
                <w:lang w:val="en-US" w:eastAsia="zh-CN"/>
              </w:rPr>
              <w:t>QEO</w:t>
            </w:r>
            <w:r>
              <w:rPr>
                <w:rFonts w:hint="default" w:ascii="宋体" w:hAnsi="宋体" w:eastAsia="宋体" w:cs="宋体"/>
                <w:color w:val="auto"/>
                <w:sz w:val="24"/>
                <w:szCs w:val="24"/>
              </w:rPr>
              <w:t>4.1/4.2/4.3/4.4/5.1/5.2/5.3/6.1/6.2/7.1/9.3/10.1/10.3/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Q</w:t>
            </w:r>
            <w:r>
              <w:rPr>
                <w:rFonts w:hint="default" w:ascii="宋体" w:hAnsi="宋体" w:eastAsia="宋体" w:cs="宋体"/>
                <w:color w:val="auto"/>
                <w:sz w:val="24"/>
                <w:szCs w:val="24"/>
              </w:rPr>
              <w:t>6.3</w:t>
            </w:r>
          </w:p>
        </w:tc>
        <w:tc>
          <w:tcPr>
            <w:tcW w:w="457"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理解组织及其环境</w:t>
            </w:r>
          </w:p>
        </w:tc>
        <w:tc>
          <w:tcPr>
            <w:tcW w:w="1033"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QEO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color w:val="auto"/>
                <w:sz w:val="24"/>
                <w:szCs w:val="24"/>
              </w:rPr>
              <w:t>4.1</w:t>
            </w:r>
          </w:p>
        </w:tc>
        <w:tc>
          <w:tcPr>
            <w:tcW w:w="11737" w:type="dxa"/>
            <w:noWrap w:val="0"/>
            <w:vAlign w:val="top"/>
          </w:tcPr>
          <w:p>
            <w:pPr>
              <w:rPr>
                <w:rFonts w:hint="eastAsia" w:ascii="Times New Roman" w:hAnsi="Times New Roman" w:eastAsia="宋体" w:cs="Times New Roman"/>
                <w:sz w:val="24"/>
                <w:szCs w:val="24"/>
              </w:rPr>
            </w:pPr>
            <w:bookmarkStart w:id="0" w:name="组织名称"/>
            <w:r>
              <w:rPr>
                <w:rFonts w:hint="eastAsia" w:ascii="Times New Roman" w:hAnsi="Times New Roman" w:eastAsia="宋体" w:cs="Times New Roman"/>
                <w:sz w:val="24"/>
                <w:szCs w:val="24"/>
                <w:lang w:val="en-US" w:eastAsia="zh-CN"/>
              </w:rPr>
              <w:t>●企业基本情况：查看了企业营业执照，无变化，</w:t>
            </w:r>
            <w:bookmarkEnd w:id="0"/>
            <w:r>
              <w:rPr>
                <w:rFonts w:hint="eastAsia" w:ascii="Times New Roman" w:hAnsi="Times New Roman" w:eastAsia="宋体" w:cs="Times New Roman"/>
                <w:sz w:val="24"/>
                <w:szCs w:val="24"/>
                <w:lang w:val="en-US" w:eastAsia="zh-CN"/>
              </w:rPr>
              <w:t>企业位于</w:t>
            </w:r>
            <w:r>
              <w:rPr>
                <w:rFonts w:hint="eastAsia" w:ascii="Times New Roman" w:hAnsi="Times New Roman" w:eastAsia="宋体" w:cs="Times New Roman"/>
                <w:sz w:val="24"/>
                <w:szCs w:val="24"/>
              </w:rPr>
              <w:t>石家庄经济技术开发区创业路20号</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租赁藁城区经济技术区厂房，</w:t>
            </w:r>
            <w:r>
              <w:rPr>
                <w:rFonts w:hint="eastAsia" w:ascii="Times New Roman" w:hAnsi="Times New Roman" w:eastAsia="宋体" w:cs="Times New Roman"/>
                <w:sz w:val="24"/>
                <w:szCs w:val="24"/>
              </w:rPr>
              <w:t>专业</w:t>
            </w:r>
            <w:r>
              <w:rPr>
                <w:rFonts w:hint="eastAsia" w:ascii="Times New Roman" w:hAnsi="Times New Roman" w:eastAsia="宋体" w:cs="Times New Roman"/>
                <w:sz w:val="24"/>
                <w:szCs w:val="24"/>
                <w:lang w:val="en-US" w:eastAsia="zh-CN"/>
              </w:rPr>
              <w:t>从事</w:t>
            </w:r>
            <w:r>
              <w:rPr>
                <w:rFonts w:hint="eastAsia" w:ascii="Times New Roman" w:hAnsi="Times New Roman" w:eastAsia="宋体" w:cs="Times New Roman"/>
                <w:sz w:val="24"/>
                <w:szCs w:val="24"/>
              </w:rPr>
              <w:t>钛滤芯、不锈钢滤芯的生产及销售。公司技术力量雄厚，为用户提供上千多种电力产品</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生产能力年产18万支，面对客户主要是成套设备生产商</w:t>
            </w:r>
            <w:r>
              <w:rPr>
                <w:rFonts w:hint="eastAsia" w:ascii="Times New Roman" w:hAnsi="Times New Roman" w:eastAsia="宋体" w:cs="Times New Roman"/>
                <w:sz w:val="24"/>
                <w:szCs w:val="24"/>
              </w:rPr>
              <w:t>。</w:t>
            </w:r>
          </w:p>
          <w:p>
            <w:pP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内部因素和外部因素</w:t>
            </w:r>
            <w:r>
              <w:rPr>
                <w:rFonts w:hint="eastAsia" w:ascii="Times New Roman" w:hAnsi="Times New Roman" w:eastAsia="宋体" w:cs="Times New Roman"/>
                <w:sz w:val="24"/>
                <w:szCs w:val="24"/>
                <w:lang w:eastAsia="zh-CN"/>
              </w:rPr>
              <w:t>：</w:t>
            </w:r>
          </w:p>
          <w:p>
            <w:pPr>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王总介绍，近一年来，受疫情和俄乌冲突影响，原材料价格波动很大，而我公司主要原料为钛和不锈钢，原料价格几乎翻倍，公司受到一定程度的影响。</w:t>
            </w:r>
            <w:r>
              <w:rPr>
                <w:rFonts w:hint="eastAsia" w:ascii="Times New Roman" w:hAnsi="Times New Roman" w:eastAsia="宋体" w:cs="Times New Roman"/>
                <w:sz w:val="24"/>
                <w:szCs w:val="24"/>
                <w:lang w:val="en-US" w:eastAsia="zh-CN"/>
              </w:rPr>
              <w:t>领导层每年定期召开内外部因素评审会议，内部环境因素要考虑公司的内部管理、价值观、企业文化、企业的知识和管理绩效等相关因素，以应对复杂的内外部环境。</w:t>
            </w:r>
          </w:p>
          <w:p>
            <w:pPr>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查见《组织环境识别表》，</w:t>
            </w:r>
            <w:r>
              <w:rPr>
                <w:rFonts w:hint="eastAsia" w:ascii="Times New Roman" w:hAnsi="Times New Roman" w:eastAsia="宋体" w:cs="Times New Roman"/>
                <w:sz w:val="24"/>
                <w:szCs w:val="24"/>
              </w:rPr>
              <w:t>内部环境因素要考虑公司的内部管理、价值观、企业文化、企业的知识和管理绩效</w:t>
            </w:r>
            <w:r>
              <w:rPr>
                <w:rFonts w:hint="eastAsia" w:ascii="Times New Roman" w:hAnsi="Times New Roman" w:eastAsia="宋体" w:cs="Times New Roman"/>
                <w:sz w:val="24"/>
                <w:szCs w:val="24"/>
                <w:lang w:eastAsia="zh-CN"/>
              </w:rPr>
              <w:t>、人力、财务、运营</w:t>
            </w:r>
            <w:r>
              <w:rPr>
                <w:rFonts w:hint="eastAsia" w:ascii="Times New Roman" w:hAnsi="Times New Roman" w:eastAsia="宋体" w:cs="Times New Roman"/>
                <w:sz w:val="24"/>
                <w:szCs w:val="24"/>
              </w:rPr>
              <w:t>等相关因素。</w:t>
            </w:r>
          </w:p>
          <w:p>
            <w:pPr>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外部因素要考虑</w:t>
            </w:r>
            <w:r>
              <w:rPr>
                <w:rFonts w:hint="eastAsia" w:ascii="Times New Roman" w:hAnsi="Times New Roman" w:eastAsia="宋体" w:cs="Times New Roman"/>
                <w:sz w:val="24"/>
                <w:szCs w:val="24"/>
                <w:lang w:eastAsia="zh-CN"/>
              </w:rPr>
              <w:t>政治环境</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法律环境、经济环境、技术</w:t>
            </w:r>
            <w:r>
              <w:rPr>
                <w:rFonts w:hint="eastAsia" w:ascii="Times New Roman" w:hAnsi="Times New Roman" w:eastAsia="宋体" w:cs="Times New Roman"/>
                <w:sz w:val="24"/>
                <w:szCs w:val="24"/>
              </w:rPr>
              <w:t>环境、外部文化</w:t>
            </w:r>
            <w:r>
              <w:rPr>
                <w:rFonts w:hint="eastAsia" w:ascii="Times New Roman" w:hAnsi="Times New Roman" w:eastAsia="宋体" w:cs="Times New Roman"/>
                <w:sz w:val="24"/>
                <w:szCs w:val="24"/>
                <w:lang w:eastAsia="zh-CN"/>
              </w:rPr>
              <w:t>环境</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竞争力</w:t>
            </w:r>
            <w:r>
              <w:rPr>
                <w:rFonts w:hint="eastAsia" w:ascii="Times New Roman" w:hAnsi="Times New Roman" w:eastAsia="宋体" w:cs="Times New Roman"/>
                <w:sz w:val="24"/>
                <w:szCs w:val="24"/>
              </w:rPr>
              <w:t>等相关因素。</w:t>
            </w:r>
          </w:p>
          <w:p>
            <w:pPr>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根据识别的环境因素进行了</w:t>
            </w:r>
            <w:r>
              <w:rPr>
                <w:rFonts w:hint="eastAsia" w:ascii="Times New Roman" w:hAnsi="Times New Roman" w:eastAsia="宋体" w:cs="Times New Roman"/>
                <w:sz w:val="24"/>
                <w:szCs w:val="24"/>
                <w:lang w:val="en-US" w:eastAsia="zh-CN"/>
              </w:rPr>
              <w:t>SWOT分析，识别出了优势劣势机遇和风险，如：</w:t>
            </w:r>
          </w:p>
          <w:p>
            <w:pPr>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优势--技术成熟，已在钛滤芯，不锈钢滤芯领域有多年的服务经验</w:t>
            </w:r>
          </w:p>
          <w:p>
            <w:pPr>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风险--最低工资持续上调，用工成本增加</w:t>
            </w:r>
          </w:p>
          <w:p>
            <w:pPr>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公司依据GB/T 19001-2016、GB/T 24001-2016和GB/T45001-2020标准要求，结合本公司服务特点和战略规划，制定公司的组织结构。</w:t>
            </w:r>
          </w:p>
          <w:p>
            <w:pPr>
              <w:ind w:firstLine="480" w:firstLineChars="200"/>
              <w:rPr>
                <w:rFonts w:hint="eastAsia" w:ascii="宋体" w:hAnsi="宋体" w:eastAsia="宋体" w:cs="宋体"/>
                <w:color w:val="auto"/>
                <w:sz w:val="24"/>
                <w:szCs w:val="24"/>
              </w:rPr>
            </w:pPr>
            <w:r>
              <w:rPr>
                <w:rFonts w:hint="eastAsia" w:ascii="Times New Roman" w:hAnsi="Times New Roman" w:eastAsia="宋体" w:cs="Times New Roman"/>
                <w:sz w:val="24"/>
                <w:szCs w:val="24"/>
              </w:rPr>
              <w:t>对这些内外部因素通过定期的网站获取、顾客沟通（总结、会议、培训等形式）及内部沟通总结等方式进行监视和评审。</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理解相关方的需求和期望</w:t>
            </w:r>
          </w:p>
        </w:tc>
        <w:tc>
          <w:tcPr>
            <w:tcW w:w="1033"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Q</w:t>
            </w:r>
            <w:r>
              <w:rPr>
                <w:rFonts w:hint="eastAsia" w:ascii="宋体" w:hAnsi="宋体" w:eastAsia="宋体" w:cs="宋体"/>
                <w:color w:val="auto"/>
                <w:sz w:val="24"/>
                <w:szCs w:val="24"/>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4.2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lang w:val="en-US" w:eastAsia="zh-CN" w:bidi="ar-SA"/>
              </w:rPr>
            </w:pPr>
          </w:p>
        </w:tc>
        <w:tc>
          <w:tcPr>
            <w:tcW w:w="11737" w:type="dxa"/>
            <w:noWrap w:val="0"/>
            <w:vAlign w:val="top"/>
          </w:tcPr>
          <w:p>
            <w:pPr>
              <w:adjustRightInd w:val="0"/>
              <w:snapToGrid w:val="0"/>
              <w:spacing w:line="300" w:lineRule="exact"/>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eastAsia="宋体" w:cs="宋体"/>
                <w:sz w:val="24"/>
                <w:szCs w:val="24"/>
                <w:lang w:val="en-US" w:eastAsia="zh-CN"/>
              </w:rPr>
              <w:t>与王总沟通，</w:t>
            </w:r>
            <w:r>
              <w:rPr>
                <w:rFonts w:hint="default" w:ascii="宋体" w:hAnsi="宋体" w:eastAsia="宋体" w:cs="宋体"/>
                <w:sz w:val="24"/>
                <w:szCs w:val="24"/>
                <w:lang w:val="en-US" w:eastAsia="zh-CN"/>
              </w:rPr>
              <w:t>公司</w:t>
            </w:r>
            <w:r>
              <w:rPr>
                <w:rFonts w:hint="eastAsia" w:ascii="宋体" w:hAnsi="宋体" w:eastAsia="宋体" w:cs="宋体"/>
                <w:sz w:val="24"/>
                <w:szCs w:val="24"/>
                <w:lang w:val="en-US" w:eastAsia="zh-CN"/>
              </w:rPr>
              <w:t>定期</w:t>
            </w:r>
            <w:r>
              <w:rPr>
                <w:rFonts w:hint="default" w:ascii="宋体" w:hAnsi="宋体" w:eastAsia="宋体" w:cs="宋体"/>
                <w:sz w:val="24"/>
                <w:szCs w:val="24"/>
                <w:lang w:val="en-US" w:eastAsia="zh-CN"/>
              </w:rPr>
              <w:t>识别并确定影响公司提供产品和服务能力的利益相关方：与质量和环境、职业健康安全管理体系有关的相关方，如</w:t>
            </w:r>
            <w:r>
              <w:rPr>
                <w:rFonts w:hint="eastAsia" w:ascii="宋体" w:hAnsi="宋体" w:eastAsia="宋体" w:cs="宋体"/>
                <w:sz w:val="24"/>
                <w:szCs w:val="24"/>
                <w:lang w:val="en-US" w:eastAsia="zh-CN"/>
              </w:rPr>
              <w:t>客户</w:t>
            </w:r>
            <w:r>
              <w:rPr>
                <w:rFonts w:hint="default" w:ascii="宋体" w:hAnsi="宋体" w:eastAsia="宋体" w:cs="宋体"/>
                <w:sz w:val="24"/>
                <w:szCs w:val="24"/>
                <w:lang w:val="en-US" w:eastAsia="zh-CN"/>
              </w:rPr>
              <w:t>、外部供应商、来访者、周边社区、员工及监管部门等</w:t>
            </w:r>
            <w:r>
              <w:rPr>
                <w:rFonts w:hint="eastAsia" w:ascii="宋体" w:hAnsi="宋体" w:eastAsia="宋体" w:cs="宋体"/>
                <w:sz w:val="24"/>
                <w:szCs w:val="24"/>
                <w:lang w:val="en-US" w:eastAsia="zh-CN"/>
              </w:rPr>
              <w:t>。</w:t>
            </w:r>
          </w:p>
          <w:p>
            <w:pPr>
              <w:adjustRightInd w:val="0"/>
              <w:snapToGrid w:val="0"/>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查见《相关方的需求和期望清单》，清单内容包括相关方，识别的需求和期望，监测指标，监测频率，监测部门及考核记录。</w:t>
            </w:r>
          </w:p>
          <w:p>
            <w:pPr>
              <w:pStyle w:val="2"/>
              <w:ind w:left="0" w:leftChars="0" w:firstLine="0" w:firstLineChars="0"/>
              <w:rPr>
                <w:rFonts w:hint="default"/>
                <w:lang w:val="en-US" w:eastAsia="zh-CN"/>
              </w:rPr>
            </w:pPr>
            <w:r>
              <w:rPr>
                <w:rFonts w:hint="eastAsia"/>
                <w:lang w:val="en-US" w:eastAsia="zh-CN"/>
              </w:rPr>
              <w:t>--抽供方，需求：长期合作，双赢，采购合格率高，及时付款，供货及时，监测指标：供应商年审考核表，采购批数合格率，货款月结，监测频率年/季度/月，监测部门综合部。</w:t>
            </w:r>
          </w:p>
          <w:p>
            <w:pPr>
              <w:pStyle w:val="2"/>
              <w:ind w:left="0" w:leftChars="0" w:firstLine="0" w:firstLineChars="0"/>
              <w:rPr>
                <w:rFonts w:hint="eastAsia" w:ascii="宋体" w:hAnsi="宋体" w:eastAsia="宋体" w:cs="宋体"/>
                <w:color w:val="auto"/>
                <w:sz w:val="24"/>
                <w:szCs w:val="24"/>
              </w:rPr>
            </w:pPr>
            <w:r>
              <w:rPr>
                <w:rFonts w:hint="eastAsia"/>
                <w:lang w:val="en-US" w:eastAsia="zh-CN"/>
              </w:rPr>
              <w:t>编制了《相关方管理程序》用于对相关方施加影响。</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确定管理体系的范围</w:t>
            </w:r>
          </w:p>
        </w:tc>
        <w:tc>
          <w:tcPr>
            <w:tcW w:w="1033"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Q</w:t>
            </w:r>
            <w:r>
              <w:rPr>
                <w:rFonts w:hint="eastAsia" w:ascii="宋体" w:hAnsi="宋体" w:eastAsia="宋体" w:cs="宋体"/>
                <w:color w:val="auto"/>
                <w:sz w:val="24"/>
                <w:szCs w:val="24"/>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lang w:val="en-US" w:eastAsia="zh-CN" w:bidi="ar-SA"/>
              </w:rPr>
            </w:pPr>
          </w:p>
        </w:tc>
        <w:tc>
          <w:tcPr>
            <w:tcW w:w="1173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●查《管理手册》确定了企业的管理体系的范围，</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管理体系的范围自上次审核以来无变化。</w:t>
            </w:r>
            <w:r>
              <w:rPr>
                <w:rFonts w:hint="eastAsia" w:ascii="宋体" w:hAnsi="宋体" w:eastAsia="宋体" w:cs="宋体"/>
                <w:color w:val="auto"/>
                <w:sz w:val="24"/>
                <w:szCs w:val="24"/>
                <w:lang w:val="en-US" w:eastAsia="zh-CN"/>
              </w:rPr>
              <w:t>公司认证的范围是：</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Q：</w:t>
            </w:r>
            <w:r>
              <w:rPr>
                <w:rFonts w:hint="eastAsia" w:ascii="宋体" w:hAnsi="宋体"/>
                <w:color w:val="auto"/>
                <w:sz w:val="24"/>
                <w:szCs w:val="24"/>
              </w:rPr>
              <w:t>钛滤芯、不锈钢滤芯的生产及销售</w:t>
            </w:r>
          </w:p>
          <w:p>
            <w:pPr>
              <w:adjustRightInd w:val="0"/>
              <w:snapToGrid w:val="0"/>
              <w:spacing w:line="300" w:lineRule="exact"/>
              <w:rPr>
                <w:rFonts w:hint="eastAsia" w:ascii="宋体" w:hAnsi="宋体" w:eastAsia="宋体" w:cs="宋体"/>
                <w:sz w:val="24"/>
                <w:szCs w:val="24"/>
                <w:lang w:val="en-US" w:eastAsia="zh-CN"/>
              </w:rPr>
            </w:pPr>
            <w:r>
              <w:rPr>
                <w:rFonts w:hint="eastAsia" w:ascii="宋体" w:hAnsi="宋体" w:cs="宋体"/>
                <w:b w:val="0"/>
                <w:bCs w:val="0"/>
                <w:color w:val="auto"/>
                <w:sz w:val="24"/>
                <w:szCs w:val="24"/>
                <w:lang w:val="en-US" w:eastAsia="zh-CN"/>
              </w:rPr>
              <w:t>E：</w:t>
            </w:r>
            <w:r>
              <w:rPr>
                <w:rFonts w:hint="eastAsia" w:ascii="宋体" w:hAnsi="宋体"/>
                <w:color w:val="auto"/>
                <w:sz w:val="24"/>
                <w:szCs w:val="24"/>
              </w:rPr>
              <w:t>钛滤芯、不锈钢滤芯的生产及销售</w:t>
            </w:r>
            <w:r>
              <w:rPr>
                <w:rFonts w:hint="eastAsia" w:ascii="宋体" w:hAnsi="宋体" w:eastAsia="宋体" w:cs="宋体"/>
                <w:sz w:val="24"/>
                <w:szCs w:val="24"/>
                <w:lang w:val="en-US" w:eastAsia="zh-CN"/>
              </w:rPr>
              <w:t>所涉及场所的相关环境管理活动</w:t>
            </w:r>
          </w:p>
          <w:p>
            <w:pPr>
              <w:adjustRightInd w:val="0"/>
              <w:snapToGrid w:val="0"/>
              <w:spacing w:line="300" w:lineRule="exac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O：</w:t>
            </w:r>
            <w:r>
              <w:rPr>
                <w:rFonts w:hint="eastAsia" w:ascii="宋体" w:hAnsi="宋体"/>
                <w:color w:val="auto"/>
                <w:sz w:val="24"/>
                <w:szCs w:val="24"/>
              </w:rPr>
              <w:t>钛滤芯、不锈钢滤芯的生产及销售</w:t>
            </w:r>
            <w:r>
              <w:rPr>
                <w:rFonts w:hint="eastAsia" w:ascii="宋体" w:hAnsi="宋体" w:eastAsia="宋体" w:cs="宋体"/>
                <w:sz w:val="24"/>
                <w:szCs w:val="24"/>
                <w:lang w:val="en-US" w:eastAsia="zh-CN"/>
              </w:rPr>
              <w:t>所涉及场所的相关职业健康安全管理活动</w:t>
            </w:r>
          </w:p>
          <w:p>
            <w:pPr>
              <w:adjustRightInd w:val="0"/>
              <w:snapToGrid w:val="0"/>
              <w:spacing w:line="300" w:lineRule="exact"/>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lang w:val="en-US" w:eastAsia="zh-CN"/>
              </w:rPr>
              <w:t>生产经营</w:t>
            </w:r>
            <w:r>
              <w:rPr>
                <w:rFonts w:hint="eastAsia" w:ascii="宋体" w:hAnsi="宋体" w:cs="宋体"/>
                <w:b w:val="0"/>
                <w:bCs w:val="0"/>
                <w:color w:val="auto"/>
                <w:sz w:val="24"/>
                <w:szCs w:val="24"/>
                <w:lang w:val="en-US" w:eastAsia="zh-CN"/>
              </w:rPr>
              <w:t>地址</w:t>
            </w:r>
            <w:r>
              <w:rPr>
                <w:rFonts w:hint="eastAsia" w:ascii="宋体" w:hAnsi="宋体" w:eastAsia="宋体" w:cs="宋体"/>
                <w:b w:val="0"/>
                <w:bCs w:val="0"/>
                <w:color w:val="auto"/>
                <w:sz w:val="24"/>
                <w:szCs w:val="24"/>
                <w:lang w:val="en-US" w:eastAsia="zh-CN"/>
              </w:rPr>
              <w:t>：</w:t>
            </w:r>
            <w:r>
              <w:rPr>
                <w:color w:val="auto"/>
                <w:sz w:val="24"/>
                <w:szCs w:val="24"/>
              </w:rPr>
              <w:t>石家庄经济技术开发区创业路20号</w:t>
            </w:r>
            <w:r>
              <w:rPr>
                <w:rFonts w:hint="eastAsia"/>
                <w:color w:val="auto"/>
                <w:sz w:val="24"/>
                <w:szCs w:val="24"/>
                <w:lang w:val="en-US" w:eastAsia="zh-CN"/>
              </w:rPr>
              <w:t>院内</w:t>
            </w:r>
            <w:r>
              <w:rPr>
                <w:rFonts w:hint="eastAsia" w:ascii="宋体" w:hAnsi="宋体" w:eastAsia="宋体" w:cs="宋体"/>
                <w:color w:val="auto"/>
                <w:sz w:val="24"/>
                <w:szCs w:val="24"/>
                <w:lang w:eastAsia="zh-CN"/>
              </w:rPr>
              <w:t>。</w:t>
            </w:r>
          </w:p>
          <w:p>
            <w:pPr>
              <w:adjustRightInd w:val="0"/>
              <w:snapToGrid w:val="0"/>
              <w:spacing w:line="300" w:lineRule="exact"/>
              <w:rPr>
                <w:rFonts w:hint="eastAsia" w:ascii="宋体" w:hAnsi="宋体" w:eastAsia="宋体" w:cs="宋体"/>
                <w:color w:val="auto"/>
                <w:sz w:val="24"/>
                <w:szCs w:val="24"/>
                <w:lang w:val="en-US" w:eastAsia="zh-CN"/>
              </w:rPr>
            </w:pPr>
            <w:r>
              <w:rPr>
                <w:rFonts w:hint="default" w:ascii="宋体" w:hAnsi="宋体" w:eastAsia="宋体" w:cs="宋体"/>
                <w:sz w:val="24"/>
                <w:szCs w:val="24"/>
                <w:lang w:val="en-US" w:eastAsia="zh-CN"/>
              </w:rPr>
              <w:t>上述范围与企业目前经营范围一致</w:t>
            </w:r>
            <w:r>
              <w:rPr>
                <w:rFonts w:hint="eastAsia" w:ascii="宋体" w:hAnsi="宋体" w:eastAsia="宋体" w:cs="宋体"/>
                <w:sz w:val="24"/>
                <w:szCs w:val="24"/>
                <w:lang w:val="en-US" w:eastAsia="zh-CN"/>
              </w:rPr>
              <w:t>，营业执照包含，目前无变更</w:t>
            </w:r>
            <w:r>
              <w:rPr>
                <w:rFonts w:hint="eastAsia" w:ascii="Times New Roman" w:hAnsi="Times New Roman" w:eastAsia="宋体" w:cs="Times New Roman"/>
                <w:sz w:val="21"/>
                <w:szCs w:val="21"/>
                <w:lang w:eastAsia="zh-CN"/>
              </w:rPr>
              <w:t>。</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管理体系及其过程</w:t>
            </w:r>
          </w:p>
        </w:tc>
        <w:tc>
          <w:tcPr>
            <w:tcW w:w="1033"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Q</w:t>
            </w:r>
            <w:r>
              <w:rPr>
                <w:rFonts w:hint="eastAsia" w:ascii="宋体" w:hAnsi="宋体" w:eastAsia="宋体" w:cs="宋体"/>
                <w:color w:val="auto"/>
                <w:sz w:val="24"/>
                <w:szCs w:val="24"/>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4.4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lang w:val="en-US" w:eastAsia="zh-CN" w:bidi="ar-SA"/>
              </w:rPr>
            </w:pPr>
          </w:p>
        </w:tc>
        <w:tc>
          <w:tcPr>
            <w:tcW w:w="11737" w:type="dxa"/>
            <w:noWrap w:val="0"/>
            <w:vAlign w:val="top"/>
          </w:tcPr>
          <w:p>
            <w:pPr>
              <w:pStyle w:val="14"/>
              <w:adjustRightInd w:val="0"/>
              <w:snapToGrid w:val="0"/>
              <w:spacing w:before="0" w:after="0" w:line="3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w:t>
            </w:r>
            <w:r>
              <w:rPr>
                <w:rFonts w:hint="eastAsia" w:ascii="宋体" w:hAnsi="宋体" w:eastAsia="宋体" w:cs="宋体"/>
                <w:sz w:val="24"/>
                <w:szCs w:val="24"/>
                <w:lang w:val="zh-CN" w:eastAsia="zh-CN"/>
              </w:rPr>
              <w:t xml:space="preserve">公司按照 </w:t>
            </w:r>
            <w:r>
              <w:rPr>
                <w:rFonts w:hint="eastAsia" w:ascii="宋体" w:hAnsi="宋体" w:eastAsia="宋体" w:cs="宋体"/>
                <w:sz w:val="24"/>
                <w:szCs w:val="24"/>
                <w:lang w:val="en-US" w:eastAsia="zh-CN"/>
              </w:rPr>
              <w:t>GB/T19001-2016</w:t>
            </w:r>
            <w:r>
              <w:rPr>
                <w:rFonts w:hint="eastAsia" w:ascii="宋体" w:hAnsi="宋体" w:eastAsia="宋体" w:cs="宋体"/>
                <w:sz w:val="24"/>
                <w:szCs w:val="24"/>
                <w:lang w:val="zh-CN" w:eastAsia="zh-CN"/>
              </w:rPr>
              <w:t xml:space="preserve">、 </w:t>
            </w:r>
            <w:r>
              <w:rPr>
                <w:rFonts w:hint="eastAsia" w:ascii="宋体" w:hAnsi="宋体" w:eastAsia="宋体" w:cs="宋体"/>
                <w:sz w:val="24"/>
                <w:szCs w:val="24"/>
                <w:lang w:val="en-US" w:eastAsia="zh-CN"/>
              </w:rPr>
              <w:t>GB/T2</w:t>
            </w:r>
            <w:r>
              <w:rPr>
                <w:rFonts w:hint="eastAsia" w:ascii="宋体" w:hAnsi="宋体" w:eastAsia="宋体" w:cs="宋体"/>
                <w:sz w:val="24"/>
                <w:szCs w:val="24"/>
                <w:lang w:val="zh-CN" w:eastAsia="zh-CN"/>
              </w:rPr>
              <w:t>4001</w:t>
            </w:r>
            <w:r>
              <w:rPr>
                <w:rFonts w:hint="eastAsia" w:ascii="宋体" w:hAnsi="宋体" w:eastAsia="宋体" w:cs="宋体"/>
                <w:sz w:val="24"/>
                <w:szCs w:val="24"/>
                <w:lang w:val="en-US" w:eastAsia="zh-CN"/>
              </w:rPr>
              <w:t>-2016</w:t>
            </w:r>
            <w:r>
              <w:rPr>
                <w:rFonts w:hint="eastAsia" w:ascii="宋体" w:hAnsi="宋体" w:eastAsia="宋体" w:cs="宋体"/>
                <w:sz w:val="24"/>
                <w:szCs w:val="24"/>
                <w:lang w:val="zh-CN" w:eastAsia="zh-CN"/>
              </w:rPr>
              <w:t>和GB/T45001-2020</w:t>
            </w:r>
            <w:r>
              <w:rPr>
                <w:rFonts w:hint="eastAsia" w:ascii="宋体" w:hAnsi="宋体" w:eastAsia="宋体" w:cs="宋体"/>
                <w:sz w:val="24"/>
                <w:szCs w:val="24"/>
                <w:lang w:val="en-US" w:eastAsia="zh-CN"/>
              </w:rPr>
              <w:t>等</w:t>
            </w:r>
            <w:r>
              <w:rPr>
                <w:rFonts w:hint="eastAsia" w:ascii="宋体" w:hAnsi="宋体" w:eastAsia="宋体" w:cs="宋体"/>
                <w:sz w:val="24"/>
                <w:szCs w:val="24"/>
                <w:lang w:val="zh-CN" w:eastAsia="zh-CN"/>
              </w:rPr>
              <w:t>标准的要求，</w:t>
            </w:r>
            <w:r>
              <w:rPr>
                <w:rFonts w:hint="eastAsia" w:ascii="宋体" w:hAnsi="宋体" w:eastAsia="宋体" w:cs="宋体"/>
                <w:sz w:val="24"/>
                <w:szCs w:val="24"/>
                <w:lang w:val="en-US" w:eastAsia="zh-CN"/>
              </w:rPr>
              <w:t>识别了生产经营各环节的过程及其相互作用，建立了</w:t>
            </w:r>
            <w:r>
              <w:rPr>
                <w:rFonts w:hint="eastAsia" w:ascii="宋体" w:hAnsi="宋体" w:eastAsia="宋体" w:cs="宋体"/>
                <w:sz w:val="24"/>
                <w:szCs w:val="24"/>
                <w:lang w:val="zh-CN" w:eastAsia="zh-CN"/>
              </w:rPr>
              <w:t>质量/环境/职业健康安全管理体系,</w:t>
            </w:r>
            <w:r>
              <w:rPr>
                <w:rFonts w:hint="eastAsia" w:ascii="宋体" w:hAnsi="宋体" w:eastAsia="宋体" w:cs="宋体"/>
                <w:sz w:val="24"/>
                <w:szCs w:val="24"/>
                <w:lang w:val="en-US" w:eastAsia="zh-CN"/>
              </w:rPr>
              <w:t>并形成文件，该公司全体员工将有效地贯彻执行并持续改进其有效性。</w:t>
            </w:r>
          </w:p>
          <w:p>
            <w:pPr>
              <w:pStyle w:val="14"/>
              <w:adjustRightInd w:val="0"/>
              <w:snapToGrid w:val="0"/>
              <w:spacing w:before="0" w:after="0" w:line="3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●管理体系及其过程为：</w:t>
            </w:r>
          </w:p>
          <w:p>
            <w:pPr>
              <w:pStyle w:val="14"/>
              <w:adjustRightInd w:val="0"/>
              <w:snapToGrid w:val="0"/>
              <w:spacing w:before="0" w:after="0" w:line="300" w:lineRule="exact"/>
              <w:jc w:val="left"/>
              <w:rPr>
                <w:rFonts w:hint="eastAsia" w:ascii="宋体" w:hAnsi="宋体" w:eastAsia="宋体" w:cs="宋体"/>
                <w:color w:val="auto"/>
                <w:sz w:val="24"/>
                <w:szCs w:val="24"/>
                <w:lang w:val="zh-CN" w:eastAsia="zh-CN"/>
              </w:rPr>
            </w:pPr>
            <w:r>
              <w:rPr>
                <w:rFonts w:hint="eastAsia" w:ascii="宋体" w:hAnsi="宋体" w:eastAsia="宋体" w:cs="宋体"/>
                <w:sz w:val="24"/>
                <w:szCs w:val="24"/>
                <w:lang w:val="en-US" w:eastAsia="zh-CN"/>
              </w:rPr>
              <w:t>公司于2020年对质量/环境/职业健康安全管理体系进行策划，识别了各个过程、环境因素、危险源等，编制了管理手册、程序文件、支持性文件及记录，于</w:t>
            </w:r>
            <w:r>
              <w:rPr>
                <w:rFonts w:hint="eastAsia" w:ascii="宋体" w:hAnsi="宋体" w:eastAsia="宋体" w:cs="宋体"/>
                <w:sz w:val="24"/>
                <w:szCs w:val="24"/>
                <w:lang w:val="zh-CN" w:eastAsia="zh-CN"/>
              </w:rPr>
              <w:t>20</w:t>
            </w:r>
            <w:r>
              <w:rPr>
                <w:rFonts w:hint="eastAsia" w:ascii="宋体" w:hAnsi="宋体" w:eastAsia="宋体" w:cs="宋体"/>
                <w:sz w:val="24"/>
                <w:szCs w:val="24"/>
                <w:lang w:val="en-US" w:eastAsia="zh-CN"/>
              </w:rPr>
              <w:t>20</w:t>
            </w:r>
            <w:r>
              <w:rPr>
                <w:rFonts w:hint="eastAsia" w:ascii="宋体" w:hAnsi="宋体" w:eastAsia="宋体" w:cs="宋体"/>
                <w:sz w:val="24"/>
                <w:szCs w:val="24"/>
                <w:lang w:val="zh-CN" w:eastAsia="zh-CN"/>
              </w:rPr>
              <w:t>年</w:t>
            </w:r>
            <w:r>
              <w:rPr>
                <w:rFonts w:hint="eastAsia" w:ascii="宋体" w:hAnsi="宋体" w:eastAsia="宋体" w:cs="宋体"/>
                <w:sz w:val="24"/>
                <w:szCs w:val="24"/>
                <w:lang w:val="en-US" w:eastAsia="zh-CN"/>
              </w:rPr>
              <w:t>12</w:t>
            </w:r>
            <w:r>
              <w:rPr>
                <w:rFonts w:hint="eastAsia" w:ascii="宋体" w:hAnsi="宋体" w:eastAsia="宋体" w:cs="宋体"/>
                <w:sz w:val="24"/>
                <w:szCs w:val="24"/>
                <w:lang w:val="zh-CN" w:eastAsia="zh-CN"/>
              </w:rPr>
              <w:t>月</w:t>
            </w:r>
            <w:r>
              <w:rPr>
                <w:rFonts w:hint="eastAsia" w:ascii="宋体" w:hAnsi="宋体" w:eastAsia="宋体" w:cs="宋体"/>
                <w:sz w:val="24"/>
                <w:szCs w:val="24"/>
                <w:lang w:val="en-US" w:eastAsia="zh-CN"/>
              </w:rPr>
              <w:t>10</w:t>
            </w:r>
            <w:r>
              <w:rPr>
                <w:rFonts w:hint="eastAsia" w:ascii="宋体" w:hAnsi="宋体" w:eastAsia="宋体" w:cs="宋体"/>
                <w:color w:val="auto"/>
                <w:sz w:val="24"/>
                <w:szCs w:val="24"/>
                <w:lang w:val="zh-CN" w:eastAsia="zh-CN"/>
              </w:rPr>
              <w:t>日发布</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lang w:val="zh-CN" w:eastAsia="zh-CN"/>
              </w:rPr>
              <w:t>实施。</w:t>
            </w:r>
          </w:p>
          <w:p>
            <w:pPr>
              <w:pStyle w:val="14"/>
              <w:adjustRightInd w:val="0"/>
              <w:snapToGrid w:val="0"/>
              <w:spacing w:before="0" w:after="0" w:line="3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●公司编制了管理手册、程序文件及</w:t>
            </w:r>
            <w:r>
              <w:rPr>
                <w:rFonts w:hint="eastAsia" w:ascii="宋体" w:hAnsi="宋体" w:cs="宋体"/>
                <w:sz w:val="24"/>
                <w:szCs w:val="24"/>
                <w:lang w:val="en-US" w:eastAsia="zh-CN"/>
              </w:rPr>
              <w:t>各项管理制度和</w:t>
            </w:r>
            <w:r>
              <w:rPr>
                <w:rFonts w:hint="eastAsia" w:ascii="宋体" w:hAnsi="宋体" w:eastAsia="宋体" w:cs="宋体"/>
                <w:sz w:val="24"/>
                <w:szCs w:val="24"/>
                <w:lang w:val="en-US" w:eastAsia="zh-CN"/>
              </w:rPr>
              <w:t>作业管理性文件、记录表格等。</w:t>
            </w:r>
          </w:p>
          <w:p>
            <w:pPr>
              <w:pStyle w:val="14"/>
              <w:adjustRightInd w:val="0"/>
              <w:snapToGrid w:val="0"/>
              <w:spacing w:before="0" w:after="0" w:line="3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通过管理手册、程序文件明确各部门职责、权限；资源管理，测量分析和改进、运行控制等过程。</w:t>
            </w:r>
          </w:p>
          <w:p>
            <w:pPr>
              <w:pStyle w:val="14"/>
              <w:adjustRightInd w:val="0"/>
              <w:snapToGrid w:val="0"/>
              <w:spacing w:before="0" w:after="0" w:line="3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●通过对过程的风险评估，识别，评价并制定相应措施进行风险控制（包括实施过程中所需要的变更）。</w:t>
            </w:r>
          </w:p>
          <w:p>
            <w:pPr>
              <w:pStyle w:val="14"/>
              <w:adjustRightInd w:val="0"/>
              <w:snapToGrid w:val="0"/>
              <w:spacing w:before="0" w:after="0" w:line="3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●通过监视、测量和分析结果以及内审管理评审等达到持续改进的目的。</w:t>
            </w:r>
          </w:p>
          <w:p>
            <w:pPr>
              <w:pStyle w:val="14"/>
              <w:keepNext w:val="0"/>
              <w:keepLines w:val="0"/>
              <w:pageBreakBefore w:val="0"/>
              <w:widowControl w:val="0"/>
              <w:kinsoku/>
              <w:wordWrap/>
              <w:overflowPunct/>
              <w:topLinePunct w:val="0"/>
              <w:autoSpaceDE/>
              <w:autoSpaceDN/>
              <w:bidi w:val="0"/>
              <w:adjustRightInd w:val="0"/>
              <w:snapToGrid w:val="0"/>
              <w:spacing w:before="0" w:after="0" w:line="360" w:lineRule="exact"/>
              <w:textAlignment w:val="auto"/>
              <w:rPr>
                <w:rFonts w:hint="eastAsia" w:ascii="宋体" w:hAnsi="宋体" w:eastAsia="宋体" w:cs="宋体"/>
                <w:b/>
                <w:color w:val="auto"/>
                <w:sz w:val="24"/>
                <w:szCs w:val="24"/>
                <w:lang w:val="en-US" w:eastAsia="zh-CN"/>
              </w:rPr>
            </w:pPr>
            <w:r>
              <w:rPr>
                <w:rFonts w:hint="eastAsia" w:ascii="宋体" w:hAnsi="宋体" w:eastAsia="宋体" w:cs="宋体"/>
                <w:sz w:val="24"/>
                <w:szCs w:val="24"/>
                <w:lang w:val="en-US" w:eastAsia="zh-CN"/>
              </w:rPr>
              <w:t>无外包过程。</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领导作用和承诺</w:t>
            </w:r>
          </w:p>
        </w:tc>
        <w:tc>
          <w:tcPr>
            <w:tcW w:w="1033"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Q</w:t>
            </w:r>
            <w:r>
              <w:rPr>
                <w:rFonts w:hint="eastAsia" w:ascii="宋体" w:hAnsi="宋体" w:eastAsia="宋体" w:cs="宋体"/>
                <w:color w:val="auto"/>
                <w:sz w:val="24"/>
                <w:szCs w:val="24"/>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lang w:val="en-US" w:eastAsia="zh-CN" w:bidi="ar-SA"/>
              </w:rPr>
            </w:pPr>
          </w:p>
        </w:tc>
        <w:tc>
          <w:tcPr>
            <w:tcW w:w="1173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公司最高管理者通过以下活动证实其对质量环境职业健康安全管理体系的领导作用和承诺：</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1.对质量</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环境</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职业健康安全管理体系的有效性承担责任；</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2.确保制定质量环境职业健康安全管理体系的质量、环境、职业健康安全方针和质量、环境、职业健康安全方针目标,并与公司环境和战略方向相一致；</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3.确保质量</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环境</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职业健康安全管理体系要求融入与公司的业务过程；</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4.促进使用过程方法和基于风险的思维；</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5.确保获得质量</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环境</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职业健康安全管理体系所需的资源；</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6.沟通有效的质量</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环境</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职业健康安全管理和符合质量环境职业健康安全管理体系要求的重要性；</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7.确保实现质量</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环境</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职业健康安全管理体系的预期结果；</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8.促使、指导和支持员工努力提高质量</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环境</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职业健康安全管理体系的有效性；</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9.推动改进；</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10.支持其他管理者履行其相关领域的职责。</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公司最高管理者通过确定、理解并持续满足顾客要求以及适用的法律法规要求；确定和应对能够影响服务符合性以及增强顾客满意能力的风险和机遇；始终致力于增强顾客满意。</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公司最高管理者组织相关部门制订发展规划、管理承诺、管理方针及管理目标，积极开展精神文明创建和争优创先活动，提高员工队伍整体素质。</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管理</w:t>
            </w:r>
            <w:r>
              <w:rPr>
                <w:rFonts w:hint="eastAsia" w:ascii="宋体" w:hAnsi="宋体" w:eastAsia="宋体" w:cs="宋体"/>
                <w:color w:val="auto"/>
                <w:sz w:val="24"/>
                <w:szCs w:val="24"/>
              </w:rPr>
              <w:t>方针</w:t>
            </w:r>
          </w:p>
        </w:tc>
        <w:tc>
          <w:tcPr>
            <w:tcW w:w="1033"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Q</w:t>
            </w:r>
            <w:r>
              <w:rPr>
                <w:rFonts w:hint="eastAsia" w:ascii="宋体" w:hAnsi="宋体" w:eastAsia="宋体" w:cs="宋体"/>
                <w:color w:val="auto"/>
                <w:sz w:val="24"/>
                <w:szCs w:val="24"/>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lang w:val="en-US" w:eastAsia="zh-CN" w:bidi="ar-SA"/>
              </w:rPr>
            </w:pPr>
          </w:p>
        </w:tc>
        <w:tc>
          <w:tcPr>
            <w:tcW w:w="1173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查见《管理手册》制定了企业的管理方针：</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守法诚信追求质量，预防污染保护环境；</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关爱员工健康安全，持续改进追求卓越。</w:t>
            </w:r>
          </w:p>
          <w:p>
            <w:pPr>
              <w:rPr>
                <w:rFonts w:hint="eastAsia"/>
                <w:color w:val="auto"/>
                <w:sz w:val="24"/>
                <w:szCs w:val="24"/>
                <w:lang w:val="en-US" w:eastAsia="zh-CN"/>
              </w:rPr>
            </w:pPr>
            <w:r>
              <w:rPr>
                <w:rFonts w:hint="eastAsia"/>
                <w:color w:val="auto"/>
                <w:sz w:val="24"/>
                <w:szCs w:val="24"/>
                <w:lang w:val="en-US" w:eastAsia="zh-CN"/>
              </w:rPr>
              <w:t>方针能够体现公司的管理理念，在企业各个层面进行了有效的沟通与宣传，通过相关方告知可为相关方获取。</w:t>
            </w:r>
          </w:p>
          <w:p>
            <w:pPr>
              <w:rPr>
                <w:rFonts w:hint="eastAsia"/>
                <w:color w:val="auto"/>
                <w:sz w:val="24"/>
                <w:szCs w:val="24"/>
                <w:lang w:val="en-US" w:eastAsia="zh-CN"/>
              </w:rPr>
            </w:pPr>
            <w:r>
              <w:rPr>
                <w:rFonts w:hint="eastAsia"/>
                <w:color w:val="auto"/>
                <w:sz w:val="24"/>
                <w:szCs w:val="24"/>
                <w:lang w:val="en-US" w:eastAsia="zh-CN"/>
              </w:rPr>
              <w:t>通过</w:t>
            </w:r>
            <w:r>
              <w:rPr>
                <w:rFonts w:hint="eastAsia" w:ascii="宋体" w:hAnsi="宋体" w:eastAsia="宋体" w:cs="宋体"/>
                <w:sz w:val="24"/>
                <w:szCs w:val="24"/>
                <w:lang w:val="en-US" w:eastAsia="zh-CN"/>
              </w:rPr>
              <w:t>2022年3月16日的内部审核，</w:t>
            </w:r>
            <w:r>
              <w:rPr>
                <w:rFonts w:hint="eastAsia"/>
                <w:color w:val="auto"/>
                <w:sz w:val="24"/>
                <w:szCs w:val="24"/>
                <w:lang w:val="en-US" w:eastAsia="zh-CN"/>
              </w:rPr>
              <w:t>2022年3月23日的管理评审评价，发现：</w:t>
            </w:r>
          </w:p>
          <w:p>
            <w:pPr>
              <w:rPr>
                <w:rFonts w:hint="eastAsia" w:ascii="宋体" w:hAnsi="宋体" w:eastAsia="宋体" w:cs="宋体"/>
                <w:sz w:val="24"/>
                <w:szCs w:val="24"/>
              </w:rPr>
            </w:pPr>
            <w:r>
              <w:rPr>
                <w:rFonts w:hint="eastAsia" w:ascii="宋体" w:hAnsi="宋体" w:eastAsia="宋体" w:cs="宋体"/>
                <w:sz w:val="24"/>
                <w:szCs w:val="24"/>
                <w:lang w:val="en-US" w:eastAsia="zh-CN"/>
              </w:rPr>
              <w:t>1、管理方针</w:t>
            </w:r>
            <w:r>
              <w:rPr>
                <w:rFonts w:hint="eastAsia" w:ascii="宋体" w:hAnsi="宋体" w:eastAsia="宋体" w:cs="宋体"/>
                <w:sz w:val="24"/>
                <w:szCs w:val="24"/>
              </w:rPr>
              <w:t>适应组织的宗旨和环境并支持其战略方向；</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为制定质量、环境、职业健康安全管理目标提供框架</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包括持续改进质量、环境、职业健康安全管理体系的承诺</w:t>
            </w:r>
          </w:p>
          <w:p>
            <w:pPr>
              <w:autoSpaceDE w:val="0"/>
              <w:autoSpaceDN w:val="0"/>
              <w:adjustRightInd w:val="0"/>
              <w:spacing w:line="360" w:lineRule="auto"/>
              <w:rPr>
                <w:rFonts w:hint="default" w:eastAsia="华文中宋"/>
                <w:color w:val="auto"/>
                <w:sz w:val="24"/>
                <w:szCs w:val="24"/>
                <w:lang w:val="en-US" w:eastAsia="zh-CN"/>
              </w:rPr>
            </w:pPr>
            <w:r>
              <w:rPr>
                <w:rFonts w:hint="eastAsia" w:ascii="宋体" w:hAnsi="宋体" w:eastAsia="宋体" w:cs="宋体"/>
                <w:sz w:val="24"/>
                <w:szCs w:val="24"/>
                <w:lang w:val="en-US" w:eastAsia="zh-CN"/>
              </w:rPr>
              <w:t>●管理方针适宜企业的宗旨和发展方向</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组织的岗位、职责和权限</w:t>
            </w:r>
          </w:p>
        </w:tc>
        <w:tc>
          <w:tcPr>
            <w:tcW w:w="1033"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Q</w:t>
            </w:r>
            <w:r>
              <w:rPr>
                <w:rFonts w:hint="eastAsia" w:ascii="宋体" w:hAnsi="宋体" w:eastAsia="宋体" w:cs="宋体"/>
                <w:color w:val="auto"/>
                <w:sz w:val="24"/>
                <w:szCs w:val="24"/>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lang w:val="en-US" w:eastAsia="zh-CN" w:bidi="ar-SA"/>
              </w:rPr>
            </w:pPr>
          </w:p>
        </w:tc>
        <w:tc>
          <w:tcPr>
            <w:tcW w:w="1173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为了有效的实施质量、环境、职业健康安全管理，本公司确定了公司结构：</w:t>
            </w:r>
          </w:p>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——公司总经理、体系负责人为公司的管理层。</w:t>
            </w:r>
          </w:p>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——公司设置管理部门如下：</w:t>
            </w:r>
            <w:r>
              <w:rPr>
                <w:rFonts w:hint="eastAsia" w:ascii="宋体" w:hAnsi="宋体" w:cs="宋体"/>
                <w:color w:val="auto"/>
                <w:sz w:val="24"/>
                <w:szCs w:val="24"/>
                <w:lang w:val="en-US" w:eastAsia="zh-CN"/>
              </w:rPr>
              <w:t>综合部、生产技术部。</w:t>
            </w:r>
          </w:p>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公司规定了各级各岗位人员职责、权限和相互关系，并在公司内对各级员工进行了必要的传达；公司规定了各岗位职责及权限，对本公司各主要岗位职责权限进行了确定。以：</w:t>
            </w:r>
          </w:p>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 确保质量、环境、职业健康安全管理体系符合本标准的要求；</w:t>
            </w:r>
          </w:p>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b) 确保各过程获得其预期输出；</w:t>
            </w:r>
          </w:p>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 报告质量、环境、职业健康安全管理体系绩效及其改进机遇，特别向总经理报告；</w:t>
            </w:r>
          </w:p>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d) 确保在整个公司推动以顾客为关注焦点；</w:t>
            </w:r>
          </w:p>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 确保在策划和实施质量、环境、职业健康安全管理体系变更时，保持其完整性。</w:t>
            </w:r>
          </w:p>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岗位职责及权限见管理手册</w:t>
            </w:r>
            <w:r>
              <w:rPr>
                <w:rFonts w:hint="eastAsia" w:ascii="宋体" w:hAnsi="宋体" w:cs="宋体"/>
                <w:color w:val="auto"/>
                <w:sz w:val="24"/>
                <w:szCs w:val="24"/>
                <w:lang w:val="en-US" w:eastAsia="zh-CN"/>
              </w:rPr>
              <w:t>及各部门审核记录</w:t>
            </w:r>
            <w:r>
              <w:rPr>
                <w:rFonts w:hint="eastAsia" w:ascii="宋体" w:hAnsi="宋体" w:eastAsia="宋体" w:cs="宋体"/>
                <w:color w:val="auto"/>
                <w:sz w:val="24"/>
                <w:szCs w:val="24"/>
                <w:lang w:val="en-US" w:eastAsia="zh-CN"/>
              </w:rPr>
              <w:t>。</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应对风险和机遇的措施</w:t>
            </w:r>
          </w:p>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color w:val="auto"/>
                <w:kern w:val="2"/>
                <w:sz w:val="24"/>
                <w:szCs w:val="24"/>
                <w:lang w:val="en-US" w:eastAsia="zh-CN" w:bidi="ar-SA"/>
              </w:rPr>
            </w:pPr>
          </w:p>
        </w:tc>
        <w:tc>
          <w:tcPr>
            <w:tcW w:w="1033"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Q6.1</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ES</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6.1.1/6.1.4</w:t>
            </w:r>
          </w:p>
        </w:tc>
        <w:tc>
          <w:tcPr>
            <w:tcW w:w="1173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查企业编制了《风险管理控制程序》.</w:t>
            </w:r>
            <w:r>
              <w:rPr>
                <w:rFonts w:hint="eastAsia" w:ascii="宋体" w:hAnsi="宋体" w:cs="宋体"/>
                <w:color w:val="auto"/>
                <w:sz w:val="24"/>
                <w:szCs w:val="24"/>
                <w:lang w:val="en-US" w:eastAsia="zh-CN"/>
              </w:rPr>
              <w:t>依据程序要求，组建了风险应对小组，进行了对风险机遇的识别评估。</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eastAsia="zh-CN"/>
              </w:rPr>
              <w:t>查见《风险管理计划》，对产品在其整个生命周期内进行风险管理活动进行了策划。策划活动包括职责与权限的分配，风险管理活动评审，风险控制，风险管理活动的验证等。编制：田艳芳，审批：王亚东，</w:t>
            </w:r>
            <w:r>
              <w:rPr>
                <w:rFonts w:hint="eastAsia" w:ascii="宋体" w:hAnsi="宋体" w:cs="宋体"/>
                <w:color w:val="auto"/>
                <w:sz w:val="24"/>
                <w:szCs w:val="24"/>
                <w:lang w:val="en-US" w:eastAsia="zh-CN"/>
              </w:rPr>
              <w:t>2021.12.3。</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eastAsia="zh-CN"/>
              </w:rPr>
              <w:t>提供了《风险和机遇评估分析表》，对其内外部风险和机遇共计</w:t>
            </w:r>
            <w:r>
              <w:rPr>
                <w:rFonts w:hint="eastAsia" w:ascii="宋体" w:hAnsi="宋体" w:cs="宋体"/>
                <w:color w:val="auto"/>
                <w:sz w:val="24"/>
                <w:szCs w:val="24"/>
                <w:lang w:val="en-US" w:eastAsia="zh-CN"/>
              </w:rPr>
              <w:t>30余项进行了风险分析，并制定了风险控制措施，确定了责任人和实施时间，进行了措施有效性的评价。</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识别出风险</w:t>
            </w:r>
            <w:r>
              <w:rPr>
                <w:rFonts w:hint="eastAsia" w:ascii="宋体" w:hAnsi="宋体" w:cs="宋体"/>
                <w:color w:val="auto"/>
                <w:sz w:val="24"/>
                <w:szCs w:val="24"/>
                <w:lang w:eastAsia="zh-CN"/>
              </w:rPr>
              <w:t>如</w:t>
            </w:r>
            <w:r>
              <w:rPr>
                <w:rFonts w:hint="eastAsia" w:ascii="宋体" w:hAnsi="宋体" w:eastAsia="宋体" w:cs="宋体"/>
                <w:color w:val="auto"/>
                <w:sz w:val="24"/>
                <w:szCs w:val="24"/>
              </w:rPr>
              <w:t>：人员技术能力，工艺稳定性，检测能力等，综合办人员流失，财务风险等，疫情出差引起传染病疫情等。针对识别出的风险制定了对应的管理措施。</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识别出机遇：1更好的建立公司文化，提升员工工作士气，提高工作效率。稳定工作人员。</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2更充足的企业资质帮助企业提升更为广阔的社会效益、社会影响力，同行影响力；</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3、良好的采购控制可以帮助节省成本、提高采购效率</w:t>
            </w:r>
            <w:r>
              <w:rPr>
                <w:rFonts w:hint="eastAsia" w:ascii="宋体" w:hAnsi="宋体" w:cs="宋体"/>
                <w:color w:val="auto"/>
                <w:sz w:val="24"/>
                <w:szCs w:val="24"/>
                <w:lang w:eastAsia="zh-CN"/>
              </w:rPr>
              <w:t>。。。。。。</w:t>
            </w:r>
          </w:p>
          <w:p>
            <w:pPr>
              <w:pStyle w:val="14"/>
              <w:keepNext w:val="0"/>
              <w:keepLines w:val="0"/>
              <w:pageBreakBefore w:val="0"/>
              <w:widowControl w:val="0"/>
              <w:kinsoku/>
              <w:wordWrap/>
              <w:overflowPunct/>
              <w:topLinePunct w:val="0"/>
              <w:autoSpaceDE/>
              <w:autoSpaceDN/>
              <w:bidi w:val="0"/>
              <w:adjustRightInd w:val="0"/>
              <w:snapToGrid w:val="0"/>
              <w:spacing w:before="0" w:after="0"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对上述风险，企业一一策划了应对措施。</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综合部</w:t>
            </w:r>
            <w:r>
              <w:rPr>
                <w:rFonts w:hint="eastAsia" w:ascii="宋体" w:hAnsi="宋体" w:eastAsia="宋体" w:cs="宋体"/>
                <w:color w:val="auto"/>
                <w:sz w:val="24"/>
                <w:szCs w:val="24"/>
              </w:rPr>
              <w:t>制定了《环境因素管理程序》有针对性的确定那些具有或可能具有重大环境影响的环境因素（重要环境因素）、确定其重要环境因素的准则、环境因素及相关环境影响、重要环境因素等文件化信息。</w:t>
            </w:r>
          </w:p>
          <w:p>
            <w:pPr>
              <w:pStyle w:val="14"/>
              <w:keepNext w:val="0"/>
              <w:keepLines w:val="0"/>
              <w:pageBreakBefore w:val="0"/>
              <w:widowControl w:val="0"/>
              <w:kinsoku/>
              <w:wordWrap/>
              <w:overflowPunct/>
              <w:topLinePunct w:val="0"/>
              <w:autoSpaceDE/>
              <w:autoSpaceDN/>
              <w:bidi w:val="0"/>
              <w:adjustRightInd w:val="0"/>
              <w:snapToGrid w:val="0"/>
              <w:spacing w:before="0" w:after="0" w:line="360" w:lineRule="exact"/>
              <w:textAlignment w:val="auto"/>
              <w:rPr>
                <w:rFonts w:hint="eastAsia" w:ascii="宋体" w:hAnsi="宋体" w:eastAsia="宋体" w:cs="宋体"/>
                <w:b/>
                <w:color w:val="auto"/>
                <w:sz w:val="24"/>
                <w:szCs w:val="24"/>
                <w:lang w:val="en-US" w:eastAsia="zh-CN"/>
              </w:rPr>
            </w:pPr>
            <w:r>
              <w:rPr>
                <w:rFonts w:hint="eastAsia" w:ascii="宋体" w:hAnsi="宋体" w:cs="宋体"/>
                <w:color w:val="auto"/>
                <w:sz w:val="24"/>
                <w:szCs w:val="24"/>
                <w:lang w:val="en-US" w:eastAsia="zh-CN"/>
              </w:rPr>
              <w:t>综合部</w:t>
            </w:r>
            <w:r>
              <w:rPr>
                <w:rFonts w:hint="eastAsia" w:ascii="宋体" w:hAnsi="宋体" w:eastAsia="宋体" w:cs="宋体"/>
                <w:color w:val="auto"/>
                <w:sz w:val="24"/>
                <w:szCs w:val="24"/>
              </w:rPr>
              <w:t>建立并保持《危险源辨识及风险评价控制程序》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以便持续进行危险源辨识、风险评价和必要的控制措施的确定。</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目标及其实现的策划</w:t>
            </w:r>
          </w:p>
        </w:tc>
        <w:tc>
          <w:tcPr>
            <w:tcW w:w="1033"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Q</w:t>
            </w:r>
            <w:r>
              <w:rPr>
                <w:rFonts w:hint="eastAsia" w:ascii="宋体" w:hAnsi="宋体" w:eastAsia="宋体" w:cs="宋体"/>
                <w:color w:val="auto"/>
                <w:sz w:val="24"/>
                <w:szCs w:val="24"/>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6.2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lang w:val="en-US" w:eastAsia="zh-CN" w:bidi="ar-SA"/>
              </w:rPr>
            </w:pPr>
          </w:p>
        </w:tc>
        <w:tc>
          <w:tcPr>
            <w:tcW w:w="1173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公司管理层以公司的质量/环境/职业健康安全方针为框架，结合公司的实际运营情况，制定公司的质量/环境/职业健康安全目标：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1.质量目标：产品一次生产检验合格率不低于99%</w:t>
            </w:r>
          </w:p>
          <w:p>
            <w:pPr>
              <w:keepNext w:val="0"/>
              <w:keepLines w:val="0"/>
              <w:pageBreakBefore w:val="0"/>
              <w:widowControl w:val="0"/>
              <w:kinsoku/>
              <w:wordWrap/>
              <w:overflowPunct/>
              <w:topLinePunct w:val="0"/>
              <w:autoSpaceDE/>
              <w:autoSpaceDN/>
              <w:bidi w:val="0"/>
              <w:adjustRightInd/>
              <w:snapToGrid/>
              <w:spacing w:line="360" w:lineRule="exact"/>
              <w:ind w:firstLine="1440" w:firstLineChars="6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顾客满意度</w:t>
            </w:r>
            <w:r>
              <w:rPr>
                <w:rFonts w:hint="eastAsia" w:ascii="宋体" w:hAnsi="宋体" w:cs="宋体"/>
                <w:color w:val="auto"/>
                <w:sz w:val="24"/>
                <w:szCs w:val="24"/>
                <w:lang w:val="en-US" w:eastAsia="zh-CN"/>
              </w:rPr>
              <w:t>95</w:t>
            </w:r>
            <w:r>
              <w:rPr>
                <w:rFonts w:hint="eastAsia" w:ascii="宋体" w:hAnsi="宋体" w:eastAsia="宋体" w:cs="宋体"/>
                <w:color w:val="auto"/>
                <w:sz w:val="24"/>
                <w:szCs w:val="24"/>
                <w:lang w:val="en-US" w:eastAsia="zh-CN"/>
              </w:rPr>
              <w:t>%，并逐年提高；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2.环境目标</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固体废物100%分类收集</w:t>
            </w:r>
          </w:p>
          <w:p>
            <w:pPr>
              <w:keepNext w:val="0"/>
              <w:keepLines w:val="0"/>
              <w:pageBreakBefore w:val="0"/>
              <w:widowControl w:val="0"/>
              <w:kinsoku/>
              <w:wordWrap/>
              <w:overflowPunct/>
              <w:topLinePunct w:val="0"/>
              <w:autoSpaceDE/>
              <w:autoSpaceDN/>
              <w:bidi w:val="0"/>
              <w:adjustRightInd/>
              <w:snapToGrid/>
              <w:spacing w:line="360" w:lineRule="exact"/>
              <w:ind w:firstLine="1440" w:firstLineChars="6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火灾发生率0%</w:t>
            </w:r>
          </w:p>
          <w:p>
            <w:pPr>
              <w:keepNext w:val="0"/>
              <w:keepLines w:val="0"/>
              <w:pageBreakBefore w:val="0"/>
              <w:widowControl w:val="0"/>
              <w:kinsoku/>
              <w:wordWrap/>
              <w:overflowPunct/>
              <w:topLinePunct w:val="0"/>
              <w:autoSpaceDE/>
              <w:autoSpaceDN/>
              <w:bidi w:val="0"/>
              <w:adjustRightInd/>
              <w:snapToGrid/>
              <w:spacing w:line="360" w:lineRule="exact"/>
              <w:ind w:firstLine="1440" w:firstLineChars="6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废</w:t>
            </w:r>
            <w:r>
              <w:rPr>
                <w:rFonts w:hint="eastAsia" w:ascii="宋体" w:hAnsi="宋体" w:cs="宋体"/>
                <w:color w:val="auto"/>
                <w:sz w:val="24"/>
                <w:szCs w:val="24"/>
                <w:lang w:val="en-US" w:eastAsia="zh-CN"/>
              </w:rPr>
              <w:t>水</w:t>
            </w:r>
            <w:r>
              <w:rPr>
                <w:rFonts w:hint="eastAsia" w:ascii="宋体" w:hAnsi="宋体" w:eastAsia="宋体" w:cs="宋体"/>
                <w:color w:val="auto"/>
                <w:sz w:val="24"/>
                <w:szCs w:val="24"/>
                <w:lang w:val="en-US" w:eastAsia="zh-CN"/>
              </w:rPr>
              <w:t>、噪声达标排放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3.职业健康安全目标</w:t>
            </w:r>
            <w:r>
              <w:rPr>
                <w:rFonts w:hint="eastAsia" w:ascii="宋体" w:hAnsi="宋体" w:cs="宋体"/>
                <w:color w:val="auto"/>
                <w:sz w:val="24"/>
                <w:szCs w:val="24"/>
                <w:lang w:val="en-US" w:eastAsia="zh-CN"/>
              </w:rPr>
              <w:t>：</w:t>
            </w:r>
            <w:bookmarkStart w:id="1" w:name="_GoBack"/>
            <w:r>
              <w:rPr>
                <w:rFonts w:hint="eastAsia" w:ascii="宋体" w:hAnsi="宋体" w:cs="宋体"/>
                <w:color w:val="auto"/>
                <w:sz w:val="24"/>
                <w:szCs w:val="24"/>
                <w:lang w:val="en-US" w:eastAsia="zh-CN"/>
              </w:rPr>
              <w:t>轻伤小于3起</w:t>
            </w:r>
          </w:p>
          <w:p>
            <w:pPr>
              <w:keepNext w:val="0"/>
              <w:keepLines w:val="0"/>
              <w:pageBreakBefore w:val="0"/>
              <w:widowControl w:val="0"/>
              <w:kinsoku/>
              <w:wordWrap/>
              <w:overflowPunct/>
              <w:topLinePunct w:val="0"/>
              <w:autoSpaceDE/>
              <w:autoSpaceDN/>
              <w:bidi w:val="0"/>
              <w:adjustRightInd/>
              <w:snapToGrid/>
              <w:spacing w:line="360" w:lineRule="exact"/>
              <w:ind w:firstLine="2400" w:firstLineChars="10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无重伤及死亡事故</w:t>
            </w:r>
          </w:p>
          <w:p>
            <w:pPr>
              <w:keepNext w:val="0"/>
              <w:keepLines w:val="0"/>
              <w:pageBreakBefore w:val="0"/>
              <w:widowControl w:val="0"/>
              <w:kinsoku/>
              <w:wordWrap/>
              <w:overflowPunct/>
              <w:topLinePunct w:val="0"/>
              <w:autoSpaceDE/>
              <w:autoSpaceDN/>
              <w:bidi w:val="0"/>
              <w:adjustRightInd/>
              <w:snapToGrid/>
              <w:spacing w:line="360" w:lineRule="exact"/>
              <w:ind w:firstLine="2400" w:firstLineChars="10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火灾发生率为零</w:t>
            </w:r>
            <w:bookmarkEnd w:id="1"/>
          </w:p>
          <w:p>
            <w:pPr>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sz w:val="24"/>
                <w:szCs w:val="24"/>
                <w:lang w:val="en-US" w:eastAsia="zh-CN"/>
              </w:rPr>
            </w:pPr>
            <w:r>
              <w:rPr>
                <w:rFonts w:hint="eastAsia"/>
                <w:sz w:val="24"/>
                <w:szCs w:val="24"/>
                <w:lang w:eastAsia="zh-CN"/>
              </w:rPr>
              <w:t>为确保以上目标的实现，制定了目标分解考核办法，管理目标</w:t>
            </w:r>
            <w:r>
              <w:rPr>
                <w:rFonts w:hint="eastAsia"/>
                <w:sz w:val="24"/>
                <w:szCs w:val="24"/>
              </w:rPr>
              <w:t>分解</w:t>
            </w:r>
            <w:r>
              <w:rPr>
                <w:rFonts w:hint="eastAsia"/>
                <w:sz w:val="24"/>
                <w:szCs w:val="24"/>
                <w:lang w:eastAsia="zh-CN"/>
              </w:rPr>
              <w:t>至各部门</w:t>
            </w:r>
            <w:r>
              <w:rPr>
                <w:rFonts w:hint="eastAsia"/>
                <w:sz w:val="24"/>
                <w:szCs w:val="24"/>
              </w:rPr>
              <w:t>，建立了各部门的分目标，</w:t>
            </w:r>
            <w:r>
              <w:rPr>
                <w:rFonts w:hint="eastAsia"/>
                <w:sz w:val="24"/>
                <w:szCs w:val="24"/>
                <w:lang w:eastAsia="zh-CN"/>
              </w:rPr>
              <w:t>目标可量化，提供了质量、环境、安全的目标分解和考核记录，定期</w:t>
            </w:r>
            <w:r>
              <w:rPr>
                <w:rFonts w:hint="eastAsia"/>
                <w:sz w:val="24"/>
                <w:szCs w:val="24"/>
              </w:rPr>
              <w:t>对目标进行考核</w:t>
            </w:r>
            <w:r>
              <w:rPr>
                <w:rFonts w:hint="eastAsia"/>
                <w:sz w:val="24"/>
                <w:szCs w:val="24"/>
                <w:lang w:eastAsia="zh-CN"/>
              </w:rPr>
              <w:t>，</w:t>
            </w:r>
            <w:r>
              <w:rPr>
                <w:rFonts w:hint="eastAsia"/>
                <w:sz w:val="24"/>
                <w:szCs w:val="24"/>
                <w:lang w:val="en-US" w:eastAsia="zh-CN"/>
              </w:rPr>
              <w:t>2022年第一季度，目标均已完成。</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sz w:val="24"/>
                <w:szCs w:val="24"/>
                <w:lang w:eastAsia="zh-CN"/>
              </w:rPr>
            </w:pPr>
            <w:r>
              <w:rPr>
                <w:rFonts w:hint="eastAsia"/>
                <w:sz w:val="24"/>
                <w:szCs w:val="24"/>
                <w:lang w:eastAsia="zh-CN"/>
              </w:rPr>
              <w:t>针对重要环境因素和不可接受风险，制定了重要环境因素目标指标管理方案和重要环境因素目标指标管理方案，并定期考核，提供了《</w:t>
            </w:r>
            <w:r>
              <w:rPr>
                <w:rFonts w:hint="eastAsia"/>
                <w:sz w:val="24"/>
                <w:szCs w:val="24"/>
                <w:lang w:val="en-US" w:eastAsia="zh-CN"/>
              </w:rPr>
              <w:t>管理方案考核记录</w:t>
            </w:r>
            <w:r>
              <w:rPr>
                <w:rFonts w:hint="eastAsia"/>
                <w:sz w:val="24"/>
                <w:szCs w:val="24"/>
                <w:lang w:eastAsia="zh-CN"/>
              </w:rPr>
              <w:t>》</w:t>
            </w:r>
            <w:r>
              <w:rPr>
                <w:rFonts w:hint="eastAsia"/>
                <w:sz w:val="24"/>
                <w:szCs w:val="24"/>
              </w:rPr>
              <w:t>，</w:t>
            </w:r>
            <w:r>
              <w:rPr>
                <w:rFonts w:hint="eastAsia"/>
                <w:sz w:val="24"/>
                <w:szCs w:val="24"/>
                <w:lang w:eastAsia="zh-CN"/>
              </w:rPr>
              <w:t>截至审核，各部门均完成了设定的目标。</w:t>
            </w:r>
          </w:p>
          <w:p>
            <w:pPr>
              <w:keepNext w:val="0"/>
              <w:keepLines w:val="0"/>
              <w:pageBreakBefore w:val="0"/>
              <w:widowControl w:val="0"/>
              <w:kinsoku/>
              <w:wordWrap/>
              <w:overflowPunct/>
              <w:topLinePunct w:val="0"/>
              <w:autoSpaceDE/>
              <w:autoSpaceDN/>
              <w:bidi w:val="0"/>
              <w:adjustRightInd w:val="0"/>
              <w:snapToGrid w:val="0"/>
              <w:spacing w:line="360" w:lineRule="exact"/>
              <w:rPr>
                <w:rFonts w:hint="eastAsia" w:ascii="宋体" w:hAnsi="宋体" w:eastAsia="宋体" w:cs="宋体"/>
                <w:color w:val="auto"/>
                <w:kern w:val="2"/>
                <w:sz w:val="24"/>
                <w:szCs w:val="24"/>
                <w:lang w:val="en-US" w:eastAsia="zh-CN" w:bidi="ar-SA"/>
              </w:rPr>
            </w:pPr>
            <w:r>
              <w:rPr>
                <w:rFonts w:hint="eastAsia"/>
                <w:sz w:val="24"/>
                <w:szCs w:val="24"/>
                <w:lang w:eastAsia="zh-CN"/>
              </w:rPr>
              <w:t>详细目标实现情况</w:t>
            </w:r>
            <w:r>
              <w:rPr>
                <w:rFonts w:hint="eastAsia"/>
                <w:sz w:val="24"/>
                <w:szCs w:val="24"/>
              </w:rPr>
              <w:t>见各部门</w:t>
            </w:r>
            <w:r>
              <w:rPr>
                <w:rFonts w:hint="eastAsia"/>
                <w:sz w:val="24"/>
                <w:szCs w:val="24"/>
                <w:lang w:eastAsia="zh-CN"/>
              </w:rPr>
              <w:t>审核记录</w:t>
            </w:r>
            <w:r>
              <w:rPr>
                <w:rFonts w:hint="eastAsia"/>
                <w:sz w:val="24"/>
                <w:szCs w:val="24"/>
              </w:rPr>
              <w:t>。</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资源</w:t>
            </w:r>
          </w:p>
        </w:tc>
        <w:tc>
          <w:tcPr>
            <w:tcW w:w="1033"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Q</w:t>
            </w:r>
            <w:r>
              <w:rPr>
                <w:rFonts w:hint="eastAsia" w:ascii="宋体" w:hAnsi="宋体" w:eastAsia="宋体" w:cs="宋体"/>
                <w:color w:val="auto"/>
                <w:sz w:val="24"/>
                <w:szCs w:val="24"/>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w:t>
            </w:r>
          </w:p>
        </w:tc>
        <w:tc>
          <w:tcPr>
            <w:tcW w:w="11737" w:type="dxa"/>
            <w:noWrap w:val="0"/>
            <w:vAlign w:val="top"/>
          </w:tcPr>
          <w:p>
            <w:pPr>
              <w:adjustRightInd w:val="0"/>
              <w:snapToGrid w:val="0"/>
              <w:spacing w:line="300" w:lineRule="exact"/>
              <w:rPr>
                <w:rFonts w:hint="eastAsia" w:ascii="宋体" w:hAnsi="宋体" w:eastAsia="宋体" w:cs="宋体"/>
                <w:sz w:val="24"/>
                <w:szCs w:val="24"/>
                <w:lang w:val="en-US" w:eastAsia="zh-CN"/>
              </w:rPr>
            </w:pPr>
            <w:r>
              <w:rPr>
                <w:rFonts w:hint="eastAsia"/>
                <w:color w:val="auto"/>
                <w:sz w:val="24"/>
                <w:szCs w:val="24"/>
                <w:lang w:val="en-US" w:eastAsia="zh-CN"/>
              </w:rPr>
              <w:t>●查企业编制了《资源能源控制程序》，依程序要求和实际运行情况，</w:t>
            </w:r>
            <w:r>
              <w:rPr>
                <w:rFonts w:hint="eastAsia" w:ascii="宋体" w:hAnsi="宋体" w:eastAsia="宋体" w:cs="宋体"/>
                <w:sz w:val="24"/>
                <w:szCs w:val="24"/>
                <w:lang w:val="en-US" w:eastAsia="zh-CN"/>
              </w:rPr>
              <w:t>确定并提供为建立、实施、保持和持续改进管理体系所需的资源。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4"/>
                <w:szCs w:val="24"/>
                <w:lang w:val="en-US" w:eastAsia="zh-CN"/>
              </w:rPr>
            </w:pPr>
            <w:r>
              <w:rPr>
                <w:rFonts w:hint="eastAsia"/>
                <w:color w:val="auto"/>
                <w:sz w:val="24"/>
                <w:szCs w:val="24"/>
                <w:lang w:val="en-US" w:eastAsia="zh-CN"/>
              </w:rPr>
              <w:t>公司的基础资源包括：</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4"/>
                <w:szCs w:val="24"/>
                <w:lang w:val="en-US" w:eastAsia="zh-CN"/>
              </w:rPr>
            </w:pPr>
            <w:r>
              <w:rPr>
                <w:rFonts w:hint="eastAsia"/>
                <w:color w:val="auto"/>
                <w:sz w:val="24"/>
                <w:szCs w:val="24"/>
                <w:lang w:val="en-US" w:eastAsia="zh-CN"/>
              </w:rPr>
              <w:t>公司的厂房有占地1080㎡，办公面积30㎡，实验室面积20㎡。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sz w:val="24"/>
                <w:szCs w:val="24"/>
                <w:lang w:val="en-US" w:eastAsia="zh-CN"/>
              </w:rPr>
            </w:pPr>
            <w:r>
              <w:rPr>
                <w:rFonts w:hint="eastAsia"/>
                <w:color w:val="auto"/>
                <w:sz w:val="24"/>
                <w:szCs w:val="24"/>
                <w:lang w:val="en-US" w:eastAsia="zh-CN"/>
              </w:rPr>
              <w:t>主要生产设备有：真空烧结炉、液压机、氩弧焊接机，车床、冲床、气动打标机等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4"/>
                <w:szCs w:val="24"/>
                <w:lang w:val="en-US" w:eastAsia="zh-CN"/>
              </w:rPr>
            </w:pPr>
            <w:r>
              <w:rPr>
                <w:rFonts w:hint="eastAsia"/>
                <w:color w:val="auto"/>
                <w:sz w:val="24"/>
                <w:szCs w:val="24"/>
                <w:lang w:val="en-US" w:eastAsia="zh-CN"/>
              </w:rPr>
              <w:t>主要测量设备有：气泡检测仪、温控仪、压力表、电子台秤、游标卡尺等。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4"/>
                <w:szCs w:val="24"/>
                <w:lang w:val="en-US" w:eastAsia="zh-CN"/>
              </w:rPr>
            </w:pPr>
            <w:r>
              <w:rPr>
                <w:rFonts w:hint="eastAsia"/>
                <w:color w:val="auto"/>
                <w:sz w:val="24"/>
                <w:szCs w:val="24"/>
                <w:lang w:val="en-US" w:eastAsia="zh-CN"/>
              </w:rPr>
              <w:t>公司的基础设施资源满足标准要求。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4"/>
                <w:szCs w:val="24"/>
                <w:lang w:val="en-US" w:eastAsia="zh-CN"/>
              </w:rPr>
            </w:pPr>
            <w:r>
              <w:rPr>
                <w:rFonts w:hint="eastAsia"/>
                <w:color w:val="auto"/>
                <w:sz w:val="24"/>
                <w:szCs w:val="24"/>
                <w:lang w:val="en-US" w:eastAsia="zh-CN"/>
              </w:rPr>
              <w:t>人员：</w:t>
            </w:r>
            <w:r>
              <w:rPr>
                <w:rFonts w:hint="eastAsia" w:ascii="宋体" w:hAnsi="宋体" w:eastAsia="宋体" w:cs="宋体"/>
                <w:sz w:val="24"/>
                <w:szCs w:val="24"/>
                <w:lang w:val="en-US" w:eastAsia="zh-CN"/>
              </w:rPr>
              <w:t>目前职工人数</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人，</w:t>
            </w:r>
            <w:r>
              <w:rPr>
                <w:rFonts w:hint="eastAsia" w:ascii="宋体" w:hAnsi="宋体" w:cs="宋体"/>
                <w:sz w:val="24"/>
                <w:szCs w:val="24"/>
                <w:lang w:val="en-US" w:eastAsia="zh-CN"/>
              </w:rPr>
              <w:t>管理人员：3人，人员稳定。</w:t>
            </w:r>
          </w:p>
          <w:p>
            <w:pPr>
              <w:adjustRightInd w:val="0"/>
              <w:snapToGrid w:val="0"/>
              <w:spacing w:line="300" w:lineRule="exact"/>
              <w:rPr>
                <w:rFonts w:hint="eastAsia"/>
                <w:color w:val="auto"/>
                <w:sz w:val="24"/>
                <w:szCs w:val="24"/>
                <w:lang w:val="en-US" w:eastAsia="zh-CN"/>
              </w:rPr>
            </w:pPr>
            <w:r>
              <w:rPr>
                <w:rFonts w:hint="eastAsia" w:ascii="宋体" w:hAnsi="宋体" w:eastAsia="宋体" w:cs="宋体"/>
                <w:sz w:val="24"/>
                <w:szCs w:val="24"/>
                <w:lang w:val="en-US" w:eastAsia="zh-CN"/>
              </w:rPr>
              <w:t>各部门负责保持各自部门的环境卫生和安全控制。各种废弃物的</w:t>
            </w:r>
            <w:r>
              <w:rPr>
                <w:rFonts w:hint="eastAsia" w:ascii="宋体" w:hAnsi="宋体" w:cs="宋体"/>
                <w:sz w:val="24"/>
                <w:szCs w:val="24"/>
                <w:lang w:val="en-US" w:eastAsia="zh-CN"/>
              </w:rPr>
              <w:t>分类处置</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综合办</w:t>
            </w:r>
            <w:r>
              <w:rPr>
                <w:rFonts w:hint="eastAsia" w:ascii="宋体" w:hAnsi="宋体" w:eastAsia="宋体" w:cs="宋体"/>
                <w:sz w:val="24"/>
                <w:szCs w:val="24"/>
                <w:lang w:val="en-US" w:eastAsia="zh-CN"/>
              </w:rPr>
              <w:t>负责监督检查。</w:t>
            </w:r>
            <w:r>
              <w:rPr>
                <w:rFonts w:hint="eastAsia"/>
                <w:color w:val="auto"/>
                <w:sz w:val="24"/>
                <w:szCs w:val="24"/>
                <w:lang w:val="en-US" w:eastAsia="zh-CN"/>
              </w:rPr>
              <w:t>过程环境符合要求。</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2.公司确定并提供为建立、实施、保持和持续改进质量、环境、职业健康安全管理体系所需的资源。公司考虑： 现有内部资源的能力和约束； 需要从外部供方获取的资源。目前：</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1）人员：公司确定并提供所需要的人员，以有效实施管理体系并运行和控制其过程</w:t>
            </w:r>
            <w:r>
              <w:rPr>
                <w:rFonts w:hint="eastAsia" w:ascii="宋体" w:hAnsi="宋体" w:cs="宋体"/>
                <w:color w:val="auto"/>
                <w:sz w:val="24"/>
                <w:szCs w:val="24"/>
                <w:lang w:val="en-US" w:eastAsia="zh-CN"/>
              </w:rPr>
              <w:t>，</w:t>
            </w:r>
            <w:r>
              <w:rPr>
                <w:rFonts w:hint="eastAsia"/>
                <w:color w:val="auto"/>
                <w:sz w:val="24"/>
                <w:szCs w:val="24"/>
                <w:lang w:val="en-US" w:eastAsia="zh-CN"/>
              </w:rPr>
              <w:t>人员都是熟练工，自企业开工以来一直在企业服务。</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基础设施：总经理识别设施配制的需要，提供和维护为实现持续改进所需的没施，当需求变化时，及时提供增添设施，确保需求，提供设施包括：a.办公、工作场所和相应的相关设施;b.过程设备(为满足服务及环境保护需要而配备的机械设备、监视测量仪器、工具、硬件、软件、或其他设备等);c.支持性服务(必要的交通运输工具和通讯设备、电源供应等);d.环保设施等;</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综合部</w:t>
            </w:r>
            <w:r>
              <w:rPr>
                <w:rFonts w:hint="eastAsia" w:ascii="宋体" w:hAnsi="宋体" w:eastAsia="宋体" w:cs="宋体"/>
                <w:color w:val="auto"/>
                <w:sz w:val="24"/>
                <w:szCs w:val="24"/>
                <w:lang w:val="en-US" w:eastAsia="zh-CN"/>
              </w:rPr>
              <w:t>负责提出所需设备的配置申请，经体系负责人审核，报总经理批准后，由</w:t>
            </w:r>
            <w:r>
              <w:rPr>
                <w:rFonts w:hint="eastAsia" w:ascii="宋体" w:hAnsi="宋体" w:cs="宋体"/>
                <w:color w:val="auto"/>
                <w:sz w:val="24"/>
                <w:szCs w:val="24"/>
                <w:lang w:val="en-US" w:eastAsia="zh-CN"/>
              </w:rPr>
              <w:t>综合部</w:t>
            </w:r>
            <w:r>
              <w:rPr>
                <w:rFonts w:hint="eastAsia" w:ascii="宋体" w:hAnsi="宋体" w:eastAsia="宋体" w:cs="宋体"/>
                <w:color w:val="auto"/>
                <w:sz w:val="24"/>
                <w:szCs w:val="24"/>
                <w:lang w:val="en-US" w:eastAsia="zh-CN"/>
              </w:rPr>
              <w:t>购置。新购进设备由</w:t>
            </w:r>
            <w:r>
              <w:rPr>
                <w:rFonts w:hint="eastAsia" w:ascii="宋体" w:hAnsi="宋体" w:cs="宋体"/>
                <w:color w:val="auto"/>
                <w:sz w:val="24"/>
                <w:szCs w:val="24"/>
                <w:lang w:val="en-US" w:eastAsia="zh-CN"/>
              </w:rPr>
              <w:t>生产</w:t>
            </w:r>
            <w:r>
              <w:rPr>
                <w:rFonts w:hint="eastAsia" w:ascii="宋体" w:hAnsi="宋体" w:eastAsia="宋体" w:cs="宋体"/>
                <w:color w:val="auto"/>
                <w:sz w:val="24"/>
                <w:szCs w:val="24"/>
                <w:lang w:val="en-US" w:eastAsia="zh-CN"/>
              </w:rPr>
              <w:t>技术部组织验收后，建账、建卡进行管理。各使用部门按《基础设施和过程环境控制程序》办理手续后使用。</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综合部</w:t>
            </w:r>
            <w:r>
              <w:rPr>
                <w:rFonts w:hint="eastAsia" w:ascii="宋体" w:hAnsi="宋体" w:eastAsia="宋体" w:cs="宋体"/>
                <w:color w:val="auto"/>
                <w:sz w:val="24"/>
                <w:szCs w:val="24"/>
                <w:lang w:val="en-US" w:eastAsia="zh-CN"/>
              </w:rPr>
              <w:t>负责对监视和测量设备的控制管理工作，建立《监视和测量设备台账》，负责组织监视和测量设备的周期检定工作</w:t>
            </w:r>
            <w:r>
              <w:rPr>
                <w:rFonts w:hint="eastAsia" w:ascii="宋体" w:hAnsi="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综合部</w:t>
            </w:r>
            <w:r>
              <w:rPr>
                <w:rFonts w:hint="eastAsia" w:ascii="宋体" w:hAnsi="宋体" w:eastAsia="宋体" w:cs="宋体"/>
                <w:color w:val="auto"/>
                <w:sz w:val="24"/>
                <w:szCs w:val="24"/>
                <w:lang w:val="en-US" w:eastAsia="zh-CN"/>
              </w:rPr>
              <w:t>负责提供必备的办公设备</w:t>
            </w:r>
            <w:r>
              <w:rPr>
                <w:rFonts w:hint="eastAsia" w:ascii="宋体" w:hAnsi="宋体" w:cs="宋体"/>
                <w:color w:val="auto"/>
                <w:sz w:val="24"/>
                <w:szCs w:val="24"/>
                <w:lang w:val="en-US" w:eastAsia="zh-CN"/>
              </w:rPr>
              <w:t>、生产设备</w:t>
            </w:r>
            <w:r>
              <w:rPr>
                <w:rFonts w:hint="eastAsia" w:ascii="宋体" w:hAnsi="宋体" w:eastAsia="宋体" w:cs="宋体"/>
                <w:color w:val="auto"/>
                <w:sz w:val="24"/>
                <w:szCs w:val="24"/>
                <w:lang w:val="en-US" w:eastAsia="zh-CN"/>
              </w:rPr>
              <w:t>，如计算机、打印机</w:t>
            </w:r>
            <w:r>
              <w:rPr>
                <w:rFonts w:hint="eastAsia" w:ascii="宋体" w:hAnsi="宋体" w:cs="宋体"/>
                <w:color w:val="auto"/>
                <w:sz w:val="24"/>
                <w:szCs w:val="24"/>
                <w:lang w:val="en-US" w:eastAsia="zh-CN"/>
              </w:rPr>
              <w:t>、</w:t>
            </w:r>
            <w:r>
              <w:rPr>
                <w:rFonts w:hint="eastAsia"/>
                <w:color w:val="auto"/>
                <w:sz w:val="24"/>
                <w:szCs w:val="24"/>
                <w:lang w:val="en-US" w:eastAsia="zh-CN"/>
              </w:rPr>
              <w:t>真空烧结炉、液压机、氩弧焊接机，车床、冲床、气动打标机等</w:t>
            </w:r>
            <w:r>
              <w:rPr>
                <w:rFonts w:hint="eastAsia" w:ascii="宋体" w:hAnsi="宋体" w:eastAsia="宋体" w:cs="宋体"/>
                <w:color w:val="auto"/>
                <w:sz w:val="24"/>
                <w:szCs w:val="24"/>
                <w:lang w:val="en-US" w:eastAsia="zh-CN"/>
              </w:rPr>
              <w:t>等。</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6）水电供应由</w:t>
            </w:r>
            <w:r>
              <w:rPr>
                <w:rFonts w:hint="eastAsia" w:ascii="宋体" w:hAnsi="宋体" w:cs="宋体"/>
                <w:color w:val="auto"/>
                <w:sz w:val="24"/>
                <w:szCs w:val="24"/>
                <w:lang w:val="en-US" w:eastAsia="zh-CN"/>
              </w:rPr>
              <w:t>综合部</w:t>
            </w:r>
            <w:r>
              <w:rPr>
                <w:rFonts w:hint="eastAsia" w:ascii="宋体" w:hAnsi="宋体" w:eastAsia="宋体" w:cs="宋体"/>
                <w:color w:val="auto"/>
                <w:sz w:val="24"/>
                <w:szCs w:val="24"/>
                <w:lang w:val="en-US" w:eastAsia="zh-CN"/>
              </w:rPr>
              <w:t>负责，各部门按《资源能源控制程序》的规定使用水、电等能源资源。</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7）过程运行环境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公司应确保为</w:t>
            </w:r>
            <w:r>
              <w:rPr>
                <w:rFonts w:hint="eastAsia" w:ascii="宋体" w:hAnsi="宋体" w:cs="宋体"/>
                <w:color w:val="auto"/>
                <w:sz w:val="24"/>
                <w:szCs w:val="24"/>
                <w:lang w:val="en-US" w:eastAsia="zh-CN"/>
              </w:rPr>
              <w:t>生产、销售</w:t>
            </w:r>
            <w:r>
              <w:rPr>
                <w:rFonts w:hint="eastAsia" w:ascii="宋体" w:hAnsi="宋体" w:eastAsia="宋体" w:cs="宋体"/>
                <w:color w:val="auto"/>
                <w:sz w:val="24"/>
                <w:szCs w:val="24"/>
                <w:lang w:val="en-US" w:eastAsia="zh-CN"/>
              </w:rPr>
              <w:t>全过程提供符合要求的工作环境，保证服务质量并预防环境污染。在雨季或冬季</w:t>
            </w:r>
            <w:r>
              <w:rPr>
                <w:rFonts w:hint="eastAsia" w:ascii="宋体" w:hAnsi="宋体" w:cs="宋体"/>
                <w:color w:val="auto"/>
                <w:sz w:val="24"/>
                <w:szCs w:val="24"/>
                <w:lang w:val="en-US" w:eastAsia="zh-CN"/>
              </w:rPr>
              <w:t>生产、销售</w:t>
            </w:r>
            <w:r>
              <w:rPr>
                <w:rFonts w:hint="eastAsia" w:ascii="宋体" w:hAnsi="宋体" w:eastAsia="宋体" w:cs="宋体"/>
                <w:color w:val="auto"/>
                <w:sz w:val="24"/>
                <w:szCs w:val="24"/>
                <w:lang w:val="en-US" w:eastAsia="zh-CN"/>
              </w:rPr>
              <w:t>时，制定冬、雨季检测措施，保证工作环境符合要求。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8）总体环境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各部门负责保持各自</w:t>
            </w:r>
            <w:r>
              <w:rPr>
                <w:rFonts w:hint="eastAsia" w:ascii="宋体" w:hAnsi="宋体" w:cs="宋体"/>
                <w:color w:val="auto"/>
                <w:sz w:val="24"/>
                <w:szCs w:val="24"/>
                <w:lang w:val="en-US" w:eastAsia="zh-CN"/>
              </w:rPr>
              <w:t>区域</w:t>
            </w:r>
            <w:r>
              <w:rPr>
                <w:rFonts w:hint="eastAsia" w:ascii="宋体" w:hAnsi="宋体" w:eastAsia="宋体" w:cs="宋体"/>
                <w:color w:val="auto"/>
                <w:sz w:val="24"/>
                <w:szCs w:val="24"/>
                <w:lang w:val="en-US" w:eastAsia="zh-CN"/>
              </w:rPr>
              <w:t>的环境卫生。各种废弃物的处理按《废弃物控制程序》执行，</w:t>
            </w:r>
            <w:r>
              <w:rPr>
                <w:rFonts w:hint="eastAsia" w:ascii="宋体" w:hAnsi="宋体" w:cs="宋体"/>
                <w:color w:val="auto"/>
                <w:sz w:val="24"/>
                <w:szCs w:val="24"/>
                <w:lang w:val="en-US" w:eastAsia="zh-CN"/>
              </w:rPr>
              <w:t>综合部</w:t>
            </w:r>
            <w:r>
              <w:rPr>
                <w:rFonts w:hint="eastAsia" w:ascii="宋体" w:hAnsi="宋体" w:eastAsia="宋体" w:cs="宋体"/>
                <w:color w:val="auto"/>
                <w:sz w:val="24"/>
                <w:szCs w:val="24"/>
                <w:lang w:val="en-US" w:eastAsia="zh-CN"/>
              </w:rPr>
              <w:t>负责监督检查。每个员工都有责任创造和谐、舒适的工作环境。</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生产、销售</w:t>
            </w:r>
            <w:r>
              <w:rPr>
                <w:rFonts w:hint="eastAsia" w:ascii="宋体" w:hAnsi="宋体" w:eastAsia="宋体" w:cs="宋体"/>
                <w:color w:val="auto"/>
                <w:sz w:val="24"/>
                <w:szCs w:val="24"/>
                <w:lang w:val="en-US" w:eastAsia="zh-CN"/>
              </w:rPr>
              <w:t>环境：</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噪声污染控制由</w:t>
            </w:r>
            <w:r>
              <w:rPr>
                <w:rFonts w:hint="eastAsia" w:ascii="宋体" w:hAnsi="宋体" w:cs="宋体"/>
                <w:color w:val="auto"/>
                <w:sz w:val="24"/>
                <w:szCs w:val="24"/>
                <w:lang w:val="en-US" w:eastAsia="zh-CN"/>
              </w:rPr>
              <w:t>生产技术部</w:t>
            </w:r>
            <w:r>
              <w:rPr>
                <w:rFonts w:hint="eastAsia" w:ascii="宋体" w:hAnsi="宋体" w:eastAsia="宋体" w:cs="宋体"/>
                <w:color w:val="auto"/>
                <w:sz w:val="24"/>
                <w:szCs w:val="24"/>
                <w:lang w:val="en-US" w:eastAsia="zh-CN"/>
              </w:rPr>
              <w:t>组织按《噪声控制程序》的有关规定进行控制。</w:t>
            </w:r>
          </w:p>
          <w:p>
            <w:pPr>
              <w:keepNext w:val="0"/>
              <w:keepLines w:val="0"/>
              <w:pageBreakBefore w:val="0"/>
              <w:widowControl w:val="0"/>
              <w:numPr>
                <w:ilvl w:val="0"/>
                <w:numId w:val="2"/>
              </w:numPr>
              <w:tabs>
                <w:tab w:val="clear" w:pos="312"/>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生产</w:t>
            </w:r>
            <w:r>
              <w:rPr>
                <w:rFonts w:hint="eastAsia" w:ascii="宋体" w:hAnsi="宋体" w:eastAsia="宋体" w:cs="宋体"/>
                <w:color w:val="auto"/>
                <w:sz w:val="24"/>
                <w:szCs w:val="24"/>
                <w:lang w:val="en-US" w:eastAsia="zh-CN"/>
              </w:rPr>
              <w:t>现场粉尘、垃圾、污水排放</w:t>
            </w:r>
            <w:r>
              <w:rPr>
                <w:rFonts w:hint="eastAsia" w:ascii="宋体" w:hAnsi="宋体" w:cs="宋体"/>
                <w:color w:val="auto"/>
                <w:sz w:val="24"/>
                <w:szCs w:val="24"/>
                <w:lang w:val="en-US" w:eastAsia="zh-CN"/>
              </w:rPr>
              <w:t>、固废</w:t>
            </w:r>
            <w:r>
              <w:rPr>
                <w:rFonts w:hint="eastAsia" w:ascii="宋体" w:hAnsi="宋体" w:eastAsia="宋体" w:cs="宋体"/>
                <w:color w:val="auto"/>
                <w:sz w:val="24"/>
                <w:szCs w:val="24"/>
                <w:lang w:val="en-US" w:eastAsia="zh-CN"/>
              </w:rPr>
              <w:t>控制，由生产</w:t>
            </w:r>
            <w:r>
              <w:rPr>
                <w:rFonts w:hint="eastAsia" w:ascii="宋体" w:hAnsi="宋体" w:cs="宋体"/>
                <w:color w:val="auto"/>
                <w:sz w:val="24"/>
                <w:szCs w:val="24"/>
                <w:lang w:val="en-US" w:eastAsia="zh-CN"/>
              </w:rPr>
              <w:t>技术部</w:t>
            </w:r>
            <w:r>
              <w:rPr>
                <w:rFonts w:hint="eastAsia" w:ascii="宋体" w:hAnsi="宋体" w:eastAsia="宋体" w:cs="宋体"/>
                <w:color w:val="auto"/>
                <w:sz w:val="24"/>
                <w:szCs w:val="24"/>
                <w:lang w:val="en-US" w:eastAsia="zh-CN"/>
              </w:rPr>
              <w:t>按《环境监测与测量程序》的有关规定执行。</w:t>
            </w:r>
          </w:p>
          <w:p>
            <w:pPr>
              <w:keepNext w:val="0"/>
              <w:keepLines w:val="0"/>
              <w:pageBreakBefore w:val="0"/>
              <w:widowControl w:val="0"/>
              <w:numPr>
                <w:ilvl w:val="0"/>
                <w:numId w:val="2"/>
              </w:numPr>
              <w:tabs>
                <w:tab w:val="clear" w:pos="312"/>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各部门依据有关操作规定和规程组织</w:t>
            </w:r>
            <w:r>
              <w:rPr>
                <w:rFonts w:hint="eastAsia" w:ascii="宋体" w:hAnsi="宋体" w:cs="宋体"/>
                <w:color w:val="auto"/>
                <w:sz w:val="24"/>
                <w:szCs w:val="24"/>
                <w:lang w:val="en-US" w:eastAsia="zh-CN"/>
              </w:rPr>
              <w:t>生产</w:t>
            </w:r>
            <w:r>
              <w:rPr>
                <w:rFonts w:hint="eastAsia" w:ascii="宋体" w:hAnsi="宋体" w:eastAsia="宋体" w:cs="宋体"/>
                <w:color w:val="auto"/>
                <w:sz w:val="24"/>
                <w:szCs w:val="24"/>
                <w:lang w:val="en-US" w:eastAsia="zh-CN"/>
              </w:rPr>
              <w:t>，具体执行《</w:t>
            </w:r>
            <w:r>
              <w:rPr>
                <w:rFonts w:hint="eastAsia" w:ascii="宋体" w:hAnsi="宋体" w:cs="宋体"/>
                <w:color w:val="auto"/>
                <w:sz w:val="24"/>
                <w:szCs w:val="24"/>
                <w:lang w:val="en-US" w:eastAsia="zh-CN"/>
              </w:rPr>
              <w:t>生产过程</w:t>
            </w:r>
            <w:r>
              <w:rPr>
                <w:rFonts w:hint="eastAsia" w:ascii="宋体" w:hAnsi="宋体" w:eastAsia="宋体" w:cs="宋体"/>
                <w:color w:val="auto"/>
                <w:sz w:val="24"/>
                <w:szCs w:val="24"/>
                <w:lang w:val="en-US" w:eastAsia="zh-CN"/>
              </w:rPr>
              <w:t>控制程序》。</w:t>
            </w:r>
          </w:p>
          <w:p>
            <w:pPr>
              <w:keepNext w:val="0"/>
              <w:keepLines w:val="0"/>
              <w:pageBreakBefore w:val="0"/>
              <w:widowControl w:val="0"/>
              <w:numPr>
                <w:ilvl w:val="0"/>
                <w:numId w:val="2"/>
              </w:numPr>
              <w:tabs>
                <w:tab w:val="clear" w:pos="312"/>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综合部</w:t>
            </w:r>
            <w:r>
              <w:rPr>
                <w:rFonts w:hint="eastAsia" w:ascii="宋体" w:hAnsi="宋体" w:eastAsia="宋体" w:cs="宋体"/>
                <w:color w:val="auto"/>
                <w:sz w:val="24"/>
                <w:szCs w:val="24"/>
                <w:lang w:val="en-US" w:eastAsia="zh-CN"/>
              </w:rPr>
              <w:t>负责提供涉及环境保护的设备、设施和用品。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创造良好的工作环境，努力提高工作效率。</w:t>
            </w:r>
            <w:r>
              <w:rPr>
                <w:rFonts w:hint="eastAsia" w:ascii="宋体" w:hAnsi="宋体" w:cs="宋体"/>
                <w:color w:val="auto"/>
                <w:sz w:val="24"/>
                <w:szCs w:val="24"/>
                <w:lang w:val="en-US" w:eastAsia="zh-CN"/>
              </w:rPr>
              <w:t>综合部</w:t>
            </w:r>
            <w:r>
              <w:rPr>
                <w:rFonts w:hint="eastAsia" w:ascii="宋体" w:hAnsi="宋体" w:eastAsia="宋体" w:cs="宋体"/>
                <w:color w:val="auto"/>
                <w:sz w:val="24"/>
                <w:szCs w:val="24"/>
                <w:lang w:val="en-US" w:eastAsia="zh-CN"/>
              </w:rPr>
              <w:t>负责环境状况的监督检查。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 xml:space="preserve">    10）此外，创造无歧视、和谐稳定、无对抗的工作氛围，采取措施舒缓心理压力、预防过度疲劳、保护个人情感也是过程运行环境管理的重要组成部分。</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管理评审</w:t>
            </w:r>
          </w:p>
        </w:tc>
        <w:tc>
          <w:tcPr>
            <w:tcW w:w="1033"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Q</w:t>
            </w:r>
            <w:r>
              <w:rPr>
                <w:rFonts w:hint="eastAsia" w:ascii="宋体" w:hAnsi="宋体" w:eastAsia="宋体" w:cs="宋体"/>
                <w:color w:val="auto"/>
                <w:sz w:val="24"/>
                <w:szCs w:val="24"/>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w:t>
            </w:r>
          </w:p>
        </w:tc>
        <w:tc>
          <w:tcPr>
            <w:tcW w:w="1173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●制定并执行《管理评审控制程序》，程序要求每年至少一次管理评评审，总经理主持，特殊情况可增加评审频次。</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查管理评审：2022年3月23日召开了管理评审会议，与王总沟通，能说出管理评审时间，流程安排。</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strike w:val="0"/>
                <w:dstrike w:val="0"/>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strike w:val="0"/>
                <w:dstrike w:val="0"/>
                <w:color w:val="auto"/>
                <w:sz w:val="24"/>
                <w:szCs w:val="24"/>
                <w:lang w:val="en-US" w:eastAsia="zh-CN"/>
              </w:rPr>
              <w:t>.</w:t>
            </w:r>
            <w:r>
              <w:rPr>
                <w:rFonts w:hint="eastAsia" w:ascii="宋体" w:hAnsi="宋体" w:cs="宋体"/>
                <w:strike w:val="0"/>
                <w:dstrike w:val="0"/>
                <w:color w:val="auto"/>
                <w:sz w:val="24"/>
                <w:szCs w:val="24"/>
                <w:lang w:val="en-US" w:eastAsia="zh-CN"/>
              </w:rPr>
              <w:t>提供了《管理评审的通知》，通知于2022年3月23日上午8点半召开管理评审会议。计划包含管理评审的目的，依据，参加人员等。批准：王亚东，2022.3.19。</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trike w:val="0"/>
                <w:dstrike w:val="0"/>
                <w:color w:val="auto"/>
                <w:sz w:val="24"/>
                <w:szCs w:val="24"/>
                <w:lang w:val="en-US" w:eastAsia="zh-CN"/>
              </w:rPr>
            </w:pPr>
            <w:r>
              <w:rPr>
                <w:rFonts w:hint="eastAsia" w:ascii="宋体" w:hAnsi="宋体" w:cs="宋体"/>
                <w:strike w:val="0"/>
                <w:dstrike w:val="0"/>
                <w:color w:val="auto"/>
                <w:sz w:val="24"/>
                <w:szCs w:val="24"/>
                <w:lang w:val="en-US" w:eastAsia="zh-CN"/>
              </w:rPr>
              <w:t>2、</w:t>
            </w:r>
            <w:r>
              <w:rPr>
                <w:rFonts w:hint="eastAsia" w:ascii="宋体" w:hAnsi="宋体" w:eastAsia="宋体" w:cs="宋体"/>
                <w:strike w:val="0"/>
                <w:dstrike w:val="0"/>
                <w:color w:val="auto"/>
                <w:sz w:val="24"/>
                <w:szCs w:val="24"/>
                <w:lang w:val="en-US" w:eastAsia="zh-CN"/>
              </w:rPr>
              <w:t>提供了《管理评审计划》，明确了评审目的、地点、参加评审的人员、评审的内容和各部门需准备的评审材料。</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trike w:val="0"/>
                <w:dstrike w:val="0"/>
                <w:color w:val="auto"/>
                <w:sz w:val="24"/>
                <w:szCs w:val="24"/>
                <w:lang w:val="en-US" w:eastAsia="zh-CN"/>
              </w:rPr>
            </w:pPr>
            <w:r>
              <w:rPr>
                <w:rFonts w:hint="eastAsia" w:ascii="宋体" w:hAnsi="宋体" w:cs="宋体"/>
                <w:strike w:val="0"/>
                <w:dstrike w:val="0"/>
                <w:color w:val="auto"/>
                <w:sz w:val="24"/>
                <w:szCs w:val="24"/>
                <w:lang w:val="en-US" w:eastAsia="zh-CN"/>
              </w:rPr>
              <w:t>3、</w:t>
            </w:r>
            <w:r>
              <w:rPr>
                <w:rFonts w:hint="eastAsia" w:ascii="宋体" w:hAnsi="宋体" w:eastAsia="宋体" w:cs="宋体"/>
                <w:strike w:val="0"/>
                <w:dstrike w:val="0"/>
                <w:color w:val="auto"/>
                <w:sz w:val="24"/>
                <w:szCs w:val="24"/>
                <w:lang w:val="en-US" w:eastAsia="zh-CN"/>
              </w:rPr>
              <w:t>实际执行：于202</w:t>
            </w:r>
            <w:r>
              <w:rPr>
                <w:rFonts w:hint="eastAsia" w:ascii="宋体" w:hAnsi="宋体" w:cs="宋体"/>
                <w:strike w:val="0"/>
                <w:dstrike w:val="0"/>
                <w:color w:val="auto"/>
                <w:sz w:val="24"/>
                <w:szCs w:val="24"/>
                <w:lang w:val="en-US" w:eastAsia="zh-CN"/>
              </w:rPr>
              <w:t>2</w:t>
            </w:r>
            <w:r>
              <w:rPr>
                <w:rFonts w:hint="eastAsia" w:ascii="宋体" w:hAnsi="宋体" w:eastAsia="宋体" w:cs="宋体"/>
                <w:strike w:val="0"/>
                <w:dstrike w:val="0"/>
                <w:color w:val="auto"/>
                <w:sz w:val="24"/>
                <w:szCs w:val="24"/>
                <w:lang w:val="en-US" w:eastAsia="zh-CN"/>
              </w:rPr>
              <w:t>年</w:t>
            </w:r>
            <w:r>
              <w:rPr>
                <w:rFonts w:hint="eastAsia" w:ascii="宋体" w:hAnsi="宋体" w:cs="宋体"/>
                <w:strike w:val="0"/>
                <w:dstrike w:val="0"/>
                <w:color w:val="auto"/>
                <w:sz w:val="24"/>
                <w:szCs w:val="24"/>
                <w:lang w:val="en-US" w:eastAsia="zh-CN"/>
              </w:rPr>
              <w:t>3</w:t>
            </w:r>
            <w:r>
              <w:rPr>
                <w:rFonts w:hint="eastAsia" w:ascii="宋体" w:hAnsi="宋体" w:eastAsia="宋体" w:cs="宋体"/>
                <w:strike w:val="0"/>
                <w:dstrike w:val="0"/>
                <w:color w:val="auto"/>
                <w:sz w:val="24"/>
                <w:szCs w:val="24"/>
                <w:lang w:val="en-US" w:eastAsia="zh-CN"/>
              </w:rPr>
              <w:t>月</w:t>
            </w:r>
            <w:r>
              <w:rPr>
                <w:rFonts w:hint="eastAsia" w:ascii="宋体" w:hAnsi="宋体" w:cs="宋体"/>
                <w:strike w:val="0"/>
                <w:dstrike w:val="0"/>
                <w:color w:val="auto"/>
                <w:sz w:val="24"/>
                <w:szCs w:val="24"/>
                <w:lang w:val="en-US" w:eastAsia="zh-CN"/>
              </w:rPr>
              <w:t>23</w:t>
            </w:r>
            <w:r>
              <w:rPr>
                <w:rFonts w:hint="eastAsia" w:ascii="宋体" w:hAnsi="宋体" w:eastAsia="宋体" w:cs="宋体"/>
                <w:strike w:val="0"/>
                <w:dstrike w:val="0"/>
                <w:color w:val="auto"/>
                <w:sz w:val="24"/>
                <w:szCs w:val="24"/>
                <w:lang w:val="en-US" w:eastAsia="zh-CN"/>
              </w:rPr>
              <w:t>日由总经理主持进行了管理评审。</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提供了会议签到表、各部门输入资料、各部门领导所做的本部门体系运行工作汇报</w:t>
            </w:r>
            <w:r>
              <w:rPr>
                <w:rFonts w:hint="eastAsia" w:ascii="宋体" w:hAnsi="宋体" w:cs="宋体"/>
                <w:strike w:val="0"/>
                <w:dstrike w:val="0"/>
                <w:color w:val="auto"/>
                <w:sz w:val="24"/>
                <w:szCs w:val="24"/>
                <w:lang w:val="en-US" w:eastAsia="zh-CN"/>
              </w:rPr>
              <w:t>、管理评审会议记录。</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trike w:val="0"/>
                <w:dstrike w:val="0"/>
                <w:color w:val="auto"/>
                <w:sz w:val="24"/>
                <w:szCs w:val="24"/>
                <w:lang w:val="en-US" w:eastAsia="zh-CN"/>
              </w:rPr>
            </w:pPr>
            <w:r>
              <w:rPr>
                <w:rFonts w:hint="eastAsia" w:ascii="宋体" w:hAnsi="宋体" w:cs="宋体"/>
                <w:strike w:val="0"/>
                <w:dstrike w:val="0"/>
                <w:color w:val="auto"/>
                <w:sz w:val="24"/>
                <w:szCs w:val="24"/>
                <w:lang w:val="en-US" w:eastAsia="zh-CN"/>
              </w:rPr>
              <w:t>提供了《管理评审报告》，管理评审结论：通过管理评审说明我公司的质量、环境、安全管理体系的运行是适宜的、充分的和有效的。</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trike w:val="0"/>
                <w:dstrike w:val="0"/>
                <w:color w:val="auto"/>
                <w:sz w:val="24"/>
                <w:szCs w:val="24"/>
                <w:lang w:val="en-US" w:eastAsia="zh-CN"/>
              </w:rPr>
            </w:pPr>
            <w:r>
              <w:rPr>
                <w:rFonts w:hint="eastAsia" w:ascii="宋体" w:hAnsi="宋体" w:cs="宋体"/>
                <w:strike w:val="0"/>
                <w:dstrike w:val="0"/>
                <w:color w:val="auto"/>
                <w:sz w:val="24"/>
                <w:szCs w:val="24"/>
                <w:lang w:val="en-US" w:eastAsia="zh-CN"/>
              </w:rPr>
              <w:t>管理评审提出</w:t>
            </w:r>
            <w:r>
              <w:rPr>
                <w:rFonts w:hint="eastAsia" w:ascii="宋体" w:hAnsi="宋体" w:eastAsia="宋体" w:cs="宋体"/>
                <w:strike w:val="0"/>
                <w:dstrike w:val="0"/>
                <w:color w:val="auto"/>
                <w:sz w:val="24"/>
                <w:szCs w:val="24"/>
                <w:lang w:val="en-US" w:eastAsia="zh-CN"/>
              </w:rPr>
              <w:t xml:space="preserve">改进要求： </w:t>
            </w:r>
            <w:r>
              <w:rPr>
                <w:rFonts w:hint="eastAsia" w:ascii="宋体" w:hAnsi="宋体" w:cs="宋体"/>
                <w:strike w:val="0"/>
                <w:dstrike w:val="0"/>
                <w:color w:val="auto"/>
                <w:sz w:val="24"/>
                <w:szCs w:val="24"/>
                <w:lang w:val="en-US" w:eastAsia="zh-CN"/>
              </w:rPr>
              <w:t>由综合部组织实施对员工加强新冠疫情</w:t>
            </w:r>
            <w:r>
              <w:rPr>
                <w:rFonts w:hint="eastAsia" w:ascii="宋体" w:hAnsi="宋体" w:eastAsia="宋体" w:cs="宋体"/>
                <w:strike w:val="0"/>
                <w:dstrike w:val="0"/>
                <w:color w:val="auto"/>
                <w:sz w:val="24"/>
                <w:szCs w:val="24"/>
                <w:lang w:val="en-US" w:eastAsia="zh-CN"/>
              </w:rPr>
              <w:t>防控防</w:t>
            </w:r>
            <w:r>
              <w:rPr>
                <w:rFonts w:hint="eastAsia" w:ascii="宋体" w:hAnsi="宋体" w:cs="宋体"/>
                <w:strike w:val="0"/>
                <w:dstrike w:val="0"/>
                <w:color w:val="auto"/>
                <w:sz w:val="24"/>
                <w:szCs w:val="24"/>
                <w:lang w:val="en-US" w:eastAsia="zh-CN"/>
              </w:rPr>
              <w:t>教育</w:t>
            </w:r>
            <w:r>
              <w:rPr>
                <w:rFonts w:hint="eastAsia" w:ascii="宋体" w:hAnsi="宋体" w:eastAsia="宋体" w:cs="宋体"/>
                <w:strike w:val="0"/>
                <w:dstrike w:val="0"/>
                <w:color w:val="auto"/>
                <w:sz w:val="24"/>
                <w:szCs w:val="24"/>
                <w:lang w:val="en-US" w:eastAsia="zh-CN"/>
              </w:rPr>
              <w:t>培训。</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color w:val="auto"/>
                <w:sz w:val="24"/>
                <w:szCs w:val="24"/>
              </w:rPr>
            </w:pPr>
            <w:r>
              <w:rPr>
                <w:rFonts w:hint="eastAsia" w:ascii="宋体" w:hAnsi="宋体" w:eastAsia="宋体" w:cs="宋体"/>
                <w:strike w:val="0"/>
                <w:dstrike w:val="0"/>
                <w:color w:val="auto"/>
                <w:sz w:val="24"/>
                <w:szCs w:val="24"/>
                <w:lang w:val="en-US" w:eastAsia="zh-CN"/>
              </w:rPr>
              <w:t>管理评审提出的改进措施已</w:t>
            </w:r>
            <w:r>
              <w:rPr>
                <w:rFonts w:hint="eastAsia" w:ascii="宋体" w:hAnsi="宋体" w:cs="宋体"/>
                <w:strike w:val="0"/>
                <w:dstrike w:val="0"/>
                <w:color w:val="auto"/>
                <w:sz w:val="24"/>
                <w:szCs w:val="24"/>
                <w:lang w:val="en-US" w:eastAsia="zh-CN"/>
              </w:rPr>
              <w:t>于2022年4月底</w:t>
            </w:r>
            <w:r>
              <w:rPr>
                <w:rFonts w:hint="eastAsia" w:ascii="宋体" w:hAnsi="宋体" w:eastAsia="宋体" w:cs="宋体"/>
                <w:strike w:val="0"/>
                <w:dstrike w:val="0"/>
                <w:color w:val="auto"/>
                <w:sz w:val="24"/>
                <w:szCs w:val="24"/>
                <w:lang w:val="en-US" w:eastAsia="zh-CN"/>
              </w:rPr>
              <w:t>实施完毕</w:t>
            </w:r>
            <w:r>
              <w:rPr>
                <w:rFonts w:hint="eastAsia" w:ascii="宋体" w:hAnsi="宋体" w:cs="宋体"/>
                <w:strike w:val="0"/>
                <w:dstrike w:val="0"/>
                <w:color w:val="auto"/>
                <w:sz w:val="24"/>
                <w:szCs w:val="24"/>
                <w:lang w:val="en-US" w:eastAsia="zh-CN"/>
              </w:rPr>
              <w:t>。</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持续改进</w:t>
            </w:r>
          </w:p>
        </w:tc>
        <w:tc>
          <w:tcPr>
            <w:tcW w:w="1033"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Q</w:t>
            </w:r>
            <w:r>
              <w:rPr>
                <w:rFonts w:hint="eastAsia" w:ascii="宋体" w:hAnsi="宋体" w:eastAsia="宋体" w:cs="宋体"/>
                <w:color w:val="auto"/>
                <w:sz w:val="24"/>
                <w:szCs w:val="24"/>
                <w:lang w:val="en-US" w:eastAsia="zh-CN"/>
              </w:rPr>
              <w:t>EO</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w:t>
            </w:r>
          </w:p>
        </w:tc>
        <w:tc>
          <w:tcPr>
            <w:tcW w:w="11737" w:type="dxa"/>
            <w:noWrap w:val="0"/>
            <w:vAlign w:val="top"/>
          </w:tcPr>
          <w:p>
            <w:pPr>
              <w:adjustRightInd w:val="0"/>
              <w:snapToGrid w:val="0"/>
              <w:spacing w:line="300" w:lineRule="exact"/>
              <w:rPr>
                <w:rFonts w:hint="eastAsia" w:ascii="宋体" w:hAnsi="宋体" w:eastAsia="宋体" w:cs="宋体"/>
                <w:sz w:val="24"/>
                <w:szCs w:val="24"/>
                <w:lang w:val="en-US" w:eastAsia="zh-CN"/>
              </w:rPr>
            </w:pPr>
            <w:r>
              <w:rPr>
                <w:rFonts w:hint="eastAsia" w:ascii="宋体" w:hAnsi="宋体" w:cs="宋体"/>
                <w:color w:val="auto"/>
                <w:sz w:val="24"/>
                <w:szCs w:val="24"/>
                <w:lang w:val="en-US" w:eastAsia="zh-CN"/>
              </w:rPr>
              <w:t>●</w:t>
            </w:r>
            <w:r>
              <w:rPr>
                <w:rFonts w:hint="eastAsia" w:ascii="宋体" w:hAnsi="宋体" w:eastAsia="宋体" w:cs="宋体"/>
                <w:sz w:val="24"/>
                <w:szCs w:val="24"/>
                <w:lang w:val="en-US" w:eastAsia="zh-CN"/>
              </w:rPr>
              <w:t>查企业制定了《改进控制程序》</w:t>
            </w:r>
          </w:p>
          <w:p>
            <w:pPr>
              <w:adjustRightInd w:val="0"/>
              <w:snapToGrid w:val="0"/>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公司确定并选择改进机会，采取必要措施，满足顾客要求和增强顾客满意。内容包括：</w:t>
            </w:r>
          </w:p>
          <w:p>
            <w:pPr>
              <w:adjustRightInd w:val="0"/>
              <w:snapToGrid w:val="0"/>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改进生产，以满足要求并关注未来的需求和期望；</w:t>
            </w:r>
          </w:p>
          <w:p>
            <w:pPr>
              <w:adjustRightInd w:val="0"/>
              <w:snapToGrid w:val="0"/>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纠正、预防或减少不利影响；</w:t>
            </w:r>
          </w:p>
          <w:p>
            <w:pPr>
              <w:adjustRightInd w:val="0"/>
              <w:snapToGrid w:val="0"/>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改进质量、环境、职业健康安全管理体系绩效和有效性。</w:t>
            </w:r>
          </w:p>
          <w:p>
            <w:pPr>
              <w:adjustRightInd w:val="0"/>
              <w:snapToGrid w:val="0"/>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目前公司的持续改进措施主要是：</w:t>
            </w:r>
          </w:p>
          <w:p>
            <w:pPr>
              <w:adjustRightInd w:val="0"/>
              <w:snapToGrid w:val="0"/>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1）每周一上午举行的公司的例会，会议中针对上个星期出现的问题进行讨论、解决，并制定下个星期工作计划和工作思路。例会有会议记录。</w:t>
            </w:r>
          </w:p>
          <w:p>
            <w:pPr>
              <w:adjustRightInd w:val="0"/>
              <w:snapToGrid w:val="0"/>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2)日常监视和测量过程中发现的不合格、不符合要求相关责任部门及时制定相应的改进、纠正和纠正措施。</w:t>
            </w:r>
          </w:p>
          <w:p>
            <w:pPr>
              <w:adjustRightInd w:val="0"/>
              <w:snapToGrid w:val="0"/>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3）内审、管理评审、绩效考核；</w:t>
            </w:r>
          </w:p>
          <w:p>
            <w:pPr>
              <w:adjustRightInd w:val="0"/>
              <w:snapToGrid w:val="0"/>
              <w:spacing w:line="300" w:lineRule="exact"/>
              <w:rPr>
                <w:rFonts w:hint="eastAsia" w:ascii="宋体" w:hAnsi="宋体" w:eastAsia="宋体" w:cs="宋体"/>
                <w:color w:val="auto"/>
                <w:sz w:val="24"/>
                <w:szCs w:val="24"/>
              </w:rPr>
            </w:pPr>
            <w:r>
              <w:rPr>
                <w:rFonts w:hint="eastAsia" w:ascii="宋体" w:hAnsi="宋体" w:eastAsia="宋体" w:cs="宋体"/>
                <w:sz w:val="24"/>
                <w:szCs w:val="24"/>
                <w:lang w:val="en-US" w:eastAsia="zh-CN"/>
              </w:rPr>
              <w:t>4）利用目标管理持续改进。</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变更的策划</w:t>
            </w:r>
          </w:p>
        </w:tc>
        <w:tc>
          <w:tcPr>
            <w:tcW w:w="1033"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Q6.3</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lang w:val="en-US" w:eastAsia="zh-CN" w:bidi="ar-SA"/>
              </w:rPr>
            </w:pPr>
          </w:p>
        </w:tc>
        <w:tc>
          <w:tcPr>
            <w:tcW w:w="11737" w:type="dxa"/>
            <w:noWrap w:val="0"/>
            <w:vAlign w:val="top"/>
          </w:tcPr>
          <w:p>
            <w:pPr>
              <w:adjustRightInd w:val="0"/>
              <w:snapToGrid w:val="0"/>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于2020年12月10日建立质量/环境/职业健康安全管理体系，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adjustRightInd w:val="0"/>
              <w:snapToGrid w:val="0"/>
              <w:spacing w:line="30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自上次审核以来没有发生变更 。</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82" w:type="dxa"/>
            <w:noWrap w:val="0"/>
            <w:vAlign w:val="top"/>
          </w:tcPr>
          <w:p>
            <w:pPr>
              <w:adjustRightInd w:val="0"/>
              <w:snapToGrid w:val="0"/>
              <w:spacing w:line="300" w:lineRule="exact"/>
              <w:rPr>
                <w:rFonts w:hint="eastAsia" w:ascii="宋体" w:hAnsi="宋体" w:eastAsia="宋体" w:cs="宋体"/>
                <w:kern w:val="2"/>
                <w:sz w:val="24"/>
                <w:szCs w:val="24"/>
                <w:lang w:val="en-US" w:eastAsia="zh-CN" w:bidi="ar-SA"/>
              </w:rPr>
            </w:pPr>
          </w:p>
        </w:tc>
        <w:tc>
          <w:tcPr>
            <w:tcW w:w="1033" w:type="dxa"/>
            <w:noWrap w:val="0"/>
            <w:vAlign w:val="top"/>
          </w:tcPr>
          <w:p>
            <w:pPr>
              <w:adjustRightInd w:val="0"/>
              <w:snapToGrid w:val="0"/>
              <w:spacing w:line="300" w:lineRule="exact"/>
              <w:rPr>
                <w:rFonts w:hint="eastAsia" w:ascii="宋体" w:hAnsi="宋体" w:eastAsia="宋体" w:cs="宋体"/>
                <w:kern w:val="2"/>
                <w:sz w:val="24"/>
                <w:szCs w:val="24"/>
                <w:lang w:val="en-US" w:eastAsia="zh-CN" w:bidi="ar-SA"/>
              </w:rPr>
            </w:pPr>
          </w:p>
        </w:tc>
        <w:tc>
          <w:tcPr>
            <w:tcW w:w="11737" w:type="dxa"/>
            <w:noWrap w:val="0"/>
            <w:vAlign w:val="center"/>
          </w:tcPr>
          <w:p>
            <w:pPr>
              <w:adjustRightInd w:val="0"/>
              <w:snapToGrid w:val="0"/>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上次审核问题验证/投诉或事故/ 政府主管部门抽查情况 </w:t>
            </w:r>
          </w:p>
          <w:p>
            <w:pPr>
              <w:adjustRightInd w:val="0"/>
              <w:snapToGrid w:val="0"/>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被投诉情况/事故：无</w:t>
            </w:r>
          </w:p>
          <w:p>
            <w:pPr>
              <w:adjustRightInd w:val="0"/>
              <w:snapToGrid w:val="0"/>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证书使用情况：目前主要对客户展示，未违规使用。</w:t>
            </w:r>
          </w:p>
          <w:p>
            <w:pPr>
              <w:adjustRightInd w:val="0"/>
              <w:snapToGrid w:val="0"/>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政府主管部门抽查情况：无</w:t>
            </w:r>
          </w:p>
          <w:p>
            <w:pPr>
              <w:adjustRightInd w:val="0"/>
              <w:snapToGrid w:val="0"/>
              <w:spacing w:line="300" w:lineRule="exact"/>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上次审核发现的不符合项分别</w:t>
            </w:r>
            <w:r>
              <w:rPr>
                <w:rFonts w:hint="eastAsia" w:ascii="宋体" w:hAnsi="宋体" w:cs="宋体"/>
                <w:sz w:val="24"/>
                <w:szCs w:val="24"/>
                <w:lang w:val="en-US" w:eastAsia="zh-CN"/>
              </w:rPr>
              <w:t>发生在</w:t>
            </w:r>
          </w:p>
          <w:p>
            <w:pPr>
              <w:adjustRightInd w:val="0"/>
              <w:snapToGrid w:val="0"/>
              <w:spacing w:line="30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生产技术部</w:t>
            </w:r>
            <w:r>
              <w:rPr>
                <w:rFonts w:hint="eastAsia" w:ascii="宋体" w:hAnsi="宋体" w:eastAsia="宋体" w:cs="宋体"/>
                <w:sz w:val="24"/>
                <w:szCs w:val="24"/>
                <w:lang w:val="en-US" w:eastAsia="zh-CN"/>
              </w:rPr>
              <w:t>的</w:t>
            </w:r>
            <w:r>
              <w:rPr>
                <w:rFonts w:hint="eastAsia" w:ascii="宋体" w:hAnsi="宋体" w:cs="宋体"/>
                <w:sz w:val="24"/>
                <w:szCs w:val="24"/>
                <w:lang w:val="en-US" w:eastAsia="zh-CN"/>
              </w:rPr>
              <w:t>GB/T19001-2016 7.1.5条款，</w:t>
            </w:r>
          </w:p>
          <w:p>
            <w:pPr>
              <w:adjustRightInd w:val="0"/>
              <w:snapToGrid w:val="0"/>
              <w:spacing w:line="30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综合部的 GB/T24001-2016  8.1条款和GB/T45001-2020 8.1条款，GB/T45001-2020  9.1.1条款，</w:t>
            </w:r>
          </w:p>
          <w:p>
            <w:pPr>
              <w:adjustRightInd w:val="0"/>
              <w:snapToGrid w:val="0"/>
              <w:spacing w:line="30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相关责任部门对其进行了原因分析，制定并采取了纠正及纠正措施，本次审核未发生类似问题，采取的纠正措施有效。</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lang w:val="en-US" w:eastAsia="zh-CN"/>
              </w:rPr>
            </w:pPr>
          </w:p>
        </w:tc>
      </w:tr>
    </w:tbl>
    <w:p>
      <w:pPr>
        <w:rPr>
          <w:rFonts w:hint="eastAsia"/>
        </w:rPr>
      </w:pPr>
    </w:p>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firstLine="720" w:firstLineChars="40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pPr>
                            <w:rPr>
                              <w:sz w:val="18"/>
                              <w:szCs w:val="18"/>
                            </w:rPr>
                          </w:pPr>
                          <w:r>
                            <w:rPr>
                              <w:rFonts w:hint="eastAsia"/>
                              <w:sz w:val="18"/>
                              <w:szCs w:val="18"/>
                            </w:rPr>
                            <w:t>ISC-B-II-12(05版）</w:t>
                          </w:r>
                        </w:p>
                        <w:p/>
                      </w:txbxContent>
                    </wps:txbx>
                    <wps:bodyPr upright="1"/>
                  </wps:wsp>
                </a:graphicData>
              </a:graphic>
            </wp:anchor>
          </w:drawing>
        </mc:Choice>
        <mc:Fallback>
          <w:pict>
            <v:shape id="文本框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p/>
                </w:txbxContent>
              </v:textbox>
            </v:shape>
          </w:pict>
        </mc:Fallback>
      </mc:AlternateConten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88622"/>
    <w:multiLevelType w:val="singleLevel"/>
    <w:tmpl w:val="E6688622"/>
    <w:lvl w:ilvl="0" w:tentative="0">
      <w:start w:val="9"/>
      <w:numFmt w:val="decimal"/>
      <w:suff w:val="nothing"/>
      <w:lvlText w:val="%1）"/>
      <w:lvlJc w:val="left"/>
    </w:lvl>
  </w:abstractNum>
  <w:abstractNum w:abstractNumId="1">
    <w:nsid w:val="384CA66B"/>
    <w:multiLevelType w:val="singleLevel"/>
    <w:tmpl w:val="384CA66B"/>
    <w:lvl w:ilvl="0" w:tentative="0">
      <w:start w:val="1"/>
      <w:numFmt w:val="low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mNiNTA4Y2RiYTNkMzhmODU1Yjg5OTYxMzY5NzMifQ=="/>
  </w:docVars>
  <w:rsids>
    <w:rsidRoot w:val="00172A27"/>
    <w:rsid w:val="02343E4F"/>
    <w:rsid w:val="06005601"/>
    <w:rsid w:val="069A69A2"/>
    <w:rsid w:val="092C7268"/>
    <w:rsid w:val="0B3A2110"/>
    <w:rsid w:val="0D347EDC"/>
    <w:rsid w:val="0D5B3040"/>
    <w:rsid w:val="11C2218E"/>
    <w:rsid w:val="129170C1"/>
    <w:rsid w:val="13097082"/>
    <w:rsid w:val="151B6B0E"/>
    <w:rsid w:val="15C147A6"/>
    <w:rsid w:val="16450281"/>
    <w:rsid w:val="17F7601C"/>
    <w:rsid w:val="1A473F02"/>
    <w:rsid w:val="1C2A3ADB"/>
    <w:rsid w:val="1F0E3240"/>
    <w:rsid w:val="20673B17"/>
    <w:rsid w:val="238D0D17"/>
    <w:rsid w:val="243B244C"/>
    <w:rsid w:val="254066F9"/>
    <w:rsid w:val="25565511"/>
    <w:rsid w:val="27337CE7"/>
    <w:rsid w:val="286B525F"/>
    <w:rsid w:val="2ADD6094"/>
    <w:rsid w:val="2BB63D94"/>
    <w:rsid w:val="2D424A3C"/>
    <w:rsid w:val="2E2E2FB7"/>
    <w:rsid w:val="2F5F4DFE"/>
    <w:rsid w:val="3048367F"/>
    <w:rsid w:val="311E2B2F"/>
    <w:rsid w:val="32C27B60"/>
    <w:rsid w:val="33136C1F"/>
    <w:rsid w:val="35AD3F57"/>
    <w:rsid w:val="36EE59D9"/>
    <w:rsid w:val="382B5E47"/>
    <w:rsid w:val="399B691E"/>
    <w:rsid w:val="3A7726A3"/>
    <w:rsid w:val="3ABB2076"/>
    <w:rsid w:val="3DA07AD8"/>
    <w:rsid w:val="3DC43E5C"/>
    <w:rsid w:val="405E6BCB"/>
    <w:rsid w:val="45DC30E4"/>
    <w:rsid w:val="462336CA"/>
    <w:rsid w:val="48D75750"/>
    <w:rsid w:val="49875199"/>
    <w:rsid w:val="4A5A1C87"/>
    <w:rsid w:val="4C716A38"/>
    <w:rsid w:val="505C355C"/>
    <w:rsid w:val="52962909"/>
    <w:rsid w:val="541210FD"/>
    <w:rsid w:val="54260108"/>
    <w:rsid w:val="54497D6E"/>
    <w:rsid w:val="55804282"/>
    <w:rsid w:val="57376AD1"/>
    <w:rsid w:val="57776ECD"/>
    <w:rsid w:val="5C7B120D"/>
    <w:rsid w:val="5F0D0EA2"/>
    <w:rsid w:val="60233244"/>
    <w:rsid w:val="62150505"/>
    <w:rsid w:val="653F727C"/>
    <w:rsid w:val="66991675"/>
    <w:rsid w:val="68B8177D"/>
    <w:rsid w:val="68D61D57"/>
    <w:rsid w:val="68F452C7"/>
    <w:rsid w:val="6B244066"/>
    <w:rsid w:val="6B8F67CD"/>
    <w:rsid w:val="6E9B77AF"/>
    <w:rsid w:val="6F1A5811"/>
    <w:rsid w:val="74A63D41"/>
    <w:rsid w:val="76D872C4"/>
    <w:rsid w:val="783A38D3"/>
    <w:rsid w:val="7843609F"/>
    <w:rsid w:val="79A42945"/>
    <w:rsid w:val="7A0F3269"/>
    <w:rsid w:val="7B8D6D92"/>
    <w:rsid w:val="7C2229F4"/>
    <w:rsid w:val="7C49795C"/>
    <w:rsid w:val="7C5C7946"/>
    <w:rsid w:val="7D060228"/>
    <w:rsid w:val="7DE534EC"/>
    <w:rsid w:val="7EC62364"/>
    <w:rsid w:val="7EF56682"/>
    <w:rsid w:val="7F054C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4">
    <w:name w:val="heading 2"/>
    <w:basedOn w:val="1"/>
    <w:next w:val="5"/>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line="420" w:lineRule="exact"/>
    </w:pPr>
    <w:rPr>
      <w:sz w:val="24"/>
    </w:rPr>
  </w:style>
  <w:style w:type="paragraph" w:styleId="7">
    <w:name w:val="Plain Text"/>
    <w:basedOn w:val="1"/>
    <w:qFormat/>
    <w:uiPriority w:val="0"/>
    <w:rPr>
      <w:rFonts w:ascii="宋体" w:hAnsi="Courier New"/>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3"/>
    <w:link w:val="10"/>
    <w:qFormat/>
    <w:uiPriority w:val="99"/>
    <w:rPr>
      <w:rFonts w:ascii="Times New Roman" w:hAnsi="Times New Roman" w:eastAsia="宋体" w:cs="Times New Roman"/>
      <w:sz w:val="18"/>
      <w:szCs w:val="18"/>
    </w:rPr>
  </w:style>
  <w:style w:type="character" w:customStyle="1" w:styleId="16">
    <w:name w:val="页脚 Char"/>
    <w:basedOn w:val="13"/>
    <w:link w:val="9"/>
    <w:qFormat/>
    <w:uiPriority w:val="99"/>
    <w:rPr>
      <w:rFonts w:ascii="Times New Roman" w:hAnsi="Times New Roman" w:eastAsia="宋体" w:cs="Times New Roman"/>
      <w:sz w:val="18"/>
      <w:szCs w:val="18"/>
    </w:rPr>
  </w:style>
  <w:style w:type="character" w:customStyle="1" w:styleId="17">
    <w:name w:val="批注框文本 Char"/>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5707</Words>
  <Characters>6090</Characters>
  <Lines>1</Lines>
  <Paragraphs>1</Paragraphs>
  <TotalTime>2</TotalTime>
  <ScaleCrop>false</ScaleCrop>
  <LinksUpToDate>false</LinksUpToDate>
  <CharactersWithSpaces>6206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2022-06-16T11:10:06Z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5DFFCEFEF428452287546FF55A89FF2C</vt:lpwstr>
  </property>
</Properties>
</file>