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 xml:space="preserve">/员工代表  </w:t>
            </w:r>
            <w:r>
              <w:rPr>
                <w:rFonts w:hint="eastAsia"/>
                <w:sz w:val="24"/>
                <w:szCs w:val="24"/>
              </w:rPr>
              <w:t xml:space="preserve"> 主管领导：</w:t>
            </w:r>
            <w:r>
              <w:rPr>
                <w:rFonts w:hint="eastAsia"/>
                <w:sz w:val="24"/>
                <w:szCs w:val="24"/>
                <w:lang w:val="en-US" w:eastAsia="zh-CN"/>
              </w:rPr>
              <w:t>赵新时</w:t>
            </w:r>
            <w:r>
              <w:rPr>
                <w:sz w:val="24"/>
                <w:szCs w:val="24"/>
              </w:rPr>
              <w:t xml:space="preserve">   </w:t>
            </w:r>
            <w:r>
              <w:rPr>
                <w:rFonts w:hint="eastAsia"/>
                <w:sz w:val="24"/>
                <w:szCs w:val="24"/>
              </w:rPr>
              <w:t xml:space="preserve"> 陪同人员：</w:t>
            </w:r>
            <w:r>
              <w:rPr>
                <w:rFonts w:hint="eastAsia"/>
                <w:sz w:val="24"/>
                <w:szCs w:val="24"/>
                <w:lang w:val="en-US" w:eastAsia="zh-CN"/>
              </w:rPr>
              <w:t>方晓静/冯勇</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审核员：</w:t>
            </w:r>
            <w:r>
              <w:rPr>
                <w:rFonts w:hint="eastAsia"/>
                <w:sz w:val="24"/>
                <w:szCs w:val="24"/>
                <w:lang w:eastAsia="zh-CN"/>
              </w:rPr>
              <w:t>李俐</w:t>
            </w:r>
            <w:r>
              <w:rPr>
                <w:rFonts w:hint="eastAsia"/>
                <w:sz w:val="24"/>
                <w:szCs w:val="24"/>
                <w:lang w:val="en-US" w:eastAsia="zh-CN"/>
              </w:rPr>
              <w:t xml:space="preserve"> 、郭力   </w:t>
            </w:r>
            <w:r>
              <w:rPr>
                <w:rFonts w:hint="eastAsia"/>
                <w:sz w:val="24"/>
                <w:szCs w:val="24"/>
              </w:rPr>
              <w:t>审核时间：202</w:t>
            </w:r>
            <w:r>
              <w:rPr>
                <w:rFonts w:hint="eastAsia"/>
                <w:sz w:val="24"/>
                <w:szCs w:val="24"/>
                <w:lang w:val="en-US" w:eastAsia="zh-CN"/>
              </w:rPr>
              <w:t>2</w:t>
            </w:r>
            <w:r>
              <w:rPr>
                <w:rFonts w:hint="eastAsia"/>
                <w:sz w:val="24"/>
                <w:szCs w:val="24"/>
              </w:rPr>
              <w:t>年</w:t>
            </w:r>
            <w:r>
              <w:rPr>
                <w:rFonts w:hint="eastAsia"/>
                <w:sz w:val="24"/>
                <w:szCs w:val="24"/>
                <w:lang w:val="en-US" w:eastAsia="zh-CN"/>
              </w:rPr>
              <w:t>05</w:t>
            </w:r>
            <w:r>
              <w:rPr>
                <w:rFonts w:hint="eastAsia"/>
                <w:sz w:val="24"/>
                <w:szCs w:val="24"/>
              </w:rPr>
              <w:t>月</w:t>
            </w:r>
            <w:r>
              <w:rPr>
                <w:rFonts w:hint="eastAsia"/>
                <w:sz w:val="24"/>
                <w:szCs w:val="24"/>
                <w:lang w:val="en-US" w:eastAsia="zh-CN"/>
              </w:rPr>
              <w:t>30</w:t>
            </w:r>
            <w:r>
              <w:rPr>
                <w:rFonts w:hint="eastAsia"/>
                <w:sz w:val="24"/>
                <w:szCs w:val="24"/>
              </w:rPr>
              <w:t>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adjustRightInd w:val="0"/>
              <w:snapToGrid w:val="0"/>
              <w:spacing w:line="360" w:lineRule="auto"/>
              <w:ind w:right="105" w:rightChars="50"/>
              <w:jc w:val="left"/>
              <w:textAlignment w:val="baseline"/>
              <w:rPr>
                <w:rFonts w:hint="eastAsia" w:ascii="宋体" w:hAnsi="宋体" w:cs="Arial"/>
                <w:spacing w:val="-6"/>
                <w:sz w:val="21"/>
                <w:szCs w:val="21"/>
              </w:rPr>
            </w:pPr>
            <w:r>
              <w:rPr>
                <w:rFonts w:hint="eastAsia"/>
                <w:sz w:val="24"/>
                <w:szCs w:val="24"/>
              </w:rPr>
              <w:t>审核条款：</w:t>
            </w:r>
            <w:r>
              <w:rPr>
                <w:rFonts w:hint="eastAsia"/>
                <w:sz w:val="24"/>
                <w:szCs w:val="24"/>
                <w:lang w:val="en-US" w:eastAsia="zh-CN"/>
              </w:rPr>
              <w:t>李俐：</w:t>
            </w:r>
            <w:r>
              <w:rPr>
                <w:rFonts w:hint="eastAsia" w:ascii="宋体" w:hAnsi="宋体" w:cs="Arial"/>
                <w:spacing w:val="-6"/>
                <w:sz w:val="21"/>
                <w:szCs w:val="21"/>
              </w:rPr>
              <w:t>Q/E</w:t>
            </w:r>
            <w:r>
              <w:rPr>
                <w:rFonts w:hint="eastAsia" w:ascii="宋体" w:hAnsi="宋体" w:cs="Arial"/>
                <w:spacing w:val="-6"/>
                <w:sz w:val="21"/>
                <w:szCs w:val="21"/>
                <w:lang w:val="en-US" w:eastAsia="zh-CN"/>
              </w:rPr>
              <w:t>/O</w:t>
            </w:r>
            <w:r>
              <w:rPr>
                <w:rFonts w:hint="eastAsia" w:ascii="宋体" w:hAnsi="宋体" w:cs="Arial"/>
                <w:spacing w:val="-6"/>
                <w:sz w:val="21"/>
                <w:szCs w:val="21"/>
              </w:rPr>
              <w:t>:4.1理解组织及其环境、4.2理解相关方的需求和期望、4.3 确定管理体系的范围、4.4质量/环境管理体系及其过程、5.1领导作用和承诺、5.2质量/环境方针、5.3组织的岗位、职责和权限、5.4工作人员的协商和参与</w:t>
            </w:r>
            <w:r>
              <w:rPr>
                <w:rFonts w:hint="eastAsia" w:ascii="宋体" w:hAnsi="宋体" w:cs="Arial"/>
                <w:spacing w:val="-6"/>
                <w:sz w:val="21"/>
                <w:szCs w:val="21"/>
                <w:lang w:val="en-US" w:eastAsia="zh-CN"/>
              </w:rPr>
              <w:t>(O)、</w:t>
            </w:r>
            <w:r>
              <w:rPr>
                <w:rFonts w:hint="eastAsia" w:ascii="宋体" w:hAnsi="宋体" w:cs="Arial"/>
                <w:spacing w:val="-6"/>
                <w:sz w:val="21"/>
                <w:szCs w:val="21"/>
              </w:rPr>
              <w:t>6.2.1 环境目标</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E</w:t>
            </w:r>
            <w:r>
              <w:rPr>
                <w:rFonts w:hint="eastAsia" w:ascii="宋体" w:hAnsi="宋体" w:cs="Arial"/>
                <w:spacing w:val="-6"/>
                <w:sz w:val="21"/>
                <w:szCs w:val="21"/>
                <w:lang w:eastAsia="zh-CN"/>
              </w:rPr>
              <w:t>）、</w:t>
            </w:r>
            <w:r>
              <w:rPr>
                <w:rFonts w:hint="eastAsia" w:ascii="宋体" w:hAnsi="宋体" w:cs="Arial"/>
                <w:spacing w:val="-6"/>
                <w:sz w:val="21"/>
                <w:szCs w:val="21"/>
              </w:rPr>
              <w:t>6.2职业健康安全目标及其实现的策划</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6.3变更的策划、7.1.1（E</w:t>
            </w:r>
            <w:r>
              <w:rPr>
                <w:rFonts w:hint="eastAsia" w:ascii="宋体" w:hAnsi="宋体" w:cs="Arial"/>
                <w:spacing w:val="-6"/>
                <w:sz w:val="21"/>
                <w:szCs w:val="21"/>
                <w:lang w:val="en-US" w:eastAsia="zh-CN"/>
              </w:rPr>
              <w:t>O</w:t>
            </w:r>
            <w:r>
              <w:rPr>
                <w:rFonts w:hint="eastAsia" w:ascii="宋体" w:hAnsi="宋体" w:cs="Arial"/>
                <w:spacing w:val="-6"/>
                <w:sz w:val="21"/>
                <w:szCs w:val="21"/>
              </w:rPr>
              <w:t xml:space="preserve">7.1）资源总则、7.3意识 </w:t>
            </w:r>
            <w:r>
              <w:rPr>
                <w:rFonts w:hint="eastAsia" w:ascii="宋体" w:hAnsi="宋体" w:cs="Arial"/>
                <w:spacing w:val="-6"/>
                <w:sz w:val="21"/>
                <w:szCs w:val="21"/>
                <w:lang w:eastAsia="zh-CN"/>
              </w:rPr>
              <w:t>、</w:t>
            </w:r>
            <w:r>
              <w:rPr>
                <w:rFonts w:hint="eastAsia" w:ascii="宋体" w:hAnsi="宋体" w:cs="Arial"/>
                <w:spacing w:val="-6"/>
                <w:sz w:val="21"/>
                <w:szCs w:val="21"/>
              </w:rPr>
              <w:t>7.4.3外部沟通</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9.1.1总则 、9.3管理评审、10改进</w:t>
            </w:r>
          </w:p>
          <w:p>
            <w:pPr>
              <w:ind w:firstLine="396" w:firstLineChars="200"/>
              <w:rPr>
                <w:sz w:val="24"/>
                <w:szCs w:val="24"/>
              </w:rPr>
            </w:pPr>
            <w:r>
              <w:rPr>
                <w:rFonts w:hint="eastAsia" w:ascii="宋体" w:hAnsi="宋体" w:cs="Arial"/>
                <w:spacing w:val="-6"/>
                <w:sz w:val="21"/>
                <w:szCs w:val="21"/>
                <w:lang w:val="en-US" w:eastAsia="zh-CN"/>
              </w:rPr>
              <w:t>郭力：</w:t>
            </w:r>
            <w:r>
              <w:rPr>
                <w:rFonts w:hint="eastAsia" w:ascii="宋体" w:hAnsi="宋体" w:cs="Arial"/>
                <w:color w:val="auto"/>
                <w:spacing w:val="-6"/>
                <w:sz w:val="21"/>
                <w:szCs w:val="21"/>
              </w:rPr>
              <w:t>国家/地方监督抽查情况；顾客满意、相关方投诉及处理情况；</w:t>
            </w:r>
            <w:r>
              <w:rPr>
                <w:rFonts w:hint="eastAsia" w:ascii="宋体" w:hAnsi="宋体" w:cs="Arial"/>
                <w:color w:val="auto"/>
                <w:spacing w:val="-6"/>
                <w:sz w:val="21"/>
                <w:szCs w:val="21"/>
                <w:lang w:val="en-US" w:eastAsia="zh-CN"/>
              </w:rPr>
              <w:t>上次审核</w:t>
            </w:r>
            <w:r>
              <w:rPr>
                <w:rFonts w:hint="eastAsia" w:ascii="宋体" w:hAnsi="宋体" w:cs="Arial"/>
                <w:color w:val="auto"/>
                <w:spacing w:val="-6"/>
                <w:sz w:val="21"/>
                <w:szCs w:val="21"/>
              </w:rPr>
              <w:t>问题验证，</w:t>
            </w:r>
            <w:r>
              <w:rPr>
                <w:rFonts w:hint="eastAsia" w:ascii="宋体" w:hAnsi="宋体" w:cs="Arial"/>
                <w:color w:val="auto"/>
                <w:spacing w:val="-6"/>
                <w:sz w:val="21"/>
                <w:szCs w:val="21"/>
                <w:lang w:val="en-US" w:eastAsia="zh-CN"/>
              </w:rPr>
              <w:t>证书、标志使用情况，</w:t>
            </w:r>
            <w:r>
              <w:rPr>
                <w:rFonts w:hint="eastAsia" w:ascii="宋体" w:hAnsi="宋体" w:cs="Arial"/>
                <w:color w:val="auto"/>
                <w:spacing w:val="-6"/>
                <w:sz w:val="21"/>
                <w:szCs w:val="21"/>
              </w:rPr>
              <w:t>验证企业相关资质证明的有效性；</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tcPr>
          <w:p>
            <w:pPr>
              <w:spacing w:line="360" w:lineRule="auto"/>
            </w:pPr>
            <w:r>
              <w:rPr>
                <w:rFonts w:hint="eastAsia"/>
              </w:rPr>
              <w:t>理解组织及其环境</w:t>
            </w:r>
          </w:p>
          <w:p>
            <w:pPr>
              <w:spacing w:line="360" w:lineRule="auto"/>
            </w:pPr>
          </w:p>
          <w:p>
            <w:pPr>
              <w:spacing w:line="360" w:lineRule="auto"/>
            </w:pPr>
          </w:p>
          <w:p>
            <w:pPr>
              <w:spacing w:line="360" w:lineRule="auto"/>
            </w:pPr>
            <w:r>
              <w:rPr>
                <w:rFonts w:hint="eastAsia"/>
              </w:rPr>
              <w:t>确定管理体系的范围</w:t>
            </w:r>
          </w:p>
        </w:tc>
        <w:tc>
          <w:tcPr>
            <w:tcW w:w="960" w:type="dxa"/>
          </w:tcPr>
          <w:p>
            <w:pPr>
              <w:spacing w:line="360" w:lineRule="auto"/>
            </w:pPr>
            <w:r>
              <w:rPr>
                <w:rFonts w:hint="eastAsia"/>
              </w:rPr>
              <w:t>QEO</w:t>
            </w:r>
          </w:p>
          <w:p>
            <w:pPr>
              <w:spacing w:line="360" w:lineRule="auto"/>
            </w:pPr>
            <w:r>
              <w:rPr>
                <w:rFonts w:hint="eastAsia"/>
              </w:rPr>
              <w:t>4.1</w:t>
            </w:r>
          </w:p>
          <w:p>
            <w:pPr>
              <w:spacing w:line="360" w:lineRule="auto"/>
            </w:pPr>
            <w:r>
              <w:rPr>
                <w:rFonts w:hint="eastAsia"/>
              </w:rPr>
              <w:t>QEO</w:t>
            </w:r>
          </w:p>
          <w:p>
            <w:pPr>
              <w:spacing w:line="360" w:lineRule="auto"/>
            </w:pPr>
            <w:r>
              <w:rPr>
                <w:rFonts w:hint="eastAsia"/>
              </w:rPr>
              <w:t>4.3</w:t>
            </w:r>
          </w:p>
          <w:p>
            <w:pPr>
              <w:spacing w:line="360" w:lineRule="auto"/>
            </w:pPr>
            <w:r>
              <w:rPr>
                <w:rFonts w:hint="eastAsia"/>
              </w:rPr>
              <w:t>企业资质</w:t>
            </w:r>
          </w:p>
          <w:p>
            <w:pPr>
              <w:spacing w:line="360" w:lineRule="auto"/>
            </w:pPr>
            <w:r>
              <w:rPr>
                <w:rFonts w:hint="eastAsia"/>
              </w:rPr>
              <w:t>国/地监督检查</w:t>
            </w:r>
          </w:p>
          <w:p>
            <w:pPr>
              <w:spacing w:line="360" w:lineRule="auto"/>
            </w:pPr>
            <w:r>
              <w:rPr>
                <w:rFonts w:hint="eastAsia"/>
              </w:rPr>
              <w:t>客户和相关方投诉及处理</w:t>
            </w:r>
          </w:p>
        </w:tc>
        <w:tc>
          <w:tcPr>
            <w:tcW w:w="10004" w:type="dxa"/>
            <w:vAlign w:val="center"/>
          </w:tcPr>
          <w:p>
            <w:pPr>
              <w:spacing w:line="360" w:lineRule="auto"/>
              <w:rPr>
                <w:rFonts w:hint="eastAsia" w:eastAsia="宋体"/>
                <w:lang w:eastAsia="zh-CN"/>
              </w:rPr>
            </w:pPr>
            <w:r>
              <w:rPr>
                <w:rFonts w:hint="eastAsia"/>
              </w:rPr>
              <w:t>■受审核方：</w:t>
            </w:r>
            <w:r>
              <w:rPr>
                <w:rFonts w:hint="eastAsia"/>
                <w:lang w:eastAsia="zh-CN"/>
              </w:rPr>
              <w:t>陕西鑫联仪器仪表有限公司</w:t>
            </w:r>
          </w:p>
          <w:p>
            <w:pPr>
              <w:spacing w:line="360" w:lineRule="auto"/>
              <w:rPr>
                <w:rFonts w:hint="eastAsia"/>
              </w:rPr>
            </w:pPr>
            <w:r>
              <w:rPr>
                <w:rFonts w:hint="eastAsia"/>
              </w:rPr>
              <w:t>企业简介：</w:t>
            </w:r>
          </w:p>
          <w:p>
            <w:pPr>
              <w:numPr>
                <w:ilvl w:val="0"/>
                <w:numId w:val="1"/>
              </w:numPr>
              <w:spacing w:line="360" w:lineRule="auto"/>
              <w:rPr>
                <w:rFonts w:hint="eastAsia"/>
              </w:rPr>
            </w:pPr>
            <w:r>
              <w:rPr>
                <w:rFonts w:hint="eastAsia" w:ascii="Times New Roman" w:hAnsi="Times New Roman" w:eastAsia="宋体" w:cs="Times New Roman"/>
                <w:szCs w:val="22"/>
                <w:lang w:val="en-US" w:eastAsia="zh-CN"/>
              </w:rPr>
              <w:t>总经理介绍陕西鑫联仪器仪表有限公司成立于2001年，是一家专业生产各种标准/特性/新型流量传感器及其配套智能测控仪表的高科技公司，位于古城西安经济技术开发区内。以西北工业大学和中国飞行试验研究院依托，现已发展成为国内专业的流量仪表制造商，年生产能力3万套，年均销量5000余万元。公司技术先进、实力雄厚、设备精良、产品可靠，品种规格多样，技术服务热情周到。其产品广泛用于国防、军工、科学研究、石油、化工、煤炭、电力、水利等领域。热情欢迎各厂矿企业与工程单位、科研公司所、高等学校及社会各界专家广泛合作。</w:t>
            </w:r>
          </w:p>
          <w:p>
            <w:pPr>
              <w:spacing w:line="360" w:lineRule="auto"/>
              <w:ind w:firstLine="57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法人代表：赵新时。注册资金11300.00万。</w:t>
            </w:r>
          </w:p>
          <w:p>
            <w:pPr>
              <w:spacing w:line="360" w:lineRule="auto"/>
              <w:ind w:firstLine="57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注册地址：陕西省西安市经开区凤城三路三号3幢1单元6层10602号</w:t>
            </w:r>
          </w:p>
          <w:p>
            <w:pPr>
              <w:pStyle w:val="11"/>
              <w:rPr>
                <w:rFonts w:hint="eastAsia"/>
              </w:rPr>
            </w:pPr>
            <w:r>
              <w:rPr>
                <w:rFonts w:hint="eastAsia" w:ascii="Times New Roman" w:hAnsi="Times New Roman" w:eastAsia="宋体" w:cs="Times New Roman"/>
                <w:szCs w:val="22"/>
                <w:lang w:val="de-DE" w:eastAsia="zh-CN"/>
              </w:rPr>
              <w:t>经营地址：</w:t>
            </w:r>
            <w:r>
              <w:rPr>
                <w:rFonts w:hint="eastAsia" w:ascii="Times New Roman" w:hAnsi="Times New Roman" w:eastAsia="宋体" w:cs="Times New Roman"/>
                <w:szCs w:val="22"/>
                <w:lang w:val="en-US" w:eastAsia="zh-CN"/>
              </w:rPr>
              <w:t>陕西省西安市莲湖区未央路12号世纪金园B座1904/生产地址：西安市阎良区航空四路37号</w:t>
            </w:r>
          </w:p>
          <w:p>
            <w:pPr>
              <w:numPr>
                <w:ilvl w:val="0"/>
                <w:numId w:val="1"/>
              </w:numPr>
              <w:spacing w:line="360" w:lineRule="auto"/>
              <w:rPr>
                <w:rFonts w:hint="eastAsia"/>
              </w:rPr>
            </w:pPr>
            <w:r>
              <w:rPr>
                <w:rFonts w:hint="eastAsia"/>
              </w:rPr>
              <w:t>公司20</w:t>
            </w:r>
            <w:r>
              <w:rPr>
                <w:rFonts w:hint="eastAsia"/>
                <w:lang w:val="en-US" w:eastAsia="zh-CN"/>
              </w:rPr>
              <w:t>20</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0日实施QES管理体系</w:t>
            </w:r>
            <w:r>
              <w:rPr>
                <w:rFonts w:hint="eastAsia"/>
                <w:lang w:val="en-US" w:eastAsia="zh-CN"/>
              </w:rPr>
              <w:t>。</w:t>
            </w:r>
          </w:p>
          <w:p>
            <w:pPr>
              <w:spacing w:line="360" w:lineRule="auto"/>
              <w:rPr>
                <w:rFonts w:hint="eastAsia" w:ascii="Times New Roman" w:hAnsi="Times New Roman" w:eastAsia="宋体" w:cs="Times New Roman"/>
                <w:szCs w:val="22"/>
                <w:lang w:val="en-US" w:eastAsia="zh-CN"/>
              </w:rPr>
            </w:pPr>
            <w:r>
              <w:rPr>
                <w:rFonts w:hint="eastAsia"/>
                <w:lang w:val="en-US" w:eastAsia="zh-CN"/>
              </w:rPr>
              <w:t>3、</w:t>
            </w:r>
            <w:r>
              <w:rPr>
                <w:rFonts w:hint="eastAsia"/>
              </w:rPr>
              <w:t>主要从事</w:t>
            </w:r>
            <w:r>
              <w:rPr>
                <w:rFonts w:hint="eastAsia" w:ascii="Times New Roman" w:hAnsi="Times New Roman" w:eastAsia="宋体" w:cs="Times New Roman"/>
                <w:szCs w:val="22"/>
                <w:lang w:val="en-US" w:eastAsia="zh-CN"/>
              </w:rPr>
              <w:t>一般项目：石油制品制造（不含危险化学品）；化工产品生产（不含许可类化工产品）；泵及真空设备制造；液压动力机械及元件制造；液力动力机械及元件制造；气压动力机械及元件制造；通用零部件制造；通用设备制造（不含特种设备制造）；炼油、化工生产专用设备制造；石油钻采专用设备制造；专用设备制造（不含许可类专业设备制造）；电子专用设备制造；电力设施器材制造；光伏设备及元器件制造；输配电及控制设备制造；电子元器件制造；集成电路制造；仪器仪表制造；智能仪器仪表制造；电工仪器仪表制造；工业自动控制系统装置制造；液气密元件及系统制造；其他通用仪器制造；供应用仪器仪表制造；电子测量仪器制造；其他专用仪器制造；电气设备修理；仪器仪表修理；通用设备修理；专用设备修理；住房租赁；非居住房地产租赁。(除依法须经批准的项目外，凭营业执照依法自主开展经营活动)许可项目：特种设备制造；特种设备安装改造修理；发电、输电、供电业务；特种设备设计。(依法须经批准的项目，经相关部门批准后方可开展经营活动，具体经营项目以审批结果为准)</w:t>
            </w:r>
          </w:p>
          <w:p>
            <w:pPr>
              <w:numPr>
                <w:ilvl w:val="0"/>
                <w:numId w:val="0"/>
              </w:numPr>
              <w:spacing w:line="360" w:lineRule="auto"/>
              <w:ind w:leftChars="0"/>
              <w:rPr>
                <w:rFonts w:hint="eastAsia"/>
              </w:rPr>
            </w:pPr>
            <w:r>
              <w:rPr>
                <w:rFonts w:hint="eastAsia"/>
                <w:lang w:val="en-US" w:eastAsia="zh-CN"/>
              </w:rPr>
              <w:t>4、</w:t>
            </w:r>
            <w:r>
              <w:rPr>
                <w:rFonts w:hint="eastAsia"/>
              </w:rPr>
              <w:t>主要生产设备;</w:t>
            </w:r>
            <w:r>
              <w:rPr>
                <w:rFonts w:hint="eastAsia"/>
                <w:color w:val="auto"/>
                <w:szCs w:val="21"/>
                <w:lang w:val="en-US" w:eastAsia="zh-CN"/>
              </w:rPr>
              <w:t>数控车床、L 系列龙门加工中心、台式攻丝机、台式钻床、数控立式升降台铣床、F11160A型万能分度头、砂轮机、万能分斗头、油介质标准表法流量装置、流量校验装置、耐电压测试仪、高低温试验箱、兆欧表、手动试压泵等</w:t>
            </w:r>
            <w:r>
              <w:rPr>
                <w:rFonts w:hint="eastAsia"/>
              </w:rPr>
              <w:t>.</w:t>
            </w:r>
          </w:p>
          <w:p>
            <w:pPr>
              <w:spacing w:line="360" w:lineRule="auto"/>
              <w:rPr>
                <w:rFonts w:hint="eastAsia"/>
              </w:rPr>
            </w:pPr>
            <w:r>
              <w:rPr>
                <w:rFonts w:hint="eastAsia"/>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各种制度及规定基本建立。管理手册中对组织机构和职责进行了策划，形成了文件。组织机构的设置，职责、权限的分配基本明确，基本适宜，人力资源基本满足需求。</w:t>
            </w:r>
          </w:p>
          <w:p>
            <w:pPr>
              <w:spacing w:line="360" w:lineRule="auto"/>
              <w:rPr>
                <w:rFonts w:hint="eastAsia"/>
              </w:rPr>
            </w:pPr>
            <w:r>
              <w:rPr>
                <w:rFonts w:hint="eastAsia"/>
              </w:rPr>
              <w:t>法律法规：公司生产应符合国家的法律法规要求。</w:t>
            </w:r>
          </w:p>
          <w:p>
            <w:pPr>
              <w:spacing w:line="360" w:lineRule="auto"/>
              <w:rPr>
                <w:rFonts w:hint="eastAsia"/>
              </w:rPr>
            </w:pPr>
            <w:r>
              <w:rPr>
                <w:rFonts w:hint="eastAsia"/>
              </w:rPr>
              <w:t xml:space="preserve">公司地处盐城市，在环境方面应符合国家和本市的环境法律法规要求。 </w:t>
            </w:r>
          </w:p>
          <w:p>
            <w:pPr>
              <w:spacing w:line="360" w:lineRule="auto"/>
              <w:rPr>
                <w:rFonts w:hint="eastAsia"/>
              </w:rPr>
            </w:pPr>
            <w:r>
              <w:rPr>
                <w:rFonts w:hint="eastAsia"/>
              </w:rPr>
              <w:t>技术水平：公司拥有多年生产经验和营销能力，能够满足用户的个性化需求。</w:t>
            </w:r>
          </w:p>
          <w:p>
            <w:pPr>
              <w:spacing w:line="360" w:lineRule="auto"/>
              <w:rPr>
                <w:rFonts w:hint="eastAsia"/>
              </w:rPr>
            </w:pPr>
            <w:r>
              <w:rPr>
                <w:rFonts w:hint="eastAsia"/>
              </w:rPr>
              <w:t>文化和价值观：公司成立多年，形成了积极向上、努力进取的企业文化氛围。公司运行管理体系以来，重视产品质量、增强用户满意是所有员工的共识。</w:t>
            </w:r>
          </w:p>
          <w:p>
            <w:pPr>
              <w:spacing w:line="360" w:lineRule="auto"/>
              <w:rPr>
                <w:rFonts w:hint="eastAsia"/>
              </w:rPr>
            </w:pPr>
            <w:r>
              <w:rPr>
                <w:rFonts w:hint="eastAsia"/>
              </w:rPr>
              <w:t>关注环境变化：公司管理层及相关部门将持续关注公司所处的环境变化，必要时通过评估风险和机遇，调整管理体系目标和指标或变更管理过程以适应这些变化或实现改进。关注的内容包括：</w:t>
            </w:r>
          </w:p>
          <w:p>
            <w:pPr>
              <w:spacing w:line="360" w:lineRule="auto"/>
              <w:rPr>
                <w:rFonts w:hint="eastAsia"/>
              </w:rPr>
            </w:pPr>
            <w:r>
              <w:rPr>
                <w:rFonts w:hint="eastAsia"/>
              </w:rPr>
              <w:t>——外部环境：国际、国内、地区和当地的各种法律法规、技术、竞争、市场、文化、社会和经济因素；</w:t>
            </w:r>
          </w:p>
          <w:p>
            <w:pPr>
              <w:spacing w:line="360" w:lineRule="auto"/>
              <w:rPr>
                <w:rFonts w:hint="eastAsia"/>
              </w:rPr>
            </w:pPr>
            <w:r>
              <w:rPr>
                <w:rFonts w:hint="eastAsia"/>
              </w:rPr>
              <w:t>——内部条件：公司的价值观、产品和服务、战略方向、文化与能力；</w:t>
            </w:r>
          </w:p>
          <w:p>
            <w:pPr>
              <w:spacing w:line="360" w:lineRule="auto"/>
              <w:rPr>
                <w:rFonts w:hint="eastAsia"/>
              </w:rPr>
            </w:pPr>
            <w:r>
              <w:rPr>
                <w:rFonts w:hint="eastAsia"/>
              </w:rPr>
              <w:t>——周边环境：气候、空气和水质量、土地使用、现存污染、资源的可获得性等相关因素。</w:t>
            </w:r>
          </w:p>
          <w:p>
            <w:pPr>
              <w:spacing w:line="360" w:lineRule="auto"/>
              <w:rPr>
                <w:rFonts w:hint="eastAsia"/>
              </w:rPr>
            </w:pPr>
            <w:r>
              <w:rPr>
                <w:rFonts w:hint="eastAsia"/>
              </w:rPr>
              <w:t>对这些内外部因素通过定期的网站获取、顾客沟通及定期（周总结会议、月中、月末总结会议）内部总结等方式进行监视和评审。</w:t>
            </w:r>
          </w:p>
          <w:p>
            <w:pPr>
              <w:pStyle w:val="11"/>
              <w:spacing w:line="360" w:lineRule="auto"/>
              <w:rPr>
                <w:rFonts w:hint="eastAsia"/>
              </w:rPr>
            </w:pPr>
          </w:p>
          <w:p>
            <w:pPr>
              <w:spacing w:line="360" w:lineRule="auto"/>
              <w:rPr>
                <w:rFonts w:hint="eastAsia" w:ascii="Times New Roman" w:hAnsi="Times New Roman" w:cs="Times New Roman"/>
                <w:sz w:val="21"/>
                <w:szCs w:val="21"/>
              </w:rPr>
            </w:pPr>
            <w:r>
              <w:rPr>
                <w:rFonts w:hint="eastAsia"/>
                <w:sz w:val="21"/>
                <w:szCs w:val="21"/>
              </w:rPr>
              <w:t>根据客</w:t>
            </w:r>
            <w:r>
              <w:rPr>
                <w:rFonts w:hint="eastAsia" w:ascii="Times New Roman" w:hAnsi="Times New Roman" w:cs="Times New Roman"/>
                <w:sz w:val="21"/>
                <w:szCs w:val="21"/>
              </w:rPr>
              <w:t>户需求（外部信息）、企业内部状况及相关方要求，</w:t>
            </w:r>
            <w:r>
              <w:rPr>
                <w:rFonts w:hint="eastAsia" w:ascii="Times New Roman" w:hAnsi="Times New Roman" w:cs="Times New Roman"/>
                <w:sz w:val="21"/>
                <w:szCs w:val="21"/>
                <w:lang w:val="en-US" w:eastAsia="zh-CN"/>
              </w:rPr>
              <w:t>根据企业实际生产，认证范围增加了</w:t>
            </w:r>
            <w:r>
              <w:rPr>
                <w:rFonts w:hint="eastAsia" w:ascii="Times New Roman" w:hAnsi="Times New Roman" w:cs="Times New Roman"/>
                <w:sz w:val="21"/>
                <w:szCs w:val="21"/>
              </w:rPr>
              <w:t>螺杆钻具</w:t>
            </w:r>
            <w:r>
              <w:rPr>
                <w:rFonts w:hint="eastAsia" w:ascii="Times New Roman" w:hAnsi="Times New Roman" w:cs="Times New Roman"/>
                <w:sz w:val="21"/>
                <w:szCs w:val="21"/>
                <w:lang w:val="en-US" w:eastAsia="zh-CN"/>
              </w:rPr>
              <w:t>的生产</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确定体系覆盖的范围</w:t>
            </w:r>
            <w:r>
              <w:rPr>
                <w:rFonts w:hint="eastAsia" w:ascii="Times New Roman" w:hAnsi="Times New Roman" w:cs="Times New Roman"/>
                <w:sz w:val="21"/>
                <w:szCs w:val="21"/>
                <w:lang w:val="en-US" w:eastAsia="zh-CN"/>
              </w:rPr>
              <w:t>为</w:t>
            </w:r>
            <w:r>
              <w:rPr>
                <w:rFonts w:hint="eastAsia" w:ascii="Times New Roman" w:hAnsi="Times New Roman" w:cs="Times New Roman"/>
                <w:sz w:val="21"/>
                <w:szCs w:val="21"/>
              </w:rPr>
              <w:t>：</w:t>
            </w:r>
          </w:p>
          <w:p>
            <w:pPr>
              <w:spacing w:line="360" w:lineRule="auto"/>
              <w:rPr>
                <w:rFonts w:hint="eastAsia" w:ascii="Times New Roman" w:hAnsi="Times New Roman" w:cs="Times New Roman"/>
                <w:sz w:val="21"/>
                <w:szCs w:val="21"/>
              </w:rPr>
            </w:pPr>
            <w:r>
              <w:rPr>
                <w:rFonts w:hint="eastAsia" w:ascii="Times New Roman" w:hAnsi="Times New Roman" w:cs="Times New Roman"/>
                <w:sz w:val="21"/>
                <w:szCs w:val="21"/>
              </w:rPr>
              <w:t>Q：螺旋（双）转子流量计、普通电磁流量计、楔形流量计、三转子流量计、指示型转子流量计、螺旋单转子流量计、智能控制注水仪、金属刮板流量计、旋进漩涡气体流量计、质量流量计的生产及销售</w:t>
            </w:r>
          </w:p>
          <w:p>
            <w:pPr>
              <w:spacing w:line="360" w:lineRule="auto"/>
              <w:rPr>
                <w:rFonts w:hint="eastAsia" w:ascii="Times New Roman" w:hAnsi="Times New Roman" w:cs="Times New Roman"/>
                <w:sz w:val="21"/>
                <w:szCs w:val="21"/>
              </w:rPr>
            </w:pPr>
            <w:r>
              <w:rPr>
                <w:rFonts w:hint="eastAsia" w:ascii="Times New Roman" w:hAnsi="Times New Roman" w:cs="Times New Roman"/>
                <w:sz w:val="21"/>
                <w:szCs w:val="21"/>
              </w:rPr>
              <w:t>E：螺旋（双）转子流量计、普通电磁流量计、楔形流量计、三转子流量计、指示型转子流量计、螺旋单转子流量计、智能控制注水仪、金属刮板流量计、旋进漩涡气体流量计、质量流量计的生产及销售所涉及场所的相关环境管理活动</w:t>
            </w:r>
          </w:p>
          <w:p>
            <w:pPr>
              <w:spacing w:line="360" w:lineRule="auto"/>
            </w:pPr>
            <w:r>
              <w:rPr>
                <w:rFonts w:hint="eastAsia" w:ascii="Times New Roman" w:hAnsi="Times New Roman" w:cs="Times New Roman"/>
                <w:sz w:val="21"/>
                <w:szCs w:val="21"/>
              </w:rPr>
              <w:t>O：螺旋（双）转子流量计、普通电磁流量计、楔形流量计、三转子流量计、指示型转子流量计、螺旋单转子流量计、智能控制注水仪、金属刮板流量计、旋进漩涡气体流量计、质量流量计的生产及销售所涉及场所的相关职业健康安全管理活动</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理解相关方的需求和期望</w:t>
            </w:r>
          </w:p>
        </w:tc>
        <w:tc>
          <w:tcPr>
            <w:tcW w:w="960" w:type="dxa"/>
          </w:tcPr>
          <w:p>
            <w:pPr>
              <w:spacing w:line="360" w:lineRule="auto"/>
            </w:pPr>
            <w:r>
              <w:t>QEO</w:t>
            </w:r>
            <w:r>
              <w:rPr>
                <w:rFonts w:hint="eastAsia"/>
              </w:rPr>
              <w:t>4.2</w:t>
            </w:r>
          </w:p>
        </w:tc>
        <w:tc>
          <w:tcPr>
            <w:tcW w:w="10004" w:type="dxa"/>
            <w:vAlign w:val="center"/>
          </w:tcPr>
          <w:p>
            <w:pPr>
              <w:spacing w:line="360" w:lineRule="auto"/>
              <w:rPr>
                <w:rFonts w:hint="eastAsia"/>
                <w:sz w:val="21"/>
                <w:szCs w:val="21"/>
              </w:rPr>
            </w:pPr>
            <w:r>
              <w:rPr>
                <w:rFonts w:hint="eastAsia"/>
                <w:sz w:val="21"/>
                <w:szCs w:val="21"/>
              </w:rPr>
              <w:t>公司确定了与管理体系有关的相关方包括顾客、政府机构、社区、股东、供应商、内部员工等。相关方对企业的要求有：遵守国家的现行法律法规、保持有效的资质、量具定期检定、不断提高技术水平以及不断提高客户满意度等。公司通过以下行为满足相关方需求和期望：</w:t>
            </w:r>
          </w:p>
          <w:p>
            <w:pPr>
              <w:spacing w:line="360" w:lineRule="auto"/>
              <w:rPr>
                <w:rFonts w:hint="eastAsia"/>
                <w:sz w:val="21"/>
                <w:szCs w:val="21"/>
              </w:rPr>
            </w:pPr>
            <w:r>
              <w:rPr>
                <w:rFonts w:hint="eastAsia"/>
                <w:sz w:val="21"/>
                <w:szCs w:val="21"/>
              </w:rPr>
              <w:t>——关注顾客需求，通过持续改进增强用户满意；</w:t>
            </w:r>
          </w:p>
          <w:p>
            <w:pPr>
              <w:spacing w:line="360" w:lineRule="auto"/>
              <w:rPr>
                <w:rFonts w:hint="eastAsia"/>
                <w:sz w:val="21"/>
                <w:szCs w:val="21"/>
              </w:rPr>
            </w:pPr>
            <w:r>
              <w:rPr>
                <w:rFonts w:hint="eastAsia"/>
                <w:sz w:val="21"/>
                <w:szCs w:val="21"/>
              </w:rPr>
              <w:t>——遵守国家和地方各项法律法规，履行合规义务；</w:t>
            </w:r>
          </w:p>
          <w:p>
            <w:pPr>
              <w:spacing w:line="360" w:lineRule="auto"/>
              <w:rPr>
                <w:rFonts w:hint="eastAsia"/>
                <w:sz w:val="21"/>
                <w:szCs w:val="21"/>
              </w:rPr>
            </w:pPr>
            <w:r>
              <w:rPr>
                <w:rFonts w:hint="eastAsia"/>
                <w:sz w:val="21"/>
                <w:szCs w:val="21"/>
              </w:rPr>
              <w:t>——持续改进管理体系过程，提升服务质量、安全绩效。</w:t>
            </w:r>
          </w:p>
          <w:p>
            <w:pPr>
              <w:spacing w:line="360" w:lineRule="auto"/>
              <w:rPr>
                <w:rFonts w:hint="eastAsia"/>
                <w:sz w:val="21"/>
                <w:szCs w:val="21"/>
              </w:rPr>
            </w:pPr>
            <w:r>
              <w:rPr>
                <w:rFonts w:hint="eastAsia"/>
                <w:sz w:val="21"/>
                <w:szCs w:val="21"/>
              </w:rPr>
              <w:t>公司管理层及相关部门将持续关注相关方需求的变化，必要时通过评估风险和机遇，调整管理体系目标和指标或变更管理过程以适应这些变化或实现改进。</w:t>
            </w:r>
          </w:p>
          <w:p>
            <w:pPr>
              <w:spacing w:line="360" w:lineRule="auto"/>
              <w:rPr>
                <w:rFonts w:ascii="宋体" w:hAnsi="宋体" w:cs="宋体"/>
                <w:szCs w:val="21"/>
              </w:rPr>
            </w:pPr>
            <w:r>
              <w:rPr>
                <w:rFonts w:hint="eastAsia"/>
                <w:sz w:val="21"/>
                <w:szCs w:val="21"/>
              </w:rPr>
              <w:t>对这些相关方监视和评审的方法有：上级文件、标准和规范的获取、设备器具检定、沟通等。</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质量/环境/职业健康安全管理体系及其过程</w:t>
            </w:r>
          </w:p>
        </w:tc>
        <w:tc>
          <w:tcPr>
            <w:tcW w:w="960" w:type="dxa"/>
          </w:tcPr>
          <w:p>
            <w:pPr>
              <w:spacing w:line="360" w:lineRule="auto"/>
            </w:pPr>
            <w:r>
              <w:t>QEO</w:t>
            </w:r>
            <w:r>
              <w:rPr>
                <w:rFonts w:hint="eastAsia"/>
              </w:rPr>
              <w:t>4.4</w:t>
            </w:r>
          </w:p>
        </w:tc>
        <w:tc>
          <w:tcPr>
            <w:tcW w:w="10004" w:type="dxa"/>
          </w:tcPr>
          <w:p>
            <w:pPr>
              <w:spacing w:line="360" w:lineRule="auto"/>
            </w:pPr>
            <w:r>
              <w:rPr>
                <w:rFonts w:hint="eastAsia"/>
              </w:rPr>
              <w:t>该公司20</w:t>
            </w:r>
            <w:r>
              <w:rPr>
                <w:rFonts w:hint="eastAsia"/>
                <w:lang w:val="en-US" w:eastAsia="zh-CN"/>
              </w:rPr>
              <w:t>20</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日根据</w:t>
            </w:r>
            <w:r>
              <w:rPr>
                <w:rFonts w:hint="eastAsia"/>
                <w:lang w:val="en-US" w:eastAsia="zh-CN"/>
              </w:rPr>
              <w:t>新版ISO45001-2018《职业健康安全管理体系要求及使用指南》标准，结合GB/T 19001-2016和GB/T 24001-2016标准要求，</w:t>
            </w:r>
            <w:r>
              <w:rPr>
                <w:rFonts w:hint="eastAsia"/>
              </w:rPr>
              <w:t>编制</w:t>
            </w:r>
            <w:r>
              <w:rPr>
                <w:rFonts w:hint="eastAsia"/>
                <w:lang w:val="en-US" w:eastAsia="zh-CN"/>
              </w:rPr>
              <w:t>了新版的</w:t>
            </w:r>
            <w:r>
              <w:rPr>
                <w:rFonts w:hint="eastAsia"/>
              </w:rPr>
              <w:t>管理手册、程序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pPr>
              <w:spacing w:line="360" w:lineRule="auto"/>
            </w:pPr>
            <w:r>
              <w:rPr>
                <w:rFonts w:hint="eastAsia"/>
              </w:rPr>
              <w:t>与负责人交流：部门确定了满足与管理体系有关的客户及相关方的要求。</w:t>
            </w:r>
          </w:p>
          <w:p>
            <w:pPr>
              <w:spacing w:line="360" w:lineRule="auto"/>
            </w:pPr>
            <w:r>
              <w:rPr>
                <w:rFonts w:hint="eastAsia"/>
              </w:rPr>
              <w:t>1.公司通过监视和评审有关相关方及其有关要求的信息，实现持续改进。如供应商管理、合同条款、组织营业执照和质量环境职业健康安全及使用的安全可靠性、服务的评价等风险和市场开拓的机遇。</w:t>
            </w:r>
          </w:p>
          <w:p>
            <w:pPr>
              <w:spacing w:line="360" w:lineRule="auto"/>
            </w:pPr>
            <w:r>
              <w:rPr>
                <w:rFonts w:hint="eastAsia"/>
              </w:rPr>
              <w:t>2. 应对风险的措施：</w:t>
            </w:r>
          </w:p>
          <w:p>
            <w:pPr>
              <w:spacing w:line="360" w:lineRule="auto"/>
            </w:pPr>
            <w:r>
              <w:rPr>
                <w:rFonts w:hint="eastAsia"/>
              </w:rPr>
              <w:t>a) 通过供应商的选择和评定来控制风险，选择供应商时考核其资质及其提供合格产品和合格服务的能力，应与客户需求相匹配。</w:t>
            </w:r>
          </w:p>
          <w:p>
            <w:pPr>
              <w:spacing w:line="360" w:lineRule="auto"/>
            </w:pPr>
            <w:r>
              <w:rPr>
                <w:rFonts w:hint="eastAsia"/>
              </w:rPr>
              <w:t>b)通过签订客户协议和供应商协议的条款把控风险。从各个方面确保许可范围内的租赁、设计等质量，过程环境影响、危险源管理等，提高客户满意度，同时对风险加以控制。</w:t>
            </w:r>
          </w:p>
          <w:p>
            <w:pPr>
              <w:spacing w:line="360" w:lineRule="auto"/>
            </w:pPr>
            <w:r>
              <w:rPr>
                <w:rFonts w:hint="eastAsia"/>
              </w:rPr>
              <w:t>3.识别进行经营范围内的</w:t>
            </w:r>
            <w:r>
              <w:rPr>
                <w:rFonts w:hint="eastAsia"/>
                <w:lang w:eastAsia="zh-CN"/>
              </w:rPr>
              <w:t>螺旋（双）转子流量计、普通电磁流量计、楔形流量计、三转子流量计、指示型转子流量计、螺旋单转子流量计、智能控制注水仪、金属刮板流量计、旋进漩涡气体流量计、质量流量计的生产及销售</w:t>
            </w:r>
            <w:r>
              <w:rPr>
                <w:rFonts w:hint="eastAsia"/>
              </w:rPr>
              <w:t>风险及具体应对措施，采购的风险，严格供应商评审，选择合格供方，要求其销售能力和产品质量满足客户要求，并严格进行合格供方业绩评价。通过采购合同或协议与</w:t>
            </w:r>
            <w:r>
              <w:rPr>
                <w:rFonts w:hint="eastAsia"/>
                <w:lang w:val="en-US" w:eastAsia="zh-CN"/>
              </w:rPr>
              <w:t>服务</w:t>
            </w:r>
            <w:r>
              <w:rPr>
                <w:rFonts w:hint="eastAsia"/>
              </w:rPr>
              <w:t>合同或协议的条款匹配来控制风险，产品经检验后交货来控制产品质量的风险。</w:t>
            </w:r>
          </w:p>
          <w:p>
            <w:pPr>
              <w:spacing w:line="360" w:lineRule="auto"/>
              <w:rPr>
                <w:rFonts w:hint="eastAsia" w:ascii="Times New Roman" w:hAnsi="Times New Roman" w:cs="Times New Roman"/>
              </w:rPr>
            </w:pPr>
            <w:r>
              <w:rPr>
                <w:rFonts w:hint="eastAsia"/>
              </w:rPr>
              <w:t>4.通过对经营范围内的</w:t>
            </w:r>
            <w:r>
              <w:rPr>
                <w:rFonts w:hint="eastAsia"/>
                <w:sz w:val="20"/>
                <w:lang w:eastAsia="zh-CN"/>
              </w:rPr>
              <w:t>螺旋（双）转子流量计、普通电磁流量计、楔形流量计、三转子流量计、指示型转子流量计、螺旋单转子流量计、智能控制注水仪、金属刮板流量计、旋进漩涡气体流量计、质量流量计的生产及销售</w:t>
            </w:r>
            <w:r>
              <w:rPr>
                <w:rFonts w:hint="eastAsia"/>
              </w:rPr>
              <w:t>的风险控制和销售环保、交付等风险控制，在具体操作过程中实施的措施，实现了对整个供应链管理的风险控制，为客户提供更全面的经营范围内的</w:t>
            </w:r>
            <w:r>
              <w:rPr>
                <w:rFonts w:hint="eastAsia" w:ascii="Times New Roman" w:hAnsi="Times New Roman" w:cs="Times New Roman"/>
                <w:lang w:eastAsia="zh-CN"/>
              </w:rPr>
              <w:t>螺旋（双）转子流量计、普通电磁流量计、楔形流量计、三转子流量计、指示型转子流量计、螺旋单转子流量计、智能控制注水仪、金属刮板流量计、旋进漩涡气体流量计、质量流量计的生产及销售</w:t>
            </w:r>
            <w:r>
              <w:rPr>
                <w:rFonts w:hint="eastAsia" w:ascii="Times New Roman" w:hAnsi="Times New Roman" w:cs="Times New Roman"/>
              </w:rPr>
              <w:t>。</w:t>
            </w:r>
          </w:p>
          <w:p>
            <w:pPr>
              <w:spacing w:line="360" w:lineRule="auto"/>
              <w:jc w:val="left"/>
              <w:rPr>
                <w:rFonts w:hint="eastAsia" w:ascii="宋体" w:hAnsi="宋体" w:cs="宋体"/>
                <w:szCs w:val="21"/>
              </w:rPr>
            </w:pPr>
            <w:r>
              <w:rPr>
                <w:rFonts w:hint="eastAsia" w:ascii="宋体" w:hAnsi="宋体" w:cs="宋体"/>
                <w:szCs w:val="21"/>
              </w:rPr>
              <w:t>外包情况：</w:t>
            </w:r>
            <w:r>
              <w:rPr>
                <w:rFonts w:hint="eastAsia"/>
                <w:lang w:val="en-US" w:eastAsia="zh-CN"/>
              </w:rPr>
              <w:t>机加</w:t>
            </w:r>
            <w:r>
              <w:rPr>
                <w:rFonts w:hint="eastAsia" w:ascii="宋体" w:hAnsi="宋体" w:cs="宋体"/>
                <w:szCs w:val="21"/>
                <w:lang w:val="en-US" w:eastAsia="zh-CN"/>
              </w:rPr>
              <w:t>工</w:t>
            </w:r>
            <w:r>
              <w:rPr>
                <w:rFonts w:hint="eastAsia" w:ascii="宋体" w:hAnsi="宋体" w:cs="宋体"/>
                <w:szCs w:val="21"/>
              </w:rPr>
              <w:t>。</w:t>
            </w:r>
          </w:p>
          <w:p>
            <w:pPr>
              <w:spacing w:line="360" w:lineRule="auto"/>
              <w:jc w:val="left"/>
              <w:rPr>
                <w:rFonts w:hint="eastAsia" w:ascii="Times New Roman" w:hAnsi="Times New Roman" w:cs="Times New Roman"/>
                <w:szCs w:val="22"/>
                <w:lang w:eastAsia="zh-CN"/>
              </w:rPr>
            </w:pPr>
            <w:r>
              <w:rPr>
                <w:rFonts w:hint="eastAsia"/>
              </w:rPr>
              <w:t>采用过程方法建立、实施管理体系，运用PDCA方式指导体系各过程运作，并将利及基于风险思考的方式，对管理体系过程进行了识别确定。公司建立文件化管理体系，有《管理手册》、《程序文</w:t>
            </w:r>
            <w:r>
              <w:rPr>
                <w:rFonts w:hint="eastAsia" w:ascii="Times New Roman" w:hAnsi="Times New Roman" w:cs="Times New Roman"/>
                <w:szCs w:val="22"/>
              </w:rPr>
              <w:t>件》、《管理制度》等</w:t>
            </w:r>
            <w:r>
              <w:rPr>
                <w:rFonts w:hint="eastAsia" w:ascii="Times New Roman" w:hAnsi="Times New Roman" w:cs="Times New Roman"/>
                <w:szCs w:val="22"/>
                <w:lang w:eastAsia="zh-CN"/>
              </w:rPr>
              <w:t>。</w:t>
            </w:r>
          </w:p>
          <w:p>
            <w:pPr>
              <w:spacing w:line="360" w:lineRule="auto"/>
              <w:jc w:val="left"/>
              <w:rPr>
                <w:rFonts w:hint="eastAsia" w:ascii="Times New Roman" w:hAnsi="Times New Roman" w:cs="Times New Roman"/>
                <w:szCs w:val="22"/>
                <w:lang w:val="en-US" w:eastAsia="zh-CN"/>
              </w:rPr>
            </w:pPr>
            <w:r>
              <w:rPr>
                <w:rFonts w:hint="eastAsia" w:cs="Times New Roman"/>
                <w:szCs w:val="22"/>
                <w:lang w:val="en-US" w:eastAsia="zh-CN"/>
              </w:rPr>
              <w:t>流量计生产流程：</w:t>
            </w:r>
            <w:r>
              <w:rPr>
                <w:rFonts w:hint="eastAsia" w:ascii="Times New Roman" w:hAnsi="Times New Roman" w:cs="Times New Roman"/>
                <w:szCs w:val="22"/>
                <w:lang w:val="en-US" w:eastAsia="zh-CN"/>
              </w:rPr>
              <w:t>原部件采购—组装—检测—出货</w:t>
            </w:r>
          </w:p>
          <w:p>
            <w:pPr>
              <w:spacing w:line="360" w:lineRule="auto"/>
              <w:jc w:val="left"/>
            </w:pPr>
            <w:r>
              <w:rPr>
                <w:rFonts w:hint="eastAsia"/>
                <w:lang w:val="en-US" w:eastAsia="zh-CN"/>
              </w:rPr>
              <w:t>新版</w:t>
            </w:r>
            <w:r>
              <w:rPr>
                <w:rFonts w:hint="eastAsia"/>
              </w:rPr>
              <w:t>管理体系从</w:t>
            </w:r>
            <w:r>
              <w:rPr>
                <w:rFonts w:hint="eastAsia"/>
                <w:lang w:val="en-US" w:eastAsia="zh-CN"/>
              </w:rPr>
              <w:t>上次审核至今</w:t>
            </w:r>
            <w:r>
              <w:rPr>
                <w:rFonts w:hint="eastAsia"/>
              </w:rPr>
              <w:t>，体系运行基本正常，符合要求。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rPr>
                <w:color w:val="auto"/>
              </w:rPr>
            </w:pPr>
            <w:r>
              <w:rPr>
                <w:rFonts w:hint="eastAsia"/>
                <w:color w:val="auto"/>
              </w:rPr>
              <w:t>领导作用与承诺</w:t>
            </w:r>
          </w:p>
          <w:p>
            <w:pPr>
              <w:spacing w:line="360" w:lineRule="auto"/>
              <w:rPr>
                <w:color w:val="auto"/>
              </w:rPr>
            </w:pPr>
            <w:r>
              <w:rPr>
                <w:rFonts w:hint="eastAsia"/>
                <w:color w:val="auto"/>
              </w:rPr>
              <w:t>--总则</w:t>
            </w:r>
          </w:p>
        </w:tc>
        <w:tc>
          <w:tcPr>
            <w:tcW w:w="960" w:type="dxa"/>
          </w:tcPr>
          <w:p>
            <w:pPr>
              <w:spacing w:line="360" w:lineRule="auto"/>
              <w:rPr>
                <w:color w:val="auto"/>
              </w:rPr>
            </w:pPr>
            <w:r>
              <w:rPr>
                <w:rFonts w:hint="eastAsia"/>
                <w:color w:val="auto"/>
              </w:rPr>
              <w:t>QE</w:t>
            </w:r>
            <w:r>
              <w:rPr>
                <w:color w:val="auto"/>
              </w:rPr>
              <w:t>O</w:t>
            </w:r>
          </w:p>
          <w:p>
            <w:pPr>
              <w:spacing w:line="360" w:lineRule="auto"/>
              <w:rPr>
                <w:color w:val="auto"/>
              </w:rPr>
            </w:pPr>
            <w:r>
              <w:rPr>
                <w:rFonts w:hint="eastAsia"/>
                <w:color w:val="auto"/>
              </w:rPr>
              <w:t>5.1</w:t>
            </w:r>
          </w:p>
          <w:p>
            <w:pPr>
              <w:spacing w:line="360" w:lineRule="auto"/>
              <w:rPr>
                <w:color w:val="auto"/>
              </w:rPr>
            </w:pPr>
            <w:r>
              <w:rPr>
                <w:rFonts w:hint="eastAsia"/>
                <w:color w:val="auto"/>
              </w:rPr>
              <w:t>5.1.1</w:t>
            </w:r>
          </w:p>
          <w:p>
            <w:pPr>
              <w:spacing w:line="360" w:lineRule="auto"/>
              <w:rPr>
                <w:color w:val="auto"/>
              </w:rPr>
            </w:pPr>
          </w:p>
        </w:tc>
        <w:tc>
          <w:tcPr>
            <w:tcW w:w="10004" w:type="dxa"/>
            <w:vAlign w:val="center"/>
          </w:tcPr>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公司负责人说主要承诺有：</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组织分析本公司外部因素与内部因素，识别和确定本公司所面临的风险与机遇，明晰本公司战略方向。</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组织识别和确定相关方（特别是顾客）的需求和期望，并采取措施达到顾客满意。</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对建立、实施质量、环境、职业健康安全管理体系并持续改进其有效性所做出的承诺提供证据；</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向本公司传达满足顾客要求和法律法规、环境污染预防、职业健康安全预防要求的重要性，认真遵守国家法律、法规，制订本公司方针和目标，批准和发布《质量、环境、职业健康安全管理手册》；</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确保制定质量、环境、职业健康安全管理体系的方针和目标</w:t>
            </w:r>
            <w:r>
              <w:rPr>
                <w:rFonts w:ascii="宋体" w:hAnsi="宋体"/>
                <w:color w:val="auto"/>
                <w:sz w:val="21"/>
                <w:szCs w:val="21"/>
              </w:rPr>
              <w:t>,</w:t>
            </w:r>
            <w:r>
              <w:rPr>
                <w:rFonts w:hint="eastAsia" w:ascii="宋体" w:hAnsi="宋体"/>
                <w:color w:val="auto"/>
                <w:sz w:val="21"/>
                <w:szCs w:val="21"/>
              </w:rPr>
              <w:t>并与组织环境和战略方向相一致；</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以文件形式规定与产品和服务质量、环境污染预防、职业健康安全预防活动有影响人员的岗位、职责和权限；</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为质量、环境、职业健康安全管理体系的有效运行确定资源需求，并提供充分的资源；</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按期主持管理评审，确保本公司质量、环境、职业健康安全管理体系的适宜性、有效性和持续改进；</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领导本公司中的产品和质量、环境污染预防、职业健康安全预防管理工作，对与产品和服务质量、环境污染预防、职业健康安全预防有关的重大问题做出决策，并对本公司的产品和服务质量、环境污染预防、职业健康安全预防负全面责任；</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负责本公司全面管理，有权对一切事务的处理进行最终决策。</w:t>
            </w:r>
          </w:p>
          <w:p>
            <w:pPr>
              <w:spacing w:line="360" w:lineRule="auto"/>
              <w:ind w:firstLine="570"/>
              <w:rPr>
                <w:rFonts w:ascii="宋体" w:hAnsi="宋体" w:cs="宋体"/>
                <w:color w:val="auto"/>
                <w:sz w:val="21"/>
                <w:szCs w:val="21"/>
              </w:rPr>
            </w:pPr>
            <w:r>
              <w:rPr>
                <w:rFonts w:hint="eastAsia" w:ascii="宋体" w:hAnsi="宋体" w:cs="宋体"/>
                <w:color w:val="auto"/>
                <w:sz w:val="21"/>
                <w:szCs w:val="21"/>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以顾客为关注焦点</w:t>
            </w:r>
          </w:p>
          <w:p>
            <w:pPr>
              <w:spacing w:line="360" w:lineRule="auto"/>
            </w:pPr>
          </w:p>
        </w:tc>
        <w:tc>
          <w:tcPr>
            <w:tcW w:w="960" w:type="dxa"/>
          </w:tcPr>
          <w:p>
            <w:pPr>
              <w:spacing w:line="360" w:lineRule="auto"/>
            </w:pPr>
            <w:r>
              <w:rPr>
                <w:rFonts w:hint="eastAsia"/>
              </w:rPr>
              <w:t>Q5.1.2</w:t>
            </w:r>
          </w:p>
          <w:p>
            <w:pPr>
              <w:spacing w:line="360" w:lineRule="auto"/>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360" w:lineRule="auto"/>
              <w:ind w:firstLine="420" w:firstLineChars="200"/>
              <w:rPr>
                <w:rFonts w:hint="eastAsia" w:ascii="宋体" w:hAnsi="宋体" w:cs="宋体"/>
                <w:szCs w:val="21"/>
              </w:rPr>
            </w:pPr>
            <w:r>
              <w:rPr>
                <w:rFonts w:hint="eastAsia" w:ascii="宋体" w:hAnsi="宋体" w:cs="宋体"/>
                <w:szCs w:val="21"/>
              </w:rPr>
              <w:t>a）确定、理解并持续满足顾客要求以及适用的法律法规要求，</w:t>
            </w:r>
            <w:r>
              <w:rPr>
                <w:rFonts w:hint="eastAsia" w:ascii="宋体" w:hAnsi="宋体" w:cs="宋体"/>
                <w:szCs w:val="21"/>
                <w:lang w:eastAsia="zh-CN"/>
              </w:rPr>
              <w:t>办公室</w:t>
            </w:r>
            <w:r>
              <w:rPr>
                <w:rFonts w:hint="eastAsia" w:ascii="宋体" w:hAnsi="宋体" w:cs="宋体"/>
                <w:szCs w:val="21"/>
              </w:rPr>
              <w:t>编制适用的与</w:t>
            </w:r>
            <w:r>
              <w:rPr>
                <w:rFonts w:hint="eastAsia" w:ascii="宋体" w:hAnsi="宋体" w:cs="宋体"/>
                <w:szCs w:val="21"/>
                <w:lang w:eastAsia="zh-CN"/>
              </w:rPr>
              <w:t>螺旋（双）转子流量计、普通电磁流量计、楔形流量计、三转子流量计、指示型转子流量计、螺旋单转子流量计、智能控制注水仪、金属刮板流量计、旋进漩涡气体流量计、质量流量计的生产及销售</w:t>
            </w:r>
            <w:r>
              <w:rPr>
                <w:rFonts w:hint="eastAsia" w:ascii="宋体" w:hAnsi="宋体" w:cs="宋体"/>
                <w:szCs w:val="21"/>
              </w:rPr>
              <w:t>有关的法律、法规清单。</w:t>
            </w:r>
          </w:p>
          <w:p>
            <w:pPr>
              <w:spacing w:line="360" w:lineRule="auto"/>
              <w:rPr>
                <w:rFonts w:hint="eastAsia" w:ascii="宋体" w:hAnsi="宋体" w:cs="宋体"/>
                <w:szCs w:val="21"/>
              </w:rPr>
            </w:pPr>
            <w:r>
              <w:rPr>
                <w:rFonts w:hint="eastAsia" w:ascii="宋体" w:hAnsi="宋体" w:cs="宋体"/>
                <w:szCs w:val="21"/>
              </w:rPr>
              <w:t xml:space="preserve">    b）确定和应对能够影响产品、服务符合性以及增强顾客满意能力的风险和机遇；</w:t>
            </w:r>
          </w:p>
          <w:p>
            <w:pPr>
              <w:spacing w:line="360" w:lineRule="auto"/>
              <w:ind w:firstLine="480"/>
              <w:rPr>
                <w:rFonts w:ascii="宋体" w:hAnsi="宋体" w:cs="宋体"/>
                <w:szCs w:val="21"/>
              </w:rPr>
            </w:pPr>
            <w:r>
              <w:rPr>
                <w:rFonts w:hint="eastAsia" w:ascii="宋体" w:hAnsi="宋体" w:cs="宋体"/>
                <w:szCs w:val="21"/>
              </w:rPr>
              <w:t>c）始终致力于增强顾客满意。</w:t>
            </w:r>
            <w:r>
              <w:rPr>
                <w:rFonts w:hint="eastAsia" w:ascii="宋体" w:hAnsi="宋体" w:cs="宋体"/>
                <w:szCs w:val="21"/>
              </w:rPr>
              <w:br w:type="textWrapping"/>
            </w:r>
            <w:r>
              <w:rPr>
                <w:rFonts w:hint="eastAsia" w:ascii="宋体" w:hAnsi="宋体" w:cs="宋体"/>
                <w:szCs w:val="21"/>
              </w:rPr>
              <w:t>详见审核Q9.1.2条款记录。</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方针</w:t>
            </w:r>
          </w:p>
          <w:p>
            <w:pPr>
              <w:spacing w:line="360" w:lineRule="auto"/>
            </w:pPr>
            <w:r>
              <w:rPr>
                <w:rFonts w:hint="eastAsia"/>
              </w:rPr>
              <w:t>制定方针</w:t>
            </w:r>
          </w:p>
          <w:p>
            <w:pPr>
              <w:spacing w:line="360" w:lineRule="auto"/>
            </w:pPr>
            <w:r>
              <w:rPr>
                <w:rFonts w:hint="eastAsia"/>
              </w:rPr>
              <w:t>沟通方针</w:t>
            </w:r>
          </w:p>
        </w:tc>
        <w:tc>
          <w:tcPr>
            <w:tcW w:w="960" w:type="dxa"/>
          </w:tcPr>
          <w:p>
            <w:pPr>
              <w:spacing w:line="360" w:lineRule="auto"/>
            </w:pPr>
            <w:r>
              <w:rPr>
                <w:rFonts w:hint="eastAsia"/>
              </w:rPr>
              <w:t>QE</w:t>
            </w:r>
            <w:r>
              <w:t>O</w:t>
            </w:r>
            <w:r>
              <w:rPr>
                <w:rFonts w:hint="eastAsia"/>
              </w:rPr>
              <w:t>5.2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该公司管理方针：</w:t>
            </w:r>
          </w:p>
          <w:p>
            <w:pPr>
              <w:spacing w:line="360" w:lineRule="auto"/>
              <w:ind w:firstLine="420" w:firstLineChars="200"/>
              <w:rPr>
                <w:rFonts w:hint="eastAsia" w:ascii="宋体" w:hAnsi="宋体" w:cs="宋体"/>
                <w:szCs w:val="21"/>
              </w:rPr>
            </w:pPr>
            <w:r>
              <w:rPr>
                <w:rFonts w:hint="eastAsia" w:ascii="宋体" w:hAnsi="宋体" w:cs="宋体"/>
                <w:szCs w:val="21"/>
              </w:rPr>
              <w:t>质量、环境和职业健康安全管理方针：</w:t>
            </w:r>
          </w:p>
          <w:p>
            <w:pPr>
              <w:spacing w:line="360" w:lineRule="auto"/>
              <w:ind w:firstLine="420" w:firstLineChars="200"/>
              <w:rPr>
                <w:rFonts w:hint="eastAsia" w:ascii="宋体" w:hAnsi="宋体" w:cs="宋体"/>
                <w:szCs w:val="21"/>
              </w:rPr>
            </w:pPr>
            <w:r>
              <w:rPr>
                <w:rFonts w:hint="eastAsia" w:ascii="宋体" w:hAnsi="宋体" w:cs="宋体"/>
                <w:szCs w:val="21"/>
              </w:rPr>
              <w:t>忠诚</w:t>
            </w:r>
            <w:r>
              <w:rPr>
                <w:rFonts w:hint="eastAsia" w:ascii="宋体" w:hAnsi="宋体" w:cs="宋体"/>
                <w:szCs w:val="21"/>
              </w:rPr>
              <w:tab/>
            </w:r>
            <w:r>
              <w:rPr>
                <w:rFonts w:hint="eastAsia" w:ascii="宋体" w:hAnsi="宋体" w:cs="宋体"/>
                <w:szCs w:val="21"/>
              </w:rPr>
              <w:t>优质</w:t>
            </w:r>
            <w:r>
              <w:rPr>
                <w:rFonts w:hint="eastAsia" w:ascii="宋体" w:hAnsi="宋体" w:cs="宋体"/>
                <w:szCs w:val="21"/>
              </w:rPr>
              <w:tab/>
            </w:r>
            <w:r>
              <w:rPr>
                <w:rFonts w:hint="eastAsia" w:ascii="宋体" w:hAnsi="宋体" w:cs="宋体"/>
                <w:szCs w:val="21"/>
              </w:rPr>
              <w:t>创新</w:t>
            </w:r>
            <w:r>
              <w:rPr>
                <w:rFonts w:hint="eastAsia" w:ascii="宋体" w:hAnsi="宋体" w:cs="宋体"/>
                <w:szCs w:val="21"/>
              </w:rPr>
              <w:tab/>
            </w:r>
            <w:r>
              <w:rPr>
                <w:rFonts w:hint="eastAsia" w:ascii="宋体" w:hAnsi="宋体" w:cs="宋体"/>
                <w:szCs w:val="21"/>
              </w:rPr>
              <w:t>高效</w:t>
            </w:r>
          </w:p>
          <w:p>
            <w:pPr>
              <w:spacing w:line="360" w:lineRule="auto"/>
              <w:ind w:firstLine="420" w:firstLineChars="200"/>
              <w:rPr>
                <w:rFonts w:hint="eastAsia" w:ascii="宋体" w:hAnsi="宋体" w:cs="宋体"/>
                <w:szCs w:val="21"/>
              </w:rPr>
            </w:pPr>
            <w:r>
              <w:rPr>
                <w:rFonts w:hint="eastAsia" w:ascii="宋体" w:hAnsi="宋体" w:cs="宋体"/>
                <w:szCs w:val="21"/>
              </w:rPr>
              <w:t>绿色</w:t>
            </w:r>
            <w:r>
              <w:rPr>
                <w:rFonts w:hint="eastAsia" w:ascii="宋体" w:hAnsi="宋体" w:cs="宋体"/>
                <w:szCs w:val="21"/>
              </w:rPr>
              <w:tab/>
            </w:r>
            <w:r>
              <w:rPr>
                <w:rFonts w:hint="eastAsia" w:ascii="宋体" w:hAnsi="宋体" w:cs="宋体"/>
                <w:szCs w:val="21"/>
              </w:rPr>
              <w:t>环保</w:t>
            </w:r>
            <w:r>
              <w:rPr>
                <w:rFonts w:hint="eastAsia" w:ascii="宋体" w:hAnsi="宋体" w:cs="宋体"/>
                <w:szCs w:val="21"/>
              </w:rPr>
              <w:tab/>
            </w:r>
            <w:r>
              <w:rPr>
                <w:rFonts w:hint="eastAsia" w:ascii="宋体" w:hAnsi="宋体" w:cs="宋体"/>
                <w:szCs w:val="21"/>
              </w:rPr>
              <w:t>节能</w:t>
            </w:r>
            <w:r>
              <w:rPr>
                <w:rFonts w:hint="eastAsia" w:ascii="宋体" w:hAnsi="宋体" w:cs="宋体"/>
                <w:szCs w:val="21"/>
              </w:rPr>
              <w:tab/>
            </w:r>
            <w:r>
              <w:rPr>
                <w:rFonts w:hint="eastAsia" w:ascii="宋体" w:hAnsi="宋体" w:cs="宋体"/>
                <w:szCs w:val="21"/>
              </w:rPr>
              <w:t>降耗</w:t>
            </w:r>
          </w:p>
          <w:p>
            <w:pPr>
              <w:spacing w:line="360" w:lineRule="auto"/>
              <w:ind w:firstLine="420" w:firstLineChars="200"/>
              <w:rPr>
                <w:rFonts w:hint="eastAsia" w:ascii="宋体" w:hAnsi="宋体" w:cs="宋体"/>
                <w:szCs w:val="21"/>
              </w:rPr>
            </w:pPr>
            <w:r>
              <w:rPr>
                <w:rFonts w:hint="eastAsia" w:ascii="宋体" w:hAnsi="宋体" w:cs="宋体"/>
                <w:szCs w:val="21"/>
              </w:rPr>
              <w:t>预防</w:t>
            </w:r>
            <w:r>
              <w:rPr>
                <w:rFonts w:hint="eastAsia" w:ascii="宋体" w:hAnsi="宋体" w:cs="宋体"/>
                <w:szCs w:val="21"/>
              </w:rPr>
              <w:tab/>
            </w:r>
            <w:r>
              <w:rPr>
                <w:rFonts w:hint="eastAsia" w:ascii="宋体" w:hAnsi="宋体" w:cs="宋体"/>
                <w:szCs w:val="21"/>
              </w:rPr>
              <w:t>控制</w:t>
            </w:r>
            <w:r>
              <w:rPr>
                <w:rFonts w:hint="eastAsia" w:ascii="宋体" w:hAnsi="宋体" w:cs="宋体"/>
                <w:szCs w:val="21"/>
              </w:rPr>
              <w:tab/>
            </w:r>
            <w:r>
              <w:rPr>
                <w:rFonts w:hint="eastAsia" w:ascii="宋体" w:hAnsi="宋体" w:cs="宋体"/>
                <w:szCs w:val="21"/>
              </w:rPr>
              <w:t>健康</w:t>
            </w:r>
            <w:r>
              <w:rPr>
                <w:rFonts w:hint="eastAsia" w:ascii="宋体" w:hAnsi="宋体" w:cs="宋体"/>
                <w:szCs w:val="21"/>
              </w:rPr>
              <w:tab/>
            </w:r>
            <w:r>
              <w:rPr>
                <w:rFonts w:hint="eastAsia" w:ascii="宋体" w:hAnsi="宋体" w:cs="宋体"/>
                <w:szCs w:val="21"/>
              </w:rPr>
              <w:t>安全</w:t>
            </w:r>
          </w:p>
          <w:p>
            <w:pPr>
              <w:spacing w:line="360" w:lineRule="auto"/>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360" w:lineRule="auto"/>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办公室</w:t>
            </w:r>
            <w:r>
              <w:rPr>
                <w:rFonts w:hint="eastAsia" w:ascii="宋体" w:hAnsi="宋体" w:cs="宋体"/>
                <w:szCs w:val="21"/>
              </w:rPr>
              <w:t>获取公司管理方针。</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pPr>
            <w:r>
              <w:rPr>
                <w:rFonts w:hint="eastAsia"/>
              </w:rPr>
              <w:t>组织的岗位、职责和权限</w:t>
            </w:r>
          </w:p>
          <w:p>
            <w:pPr>
              <w:spacing w:line="360" w:lineRule="auto"/>
            </w:pPr>
          </w:p>
        </w:tc>
        <w:tc>
          <w:tcPr>
            <w:tcW w:w="960" w:type="dxa"/>
          </w:tcPr>
          <w:p>
            <w:pPr>
              <w:spacing w:line="360" w:lineRule="auto"/>
            </w:pPr>
            <w:r>
              <w:t>QEO5.3</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公司设置了</w:t>
            </w:r>
            <w:r>
              <w:rPr>
                <w:rFonts w:hint="eastAsia"/>
                <w:color w:val="000000"/>
                <w:szCs w:val="21"/>
                <w:lang w:eastAsia="zh-CN"/>
              </w:rPr>
              <w:t>技术质量部、办公室、生产部、销售部、财务部</w:t>
            </w:r>
            <w:r>
              <w:rPr>
                <w:rFonts w:hint="eastAsia" w:ascii="宋体" w:hAnsi="宋体" w:cs="宋体"/>
                <w:szCs w:val="21"/>
              </w:rPr>
              <w:t>，并对各部门的职能进行了分配和规定。职业健康安全管理事务代表任命为</w:t>
            </w:r>
            <w:r>
              <w:rPr>
                <w:rFonts w:hint="eastAsia" w:ascii="宋体" w:hAnsi="宋体" w:cs="宋体"/>
                <w:szCs w:val="21"/>
                <w:lang w:val="en-US" w:eastAsia="zh-CN"/>
              </w:rPr>
              <w:t>冯勇</w:t>
            </w:r>
            <w:r>
              <w:rPr>
                <w:rFonts w:hint="eastAsia" w:ascii="宋体" w:hAnsi="宋体" w:cs="宋体"/>
                <w:szCs w:val="21"/>
              </w:rPr>
              <w:t>，公司对履行事务代表以及非管理类工作人员的协商与参与职责进行了规定。公司决定任命</w:t>
            </w:r>
            <w:r>
              <w:rPr>
                <w:rFonts w:hint="eastAsia" w:ascii="宋体" w:hAnsi="宋体" w:cs="宋体"/>
                <w:szCs w:val="21"/>
                <w:lang w:val="en-US" w:eastAsia="zh-CN"/>
              </w:rPr>
              <w:t>方晓静</w:t>
            </w:r>
            <w:r>
              <w:rPr>
                <w:rFonts w:hint="eastAsia" w:ascii="宋体" w:hAnsi="宋体" w:cs="宋体"/>
                <w:szCs w:val="21"/>
              </w:rPr>
              <w:t>为管理体系的管理者代表。对其职责和权限规定如下：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质量环境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pPr>
              <w:spacing w:line="360" w:lineRule="auto"/>
              <w:ind w:firstLine="420" w:firstLineChars="200"/>
              <w:rPr>
                <w:rFonts w:ascii="宋体" w:hAnsi="宋体" w:cs="宋体"/>
                <w:szCs w:val="21"/>
              </w:rPr>
            </w:pPr>
            <w:r>
              <w:rPr>
                <w:rFonts w:hint="eastAsia" w:ascii="宋体" w:hAnsi="宋体" w:cs="宋体"/>
                <w:szCs w:val="21"/>
              </w:rPr>
              <w:t>询问管代</w:t>
            </w:r>
            <w:r>
              <w:rPr>
                <w:rFonts w:hint="eastAsia" w:ascii="宋体" w:hAnsi="宋体" w:cs="宋体"/>
                <w:szCs w:val="21"/>
                <w:lang w:val="en-US" w:eastAsia="zh-CN"/>
              </w:rPr>
              <w:t>方晓静</w:t>
            </w:r>
            <w:r>
              <w:rPr>
                <w:rFonts w:hint="eastAsia" w:ascii="宋体" w:hAnsi="宋体" w:cs="宋体"/>
                <w:szCs w:val="21"/>
              </w:rPr>
              <w:t>和职业健康安全事务代表</w:t>
            </w:r>
            <w:r>
              <w:rPr>
                <w:rFonts w:hint="eastAsia" w:ascii="宋体" w:hAnsi="宋体" w:cs="宋体"/>
                <w:szCs w:val="21"/>
                <w:lang w:val="en-US" w:eastAsia="zh-CN"/>
              </w:rPr>
              <w:t>冯勇</w:t>
            </w:r>
            <w:r>
              <w:rPr>
                <w:rFonts w:hint="eastAsia" w:ascii="宋体" w:hAnsi="宋体" w:cs="宋体"/>
                <w:szCs w:val="21"/>
              </w:rPr>
              <w:t>职责回答正确。</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pPr>
            <w:r>
              <w:rPr>
                <w:rFonts w:hint="eastAsia" w:ascii="宋体" w:hAnsi="宋体" w:cs="Arial"/>
                <w:spacing w:val="-6"/>
                <w:sz w:val="21"/>
                <w:szCs w:val="21"/>
              </w:rPr>
              <w:t>工作人员的协商和参与</w:t>
            </w:r>
          </w:p>
        </w:tc>
        <w:tc>
          <w:tcPr>
            <w:tcW w:w="960" w:type="dxa"/>
          </w:tcPr>
          <w:p>
            <w:pPr>
              <w:spacing w:line="360" w:lineRule="auto"/>
            </w:pPr>
            <w:r>
              <w:rPr>
                <w:rFonts w:hint="eastAsia" w:ascii="宋体" w:hAnsi="宋体" w:cs="Arial"/>
                <w:spacing w:val="-6"/>
                <w:sz w:val="21"/>
                <w:szCs w:val="21"/>
                <w:lang w:val="en-US" w:eastAsia="zh-CN"/>
              </w:rPr>
              <w:t>O：</w:t>
            </w:r>
            <w:r>
              <w:rPr>
                <w:rFonts w:hint="eastAsia" w:ascii="宋体" w:hAnsi="宋体" w:cs="Arial"/>
                <w:spacing w:val="-6"/>
                <w:sz w:val="21"/>
                <w:szCs w:val="21"/>
              </w:rPr>
              <w:t>5.4</w:t>
            </w:r>
          </w:p>
        </w:tc>
        <w:tc>
          <w:tcPr>
            <w:tcW w:w="10004" w:type="dxa"/>
            <w:vAlign w:val="center"/>
          </w:tcPr>
          <w:p>
            <w:pPr>
              <w:spacing w:line="360" w:lineRule="auto"/>
              <w:ind w:firstLine="420" w:firstLineChars="200"/>
              <w:rPr>
                <w:rFonts w:hint="eastAsia" w:ascii="宋体" w:hAnsi="宋体" w:cs="宋体"/>
                <w:szCs w:val="21"/>
              </w:rPr>
            </w:pPr>
            <w:r>
              <w:rPr>
                <w:rFonts w:hint="eastAsia" w:ascii="宋体" w:hAnsi="宋体" w:cs="宋体"/>
                <w:szCs w:val="21"/>
              </w:rPr>
              <w:t>职业健康安全管理事务代表任命为</w:t>
            </w:r>
            <w:r>
              <w:rPr>
                <w:rFonts w:hint="eastAsia" w:ascii="宋体" w:hAnsi="宋体" w:cs="宋体"/>
                <w:szCs w:val="21"/>
                <w:lang w:val="en-US" w:eastAsia="zh-CN"/>
              </w:rPr>
              <w:t>冯勇</w:t>
            </w:r>
            <w:r>
              <w:rPr>
                <w:rFonts w:hint="eastAsia" w:ascii="宋体" w:hAnsi="宋体" w:cs="宋体"/>
                <w:szCs w:val="21"/>
              </w:rPr>
              <w:t>，公司对履行事务代表以及非管理类工作人员的协商与参与职责进行了规定。</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管理目标及其实现的策划</w:t>
            </w:r>
          </w:p>
          <w:p>
            <w:pPr>
              <w:spacing w:line="360" w:lineRule="auto"/>
            </w:pPr>
          </w:p>
        </w:tc>
        <w:tc>
          <w:tcPr>
            <w:tcW w:w="960" w:type="dxa"/>
          </w:tcPr>
          <w:p>
            <w:pPr>
              <w:spacing w:line="360" w:lineRule="auto"/>
            </w:pPr>
            <w:r>
              <w:rPr>
                <w:rFonts w:hint="eastAsia"/>
              </w:rPr>
              <w:t>QE</w:t>
            </w:r>
            <w:r>
              <w:t>O</w:t>
            </w:r>
            <w:r>
              <w:rPr>
                <w:rFonts w:hint="eastAsia"/>
              </w:rPr>
              <w:t>6.2</w:t>
            </w:r>
          </w:p>
        </w:tc>
        <w:tc>
          <w:tcPr>
            <w:tcW w:w="10004" w:type="dxa"/>
            <w:vAlign w:val="center"/>
          </w:tcPr>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公司质量管理目标：</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1.产品一次交检合格率≥98%；</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2.合同履约率 100%；</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3.顾客满意程度≥85%。</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 xml:space="preserve"> </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公司环境管理目标：</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1.无重大环境污染事故；</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2.污染物达标排放；</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3.无重大火灾事故</w:t>
            </w:r>
          </w:p>
          <w:p>
            <w:pPr>
              <w:snapToGrid w:val="0"/>
              <w:spacing w:line="360" w:lineRule="auto"/>
              <w:ind w:firstLine="420" w:firstLineChars="200"/>
              <w:rPr>
                <w:rFonts w:hint="eastAsia" w:ascii="Times New Roman" w:hAnsi="Times New Roman" w:cs="Times New Roman"/>
                <w:sz w:val="21"/>
                <w:szCs w:val="21"/>
              </w:rPr>
            </w:pP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公司职业健康安全管理目标：</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1.无重大火灾事故；</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2.年千人重伤率≤0.4‰(2次)；年千人负伤率控制在3‰以下(5次)；</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3.重大责任交通事故为零</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 xml:space="preserve">4.不发生因工作引发的疾病 </w:t>
            </w:r>
          </w:p>
          <w:p>
            <w:pPr>
              <w:snapToGrid w:val="0"/>
              <w:spacing w:line="360" w:lineRule="auto"/>
              <w:ind w:firstLine="420" w:firstLineChars="200"/>
              <w:rPr>
                <w:rFonts w:ascii="宋体" w:hAnsi="宋体" w:cs="宋体"/>
                <w:szCs w:val="21"/>
              </w:rPr>
            </w:pPr>
            <w:r>
              <w:rPr>
                <w:rFonts w:hint="eastAsia" w:ascii="Times New Roman" w:hAnsi="Times New Roman" w:cs="Times New Roman"/>
                <w:sz w:val="21"/>
                <w:szCs w:val="21"/>
              </w:rPr>
              <w:t>对目标进行了分解，建立了各部门的分目标，每季度末对目标进行考核，查看“20</w:t>
            </w:r>
            <w:r>
              <w:rPr>
                <w:rFonts w:hint="eastAsia" w:cs="Times New Roman"/>
                <w:sz w:val="21"/>
                <w:szCs w:val="21"/>
                <w:lang w:val="en-US" w:eastAsia="zh-CN"/>
              </w:rPr>
              <w:t>22</w:t>
            </w:r>
            <w:r>
              <w:rPr>
                <w:rFonts w:hint="eastAsia" w:ascii="Times New Roman" w:hAnsi="Times New Roman" w:cs="Times New Roman"/>
                <w:sz w:val="21"/>
                <w:szCs w:val="21"/>
              </w:rPr>
              <w:t>年</w:t>
            </w:r>
            <w:r>
              <w:rPr>
                <w:rFonts w:hint="eastAsia" w:cs="Times New Roman"/>
                <w:sz w:val="21"/>
                <w:szCs w:val="21"/>
                <w:lang w:val="en-US" w:eastAsia="zh-CN"/>
              </w:rPr>
              <w:t>1-2022.5</w:t>
            </w:r>
            <w:r>
              <w:rPr>
                <w:rFonts w:hint="eastAsia" w:ascii="Times New Roman" w:hAnsi="Times New Roman" w:cs="Times New Roman"/>
                <w:sz w:val="21"/>
                <w:szCs w:val="21"/>
              </w:rPr>
              <w:t>目标完成情况统计表”，目标已基本实现。（见各部门考</w:t>
            </w:r>
            <w:r>
              <w:rPr>
                <w:rFonts w:hint="eastAsia"/>
                <w:sz w:val="21"/>
                <w:szCs w:val="21"/>
              </w:rPr>
              <w:t>核结果）。</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360" w:lineRule="auto"/>
              <w:rPr>
                <w:color w:val="auto"/>
              </w:rPr>
            </w:pPr>
            <w:r>
              <w:rPr>
                <w:rFonts w:hint="eastAsia"/>
                <w:color w:val="auto"/>
              </w:rPr>
              <w:t>变更的策划</w:t>
            </w:r>
          </w:p>
        </w:tc>
        <w:tc>
          <w:tcPr>
            <w:tcW w:w="960" w:type="dxa"/>
          </w:tcPr>
          <w:p>
            <w:pPr>
              <w:spacing w:line="360" w:lineRule="auto"/>
              <w:rPr>
                <w:color w:val="auto"/>
              </w:rPr>
            </w:pPr>
            <w:r>
              <w:rPr>
                <w:rFonts w:hint="eastAsia"/>
                <w:color w:val="auto"/>
              </w:rPr>
              <w:t>Q6.3</w:t>
            </w:r>
          </w:p>
        </w:tc>
        <w:tc>
          <w:tcPr>
            <w:tcW w:w="10004" w:type="dxa"/>
            <w:vAlign w:val="center"/>
          </w:tcPr>
          <w:p>
            <w:pPr>
              <w:spacing w:line="360" w:lineRule="auto"/>
              <w:rPr>
                <w:rFonts w:hint="eastAsia" w:ascii="宋体" w:hAnsi="宋体" w:cs="宋体"/>
                <w:color w:val="auto"/>
                <w:szCs w:val="21"/>
              </w:rPr>
            </w:pP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 xml:space="preserve"> 在《管理手册》中明确“变更的策划”的要求。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当组织确定需要对管理体系进行变更时，变更应按所策划的方式实施组织应考虑4个方面要求。</w:t>
            </w:r>
          </w:p>
          <w:p>
            <w:pPr>
              <w:spacing w:line="360" w:lineRule="auto"/>
              <w:ind w:firstLine="420" w:firstLineChars="200"/>
              <w:rPr>
                <w:rFonts w:hint="default" w:ascii="宋体" w:hAnsi="宋体" w:cs="宋体"/>
                <w:color w:val="auto"/>
                <w:szCs w:val="21"/>
                <w:lang w:val="en-US"/>
              </w:rPr>
            </w:pPr>
            <w:r>
              <w:rPr>
                <w:rFonts w:hint="eastAsia" w:ascii="宋体" w:hAnsi="宋体" w:cs="宋体"/>
                <w:color w:val="auto"/>
                <w:szCs w:val="21"/>
                <w:lang w:val="en-US" w:eastAsia="zh-CN"/>
              </w:rPr>
              <w:t>旧版的体系文件根据新版ISO45001-2018《职业健康安全管理体系要求及使用指南》标准，结合GB/T 19001-2016和GB/T 24001-2016标准要求变更为新版体系文件。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管理体系从</w:t>
            </w:r>
            <w:r>
              <w:rPr>
                <w:rFonts w:hint="eastAsia" w:ascii="宋体" w:hAnsi="宋体" w:cs="宋体"/>
                <w:color w:val="auto"/>
                <w:szCs w:val="21"/>
                <w:lang w:val="en-US" w:eastAsia="zh-CN"/>
              </w:rPr>
              <w:t>上次审核</w:t>
            </w:r>
            <w:r>
              <w:rPr>
                <w:rFonts w:hint="eastAsia" w:ascii="宋体" w:hAnsi="宋体" w:cs="宋体"/>
                <w:color w:val="auto"/>
                <w:szCs w:val="21"/>
              </w:rPr>
              <w:t>以来无涉及变更。</w:t>
            </w:r>
          </w:p>
        </w:tc>
        <w:tc>
          <w:tcPr>
            <w:tcW w:w="1585" w:type="dxa"/>
          </w:tcPr>
          <w:p>
            <w:pPr>
              <w:spacing w:line="360" w:lineRule="auto"/>
              <w:rPr>
                <w:color w:val="auto"/>
              </w:rPr>
            </w:pPr>
            <w:r>
              <w:rPr>
                <w:rFonts w:hint="eastAsia"/>
                <w:color w:val="auto"/>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pPr>
              <w:spacing w:line="360" w:lineRule="auto"/>
            </w:pPr>
            <w:r>
              <w:rPr>
                <w:rFonts w:hint="eastAsia"/>
              </w:rPr>
              <w:t>资源、总则</w:t>
            </w:r>
          </w:p>
        </w:tc>
        <w:tc>
          <w:tcPr>
            <w:tcW w:w="960" w:type="dxa"/>
          </w:tcPr>
          <w:p>
            <w:pPr>
              <w:spacing w:line="360" w:lineRule="auto"/>
            </w:pPr>
            <w:r>
              <w:rPr>
                <w:rFonts w:hint="eastAsia"/>
              </w:rPr>
              <w:t>Q7.1.1</w:t>
            </w:r>
          </w:p>
          <w:p>
            <w:pPr>
              <w:spacing w:line="360" w:lineRule="auto"/>
            </w:pPr>
            <w:r>
              <w:rPr>
                <w:rFonts w:hint="eastAsia"/>
              </w:rPr>
              <w:t>E</w:t>
            </w:r>
            <w:r>
              <w:t>O</w:t>
            </w:r>
            <w:r>
              <w:rPr>
                <w:rFonts w:hint="eastAsia"/>
              </w:rPr>
              <w:t>7.1</w:t>
            </w:r>
          </w:p>
        </w:tc>
        <w:tc>
          <w:tcPr>
            <w:tcW w:w="10004" w:type="dxa"/>
            <w:vAlign w:val="center"/>
          </w:tcPr>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在《管理手册》中明确“资源/总则”的要求。</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总经理/体系负责人介绍及现场观察：</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组织能确定并提供建立、实施、保持管理体系所需的资源，包括内部资源，考虑现有内部资源的能力，将增加人员的引进和培训，提高服务能力，并适时考虑外部资源（从外部供方获得的资源）。</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覆盖产品/服务/活动及体系运行所需的资源，主要有：</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a. 人力资源：公司共有员工2</w:t>
            </w:r>
            <w:r>
              <w:rPr>
                <w:rFonts w:hint="eastAsia" w:cs="Times New Roman"/>
                <w:szCs w:val="21"/>
                <w:lang w:val="en-US" w:eastAsia="zh-CN"/>
              </w:rPr>
              <w:t>0</w:t>
            </w:r>
            <w:r>
              <w:rPr>
                <w:rFonts w:hint="eastAsia" w:ascii="Times New Roman" w:hAnsi="Times New Roman" w:cs="Times New Roman"/>
                <w:szCs w:val="21"/>
              </w:rPr>
              <w:t>人，其中管理人员5人</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b. 基础设施：主要生产设备F11160A型万能分度头、砂轮机、万能分斗头、油介质标准表法流量装置、流量校验装置、耐电压测试仪、高低温试验箱、兆欧表、手动试压泵等，</w:t>
            </w:r>
          </w:p>
          <w:p>
            <w:pPr>
              <w:spacing w:line="360" w:lineRule="auto"/>
              <w:ind w:firstLine="420" w:firstLineChars="200"/>
              <w:rPr>
                <w:rFonts w:hint="eastAsia" w:ascii="Times New Roman" w:hAnsi="Times New Roman" w:eastAsia="宋体" w:cs="Times New Roman"/>
                <w:szCs w:val="21"/>
                <w:lang w:val="en-US" w:eastAsia="zh-CN"/>
              </w:rPr>
            </w:pPr>
            <w:r>
              <w:rPr>
                <w:rFonts w:hint="eastAsia" w:ascii="Times New Roman" w:hAnsi="Times New Roman" w:cs="Times New Roman"/>
                <w:szCs w:val="21"/>
              </w:rPr>
              <w:t>c. 工作环境：配有厂房、仓库、办公区域等</w:t>
            </w:r>
            <w:r>
              <w:rPr>
                <w:rFonts w:hint="eastAsia" w:ascii="Times New Roman" w:hAnsi="Times New Roman" w:cs="Times New Roman"/>
                <w:szCs w:val="21"/>
                <w:lang w:eastAsia="zh-CN"/>
              </w:rPr>
              <w:t>。</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d. 资金支持：注册资金11300.00万。</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能够满足产品生产及服务需要。</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意识</w:t>
            </w:r>
          </w:p>
          <w:p>
            <w:pPr>
              <w:spacing w:line="360" w:lineRule="auto"/>
              <w:rPr>
                <w:rFonts w:hint="eastAsia" w:ascii="Times New Roman" w:hAnsi="Times New Roman" w:eastAsia="宋体" w:cs="Times New Roman"/>
                <w:b/>
                <w:kern w:val="2"/>
                <w:sz w:val="21"/>
                <w:szCs w:val="21"/>
                <w:lang w:val="en-US" w:eastAsia="zh-CN" w:bidi="ar-SA"/>
              </w:rPr>
            </w:pPr>
          </w:p>
        </w:tc>
        <w:tc>
          <w:tcPr>
            <w:tcW w:w="960" w:type="dxa"/>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QE7.3</w:t>
            </w:r>
          </w:p>
          <w:p>
            <w:pPr>
              <w:spacing w:line="360" w:lineRule="auto"/>
              <w:rPr>
                <w:rFonts w:hint="eastAsia" w:ascii="Times New Roman" w:hAnsi="Times New Roman" w:eastAsia="宋体" w:cs="Times New Roman"/>
                <w:b/>
                <w:kern w:val="2"/>
                <w:sz w:val="21"/>
                <w:szCs w:val="21"/>
                <w:lang w:val="en-US" w:eastAsia="zh-CN" w:bidi="ar-SA"/>
              </w:rPr>
            </w:pPr>
          </w:p>
        </w:tc>
        <w:tc>
          <w:tcPr>
            <w:tcW w:w="10004" w:type="dxa"/>
            <w:vAlign w:val="center"/>
          </w:tcPr>
          <w:p>
            <w:pPr>
              <w:spacing w:line="360" w:lineRule="auto"/>
              <w:ind w:firstLine="420" w:firstLineChars="200"/>
              <w:rPr>
                <w:szCs w:val="21"/>
              </w:rPr>
            </w:pPr>
            <w:r>
              <w:rPr>
                <w:rFonts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60" w:lineRule="auto"/>
              <w:ind w:firstLine="420" w:firstLineChars="200"/>
              <w:rPr>
                <w:rFonts w:hint="eastAsia" w:ascii="Times New Roman" w:hAnsi="Times New Roman" w:eastAsia="宋体" w:cs="Times New Roman"/>
                <w:b/>
                <w:kern w:val="2"/>
                <w:sz w:val="21"/>
                <w:szCs w:val="21"/>
                <w:lang w:val="en-US" w:eastAsia="zh-CN" w:bidi="ar-SA"/>
              </w:rPr>
            </w:pPr>
            <w:r>
              <w:rPr>
                <w:rFonts w:hint="eastAsia"/>
                <w:szCs w:val="21"/>
              </w:rPr>
              <w:t>询问</w:t>
            </w:r>
            <w:r>
              <w:rPr>
                <w:rFonts w:hint="eastAsia"/>
                <w:szCs w:val="21"/>
                <w:lang w:eastAsia="zh-CN"/>
              </w:rPr>
              <w:t>办公室</w:t>
            </w:r>
            <w:r>
              <w:rPr>
                <w:rFonts w:hint="eastAsia"/>
                <w:szCs w:val="21"/>
                <w:lang w:val="en-US" w:eastAsia="zh-CN"/>
              </w:rPr>
              <w:t>冯勇</w:t>
            </w:r>
            <w:r>
              <w:rPr>
                <w:rFonts w:hint="eastAsia"/>
                <w:szCs w:val="21"/>
              </w:rPr>
              <w:t>知道公司方针，知道所在的工作岗位的质量、环境、职业健康安全目标，也了解自己的工作好坏会影响组织资质量、环境、职业健康安全管理体系的有效运行。</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u w:val="none"/>
              </w:rPr>
            </w:pPr>
            <w:r>
              <w:rPr>
                <w:rFonts w:hint="eastAsia"/>
                <w:u w:val="none"/>
              </w:rPr>
              <w:t>沟通</w:t>
            </w:r>
          </w:p>
          <w:p>
            <w:pPr>
              <w:spacing w:line="360" w:lineRule="auto"/>
              <w:rPr>
                <w:u w:val="none"/>
              </w:rPr>
            </w:pPr>
          </w:p>
        </w:tc>
        <w:tc>
          <w:tcPr>
            <w:tcW w:w="960" w:type="dxa"/>
          </w:tcPr>
          <w:p>
            <w:pPr>
              <w:spacing w:line="360" w:lineRule="auto"/>
              <w:rPr>
                <w:rFonts w:hint="default" w:eastAsia="宋体"/>
                <w:u w:val="none"/>
                <w:lang w:val="en-US" w:eastAsia="zh-CN"/>
              </w:rPr>
            </w:pPr>
            <w:r>
              <w:rPr>
                <w:u w:val="none"/>
              </w:rPr>
              <w:t>O</w:t>
            </w:r>
            <w:r>
              <w:rPr>
                <w:rFonts w:hint="eastAsia"/>
                <w:u w:val="none"/>
              </w:rPr>
              <w:t>7.4</w:t>
            </w:r>
            <w:r>
              <w:rPr>
                <w:rFonts w:hint="eastAsia"/>
                <w:u w:val="none"/>
                <w:lang w:val="en-US" w:eastAsia="zh-CN"/>
              </w:rPr>
              <w:t>.3</w:t>
            </w:r>
          </w:p>
        </w:tc>
        <w:tc>
          <w:tcPr>
            <w:tcW w:w="10004" w:type="dxa"/>
            <w:vAlign w:val="center"/>
          </w:tcPr>
          <w:p>
            <w:pPr>
              <w:spacing w:line="360" w:lineRule="auto"/>
              <w:ind w:firstLine="420" w:firstLineChars="200"/>
              <w:rPr>
                <w:szCs w:val="21"/>
                <w:u w:val="none"/>
              </w:rPr>
            </w:pPr>
            <w:r>
              <w:rPr>
                <w:rFonts w:hint="eastAsia"/>
                <w:szCs w:val="21"/>
                <w:u w:val="none"/>
              </w:rPr>
              <w:t>公司编制并实施了《信息交流</w:t>
            </w:r>
            <w:r>
              <w:rPr>
                <w:rFonts w:hint="eastAsia"/>
                <w:szCs w:val="21"/>
                <w:u w:val="none"/>
                <w:lang w:val="en-US" w:eastAsia="zh-CN"/>
              </w:rPr>
              <w:t>控制</w:t>
            </w:r>
            <w:r>
              <w:rPr>
                <w:rFonts w:hint="eastAsia"/>
                <w:szCs w:val="21"/>
                <w:u w:val="none"/>
              </w:rPr>
              <w:t>程序》，规定了职责、工作流程，包括内部沟通和外部沟通的方法和要求。</w:t>
            </w:r>
          </w:p>
          <w:p>
            <w:pPr>
              <w:spacing w:line="360" w:lineRule="auto"/>
              <w:ind w:firstLine="420" w:firstLineChars="200"/>
              <w:rPr>
                <w:szCs w:val="21"/>
                <w:u w:val="none"/>
              </w:rPr>
            </w:pPr>
            <w:r>
              <w:rPr>
                <w:rFonts w:hint="eastAsia"/>
                <w:szCs w:val="21"/>
                <w:u w:val="none"/>
              </w:rPr>
              <w:t>外部交流：通过发放《相关方环境及职业健康安全告知书》与相关方就相关环境、职业健康安全信息进行相互沟通。</w:t>
            </w:r>
          </w:p>
          <w:p>
            <w:pPr>
              <w:spacing w:line="360" w:lineRule="auto"/>
              <w:ind w:firstLine="420" w:firstLineChars="200"/>
              <w:rPr>
                <w:szCs w:val="21"/>
                <w:u w:val="none"/>
              </w:rPr>
            </w:pPr>
            <w:r>
              <w:rPr>
                <w:rFonts w:hint="eastAsia"/>
                <w:szCs w:val="21"/>
                <w:u w:val="none"/>
              </w:rPr>
              <w:t>审核周期内未发生因沟通不善造成的的问题。</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cs="宋体"/>
                <w:szCs w:val="21"/>
              </w:rPr>
            </w:pPr>
            <w:r>
              <w:rPr>
                <w:rFonts w:hint="eastAsia" w:ascii="宋体" w:hAnsi="宋体" w:cs="宋体"/>
                <w:szCs w:val="21"/>
              </w:rPr>
              <w:t>绩效 总则</w:t>
            </w:r>
          </w:p>
          <w:p>
            <w:pPr>
              <w:spacing w:line="360" w:lineRule="auto"/>
              <w:rPr>
                <w:rFonts w:ascii="宋体" w:hAnsi="宋体" w:eastAsia="宋体" w:cs="宋体"/>
                <w:kern w:val="2"/>
                <w:sz w:val="21"/>
                <w:szCs w:val="21"/>
                <w:lang w:val="en-US" w:eastAsia="zh-CN" w:bidi="ar-SA"/>
              </w:rPr>
            </w:pPr>
          </w:p>
        </w:tc>
        <w:tc>
          <w:tcPr>
            <w:tcW w:w="960" w:type="dxa"/>
            <w:vAlign w:val="top"/>
          </w:tcPr>
          <w:p>
            <w:pPr>
              <w:spacing w:line="360" w:lineRule="auto"/>
              <w:rPr>
                <w:szCs w:val="21"/>
              </w:rPr>
            </w:pPr>
            <w:r>
              <w:rPr>
                <w:rFonts w:hint="eastAsia"/>
                <w:szCs w:val="21"/>
              </w:rPr>
              <w:t>Q9.1.1</w:t>
            </w:r>
          </w:p>
          <w:p>
            <w:pPr>
              <w:spacing w:line="360" w:lineRule="auto"/>
              <w:rPr>
                <w:rFonts w:hint="eastAsia" w:ascii="宋体" w:hAnsi="宋体" w:eastAsia="宋体" w:cs="宋体"/>
                <w:color w:val="000000"/>
                <w:kern w:val="0"/>
                <w:sz w:val="21"/>
                <w:szCs w:val="21"/>
                <w:lang w:val="en-US" w:eastAsia="zh-CN" w:bidi="ar-SA"/>
              </w:rPr>
            </w:pPr>
          </w:p>
        </w:tc>
        <w:tc>
          <w:tcPr>
            <w:tcW w:w="10004" w:type="dxa"/>
            <w:vAlign w:val="center"/>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lang w:eastAsia="zh-CN"/>
              </w:rPr>
              <w:t>办公室</w:t>
            </w: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w:t>
            </w:r>
            <w:r>
              <w:rPr>
                <w:rFonts w:hint="eastAsia" w:ascii="宋体" w:hAnsi="宋体" w:cs="宋体"/>
                <w:szCs w:val="21"/>
                <w:lang w:val="en-US" w:eastAsia="zh-CN"/>
              </w:rPr>
              <w:t>3</w:t>
            </w:r>
            <w:r>
              <w:rPr>
                <w:rFonts w:hint="eastAsia" w:ascii="宋体" w:hAnsi="宋体" w:cs="宋体"/>
                <w:szCs w:val="21"/>
              </w:rPr>
              <w:t>条款记录；通过目标考评，监测管理体系运行的有效性，提供了20</w:t>
            </w:r>
            <w:r>
              <w:rPr>
                <w:rFonts w:ascii="宋体" w:hAnsi="宋体" w:cs="宋体"/>
                <w:szCs w:val="21"/>
              </w:rPr>
              <w:t>2</w:t>
            </w:r>
            <w:r>
              <w:rPr>
                <w:rFonts w:hint="eastAsia" w:ascii="宋体" w:hAnsi="宋体" w:cs="宋体"/>
                <w:szCs w:val="21"/>
                <w:lang w:val="en-US" w:eastAsia="zh-CN"/>
              </w:rPr>
              <w:t>2</w:t>
            </w:r>
            <w:r>
              <w:rPr>
                <w:rFonts w:hint="eastAsia" w:ascii="宋体" w:hAnsi="宋体" w:cs="宋体"/>
                <w:szCs w:val="21"/>
              </w:rPr>
              <w:t>年度</w:t>
            </w:r>
            <w:r>
              <w:rPr>
                <w:rFonts w:hint="eastAsia" w:ascii="宋体" w:hAnsi="宋体" w:cs="宋体"/>
                <w:szCs w:val="21"/>
                <w:lang w:val="en-US" w:eastAsia="zh-CN"/>
              </w:rPr>
              <w:t>1、2季度</w:t>
            </w:r>
            <w:r>
              <w:rPr>
                <w:rFonts w:hint="eastAsia" w:ascii="宋体" w:hAnsi="宋体" w:cs="宋体"/>
                <w:szCs w:val="21"/>
              </w:rPr>
              <w:t>的目标完成情况，公司及各部门的管理目标均能完成。</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tcPr>
          <w:p>
            <w:pPr>
              <w:spacing w:line="360" w:lineRule="auto"/>
            </w:pPr>
            <w:r>
              <w:rPr>
                <w:rFonts w:hint="eastAsia"/>
              </w:rPr>
              <w:t>管理评审</w:t>
            </w:r>
          </w:p>
          <w:p>
            <w:pPr>
              <w:spacing w:line="360" w:lineRule="auto"/>
            </w:pPr>
          </w:p>
        </w:tc>
        <w:tc>
          <w:tcPr>
            <w:tcW w:w="960" w:type="dxa"/>
          </w:tcPr>
          <w:p>
            <w:pPr>
              <w:spacing w:line="360" w:lineRule="auto"/>
            </w:pPr>
            <w:r>
              <w:rPr>
                <w:rFonts w:hint="eastAsia"/>
              </w:rPr>
              <w:t>QE</w:t>
            </w:r>
            <w:r>
              <w:t>O</w:t>
            </w:r>
            <w:r>
              <w:rPr>
                <w:rFonts w:hint="eastAsia"/>
              </w:rPr>
              <w:t>9.3</w:t>
            </w:r>
          </w:p>
        </w:tc>
        <w:tc>
          <w:tcPr>
            <w:tcW w:w="10004" w:type="dxa"/>
            <w:vAlign w:val="center"/>
          </w:tcPr>
          <w:p>
            <w:pPr>
              <w:spacing w:line="360" w:lineRule="auto"/>
              <w:rPr>
                <w:rFonts w:hint="eastAsia"/>
                <w:sz w:val="21"/>
                <w:szCs w:val="21"/>
              </w:rPr>
            </w:pPr>
            <w:r>
              <w:rPr>
                <w:rFonts w:hint="eastAsia"/>
                <w:sz w:val="21"/>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spacing w:line="360" w:lineRule="auto"/>
              <w:rPr>
                <w:rFonts w:hint="eastAsia"/>
                <w:sz w:val="21"/>
                <w:szCs w:val="21"/>
              </w:rPr>
            </w:pPr>
            <w:r>
              <w:rPr>
                <w:rFonts w:hint="eastAsia"/>
                <w:sz w:val="21"/>
                <w:szCs w:val="21"/>
              </w:rPr>
              <w:t>查管理评审的计划：管理评审的时间：20</w:t>
            </w:r>
            <w:r>
              <w:rPr>
                <w:rFonts w:hint="eastAsia"/>
                <w:sz w:val="21"/>
                <w:szCs w:val="21"/>
                <w:lang w:val="en-US" w:eastAsia="zh-CN"/>
              </w:rPr>
              <w:t>22</w:t>
            </w:r>
            <w:r>
              <w:rPr>
                <w:rFonts w:hint="eastAsia"/>
                <w:sz w:val="21"/>
                <w:szCs w:val="21"/>
              </w:rPr>
              <w:t>年</w:t>
            </w:r>
            <w:r>
              <w:rPr>
                <w:rFonts w:hint="eastAsia"/>
                <w:sz w:val="21"/>
                <w:szCs w:val="21"/>
                <w:lang w:val="en-US" w:eastAsia="zh-CN"/>
              </w:rPr>
              <w:t>4</w:t>
            </w:r>
            <w:r>
              <w:rPr>
                <w:rFonts w:hint="eastAsia"/>
                <w:sz w:val="21"/>
                <w:szCs w:val="21"/>
              </w:rPr>
              <w:t>月</w:t>
            </w:r>
            <w:r>
              <w:rPr>
                <w:rFonts w:hint="eastAsia"/>
                <w:sz w:val="21"/>
                <w:szCs w:val="21"/>
                <w:lang w:val="en-US" w:eastAsia="zh-CN"/>
              </w:rPr>
              <w:t>24</w:t>
            </w:r>
            <w:r>
              <w:rPr>
                <w:rFonts w:hint="eastAsia"/>
                <w:sz w:val="21"/>
                <w:szCs w:val="21"/>
              </w:rPr>
              <w:t>日</w:t>
            </w:r>
          </w:p>
          <w:p>
            <w:pPr>
              <w:spacing w:line="360" w:lineRule="auto"/>
              <w:rPr>
                <w:rFonts w:hint="eastAsia"/>
                <w:sz w:val="21"/>
                <w:szCs w:val="21"/>
              </w:rPr>
            </w:pPr>
            <w:r>
              <w:rPr>
                <w:rFonts w:hint="eastAsia"/>
                <w:sz w:val="21"/>
                <w:szCs w:val="21"/>
              </w:rPr>
              <w:t xml:space="preserve">主持人：总经理    参加人：领导层、各部门负责人 </w:t>
            </w:r>
          </w:p>
          <w:p>
            <w:pPr>
              <w:spacing w:line="360" w:lineRule="auto"/>
              <w:rPr>
                <w:rFonts w:hint="eastAsia"/>
                <w:sz w:val="21"/>
                <w:szCs w:val="21"/>
              </w:rPr>
            </w:pPr>
            <w:r>
              <w:rPr>
                <w:rFonts w:hint="eastAsia"/>
                <w:sz w:val="21"/>
                <w:szCs w:val="21"/>
              </w:rPr>
              <w:t>要求每个部门需提交的管理评审输入内容包含了标准条款的要求。时间安排符合程序文件的要求。</w:t>
            </w:r>
          </w:p>
          <w:p>
            <w:pPr>
              <w:spacing w:line="360" w:lineRule="auto"/>
              <w:rPr>
                <w:rFonts w:hint="default" w:eastAsia="黑体"/>
                <w:sz w:val="21"/>
                <w:szCs w:val="21"/>
                <w:lang w:val="en-US" w:eastAsia="zh-CN"/>
              </w:rPr>
            </w:pPr>
            <w:r>
              <w:rPr>
                <w:rFonts w:hint="eastAsia"/>
                <w:sz w:val="21"/>
                <w:szCs w:val="21"/>
              </w:rPr>
              <w:t>编制：</w:t>
            </w:r>
            <w:r>
              <w:rPr>
                <w:rFonts w:hint="eastAsia"/>
                <w:sz w:val="21"/>
                <w:szCs w:val="21"/>
                <w:lang w:eastAsia="zh-CN"/>
              </w:rPr>
              <w:t>方晓静</w:t>
            </w:r>
            <w:r>
              <w:rPr>
                <w:rFonts w:hint="eastAsia"/>
                <w:sz w:val="21"/>
                <w:szCs w:val="21"/>
              </w:rPr>
              <w:t xml:space="preserve">      批准：</w:t>
            </w:r>
            <w:r>
              <w:rPr>
                <w:rFonts w:hint="eastAsia"/>
                <w:sz w:val="21"/>
                <w:szCs w:val="21"/>
                <w:lang w:eastAsia="zh-CN"/>
              </w:rPr>
              <w:t>赵新时</w:t>
            </w:r>
            <w:r>
              <w:rPr>
                <w:rFonts w:hint="eastAsia"/>
                <w:sz w:val="21"/>
                <w:szCs w:val="21"/>
              </w:rPr>
              <w:t xml:space="preserve"> </w:t>
            </w:r>
          </w:p>
          <w:p>
            <w:pPr>
              <w:spacing w:line="360" w:lineRule="auto"/>
              <w:rPr>
                <w:rFonts w:hint="eastAsia"/>
                <w:sz w:val="21"/>
                <w:szCs w:val="21"/>
              </w:rPr>
            </w:pPr>
            <w:r>
              <w:rPr>
                <w:rFonts w:hint="eastAsia"/>
                <w:sz w:val="21"/>
                <w:szCs w:val="21"/>
              </w:rPr>
              <w:t>查看管理评审输入的资料：</w:t>
            </w:r>
          </w:p>
          <w:p>
            <w:pPr>
              <w:spacing w:line="360" w:lineRule="auto"/>
              <w:rPr>
                <w:rFonts w:hint="eastAsia"/>
                <w:sz w:val="21"/>
                <w:szCs w:val="21"/>
              </w:rPr>
            </w:pPr>
            <w:r>
              <w:rPr>
                <w:rFonts w:hint="eastAsia"/>
                <w:sz w:val="21"/>
                <w:szCs w:val="21"/>
              </w:rPr>
              <w:t>a.内审、以往审核结果以及合规性评价的结果；</w:t>
            </w:r>
          </w:p>
          <w:p>
            <w:pPr>
              <w:spacing w:line="360" w:lineRule="auto"/>
              <w:rPr>
                <w:rFonts w:hint="eastAsia"/>
                <w:sz w:val="21"/>
                <w:szCs w:val="21"/>
              </w:rPr>
            </w:pPr>
            <w:r>
              <w:rPr>
                <w:rFonts w:hint="eastAsia"/>
                <w:sz w:val="21"/>
                <w:szCs w:val="21"/>
              </w:rPr>
              <w:t>b.顾客投诉的处理，顾客的满意度测量结果及反馈的重要信息，以及来自外部其他相关方的信息，包括相关方的抱怨。</w:t>
            </w:r>
          </w:p>
          <w:p>
            <w:pPr>
              <w:spacing w:line="360" w:lineRule="auto"/>
              <w:rPr>
                <w:rFonts w:hint="eastAsia"/>
                <w:sz w:val="21"/>
                <w:szCs w:val="21"/>
              </w:rPr>
            </w:pPr>
            <w:r>
              <w:rPr>
                <w:rFonts w:hint="eastAsia"/>
                <w:sz w:val="21"/>
                <w:szCs w:val="21"/>
              </w:rPr>
              <w:t>c.重大质量、环境、安全事故的处理，过程及产品质量趋势；</w:t>
            </w:r>
          </w:p>
          <w:p>
            <w:pPr>
              <w:spacing w:line="360" w:lineRule="auto"/>
              <w:rPr>
                <w:rFonts w:hint="eastAsia"/>
                <w:sz w:val="21"/>
                <w:szCs w:val="21"/>
              </w:rPr>
            </w:pPr>
            <w:r>
              <w:rPr>
                <w:rFonts w:hint="eastAsia"/>
                <w:sz w:val="21"/>
                <w:szCs w:val="21"/>
              </w:rPr>
              <w:t>d.管理体系运行状况，包括管理方针和目标以及实现程度。</w:t>
            </w:r>
          </w:p>
          <w:p>
            <w:pPr>
              <w:spacing w:line="360" w:lineRule="auto"/>
              <w:rPr>
                <w:rFonts w:hint="eastAsia"/>
                <w:sz w:val="21"/>
                <w:szCs w:val="21"/>
              </w:rPr>
            </w:pPr>
            <w:r>
              <w:rPr>
                <w:rFonts w:hint="eastAsia"/>
                <w:sz w:val="21"/>
                <w:szCs w:val="21"/>
              </w:rPr>
              <w:t>e.环境职业健康方便管理体系运行绩效。</w:t>
            </w:r>
          </w:p>
          <w:p>
            <w:pPr>
              <w:spacing w:line="360" w:lineRule="auto"/>
              <w:rPr>
                <w:rFonts w:hint="eastAsia"/>
                <w:sz w:val="21"/>
                <w:szCs w:val="21"/>
              </w:rPr>
            </w:pPr>
            <w:r>
              <w:rPr>
                <w:rFonts w:hint="eastAsia"/>
                <w:sz w:val="21"/>
                <w:szCs w:val="21"/>
              </w:rPr>
              <w:t>f.纠正预防和改进措施的实施情况。</w:t>
            </w:r>
          </w:p>
          <w:p>
            <w:pPr>
              <w:spacing w:line="360" w:lineRule="auto"/>
              <w:rPr>
                <w:rFonts w:hint="eastAsia"/>
                <w:sz w:val="21"/>
                <w:szCs w:val="21"/>
              </w:rPr>
            </w:pPr>
            <w:r>
              <w:rPr>
                <w:rFonts w:hint="eastAsia"/>
                <w:sz w:val="21"/>
                <w:szCs w:val="21"/>
              </w:rPr>
              <w:t>g.可能影响管理体系的变更（如公司的组织结构、产品结构、资源发生的重大改变和调整；相关的法律法规、标准及其他要求发生的变更。）</w:t>
            </w:r>
          </w:p>
          <w:p>
            <w:pPr>
              <w:spacing w:line="360" w:lineRule="auto"/>
              <w:rPr>
                <w:rFonts w:hint="eastAsia"/>
                <w:sz w:val="21"/>
                <w:szCs w:val="21"/>
              </w:rPr>
            </w:pPr>
            <w:r>
              <w:rPr>
                <w:rFonts w:hint="eastAsia"/>
                <w:sz w:val="21"/>
                <w:szCs w:val="21"/>
              </w:rPr>
              <w:t>h.员工的合理化改进建议。输入内容基本符合标准要求。</w:t>
            </w:r>
          </w:p>
          <w:p>
            <w:pPr>
              <w:spacing w:line="360" w:lineRule="auto"/>
              <w:rPr>
                <w:rFonts w:hint="eastAsia"/>
                <w:sz w:val="21"/>
                <w:szCs w:val="21"/>
              </w:rPr>
            </w:pPr>
            <w:r>
              <w:rPr>
                <w:rFonts w:hint="eastAsia"/>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spacing w:line="360" w:lineRule="auto"/>
              <w:rPr>
                <w:rFonts w:hint="default" w:eastAsia="黑体"/>
                <w:color w:val="0000FF"/>
                <w:sz w:val="21"/>
                <w:szCs w:val="21"/>
                <w:lang w:val="en-US" w:eastAsia="zh-CN"/>
              </w:rPr>
            </w:pPr>
            <w:r>
              <w:rPr>
                <w:rFonts w:hint="eastAsia"/>
                <w:color w:val="auto"/>
                <w:sz w:val="21"/>
                <w:szCs w:val="21"/>
                <w:lang w:val="en-US" w:eastAsia="zh-CN"/>
              </w:rPr>
              <w:t>对上一年度内审、管评及外审提出问题的整改情况进行了验证，未发现类似问题，采取的纠正措施有效。</w:t>
            </w:r>
          </w:p>
          <w:p>
            <w:pPr>
              <w:spacing w:line="360" w:lineRule="auto"/>
              <w:rPr>
                <w:rFonts w:hint="default" w:eastAsia="宋体"/>
                <w:sz w:val="21"/>
                <w:szCs w:val="21"/>
                <w:lang w:val="en-US" w:eastAsia="zh-CN"/>
              </w:rPr>
            </w:pPr>
            <w:r>
              <w:rPr>
                <w:rFonts w:hint="eastAsia"/>
                <w:sz w:val="21"/>
                <w:szCs w:val="21"/>
              </w:rPr>
              <w:t>查看管理评审报告，批准：</w:t>
            </w:r>
            <w:r>
              <w:rPr>
                <w:rFonts w:hint="eastAsia"/>
                <w:sz w:val="21"/>
                <w:szCs w:val="21"/>
                <w:lang w:eastAsia="zh-CN"/>
              </w:rPr>
              <w:t>赵新时</w:t>
            </w:r>
            <w:r>
              <w:rPr>
                <w:rFonts w:hint="eastAsia"/>
                <w:sz w:val="21"/>
                <w:szCs w:val="21"/>
              </w:rPr>
              <w:t xml:space="preserve"> 20</w:t>
            </w:r>
            <w:r>
              <w:rPr>
                <w:rFonts w:hint="eastAsia"/>
                <w:sz w:val="21"/>
                <w:szCs w:val="21"/>
                <w:lang w:val="en-US" w:eastAsia="zh-CN"/>
              </w:rPr>
              <w:t>22</w:t>
            </w:r>
            <w:r>
              <w:rPr>
                <w:rFonts w:hint="eastAsia"/>
                <w:sz w:val="21"/>
                <w:szCs w:val="21"/>
              </w:rPr>
              <w:t>.</w:t>
            </w:r>
            <w:r>
              <w:rPr>
                <w:rFonts w:hint="eastAsia"/>
                <w:sz w:val="21"/>
                <w:szCs w:val="21"/>
                <w:lang w:val="en-US" w:eastAsia="zh-CN"/>
              </w:rPr>
              <w:t>4</w:t>
            </w:r>
            <w:r>
              <w:rPr>
                <w:rFonts w:hint="eastAsia"/>
                <w:sz w:val="21"/>
                <w:szCs w:val="21"/>
              </w:rPr>
              <w:t>.</w:t>
            </w:r>
            <w:r>
              <w:rPr>
                <w:rFonts w:hint="eastAsia"/>
                <w:sz w:val="21"/>
                <w:szCs w:val="21"/>
                <w:lang w:val="en-US" w:eastAsia="zh-CN"/>
              </w:rPr>
              <w:t>24</w:t>
            </w:r>
          </w:p>
          <w:p>
            <w:pPr>
              <w:spacing w:line="360" w:lineRule="auto"/>
              <w:rPr>
                <w:rFonts w:hint="eastAsia" w:ascii="Times New Roman" w:hAnsi="Times New Roman" w:cs="Times New Roman"/>
                <w:sz w:val="21"/>
                <w:szCs w:val="21"/>
              </w:rPr>
            </w:pPr>
            <w:r>
              <w:rPr>
                <w:rFonts w:hint="eastAsia"/>
                <w:sz w:val="21"/>
                <w:szCs w:val="21"/>
              </w:rPr>
              <w:t>结论：公司管理体系符合标准要求，具有较好的充分性、适宜性和有效性，能较好的适应实现管理方针和管理目标的需要。</w:t>
            </w:r>
          </w:p>
          <w:p>
            <w:pPr>
              <w:spacing w:line="360" w:lineRule="auto"/>
              <w:rPr>
                <w:rFonts w:hint="eastAsia" w:ascii="Times New Roman" w:hAnsi="Times New Roman" w:cs="Times New Roman"/>
                <w:sz w:val="21"/>
                <w:szCs w:val="21"/>
              </w:rPr>
            </w:pPr>
            <w:r>
              <w:rPr>
                <w:rFonts w:hint="eastAsia" w:ascii="Times New Roman" w:hAnsi="Times New Roman" w:cs="Times New Roman"/>
                <w:sz w:val="21"/>
                <w:szCs w:val="21"/>
              </w:rPr>
              <w:t>持续改进：</w:t>
            </w:r>
          </w:p>
          <w:p>
            <w:pPr>
              <w:spacing w:line="360" w:lineRule="auto"/>
              <w:rPr>
                <w:rFonts w:ascii="宋体" w:hAnsi="宋体" w:cs="宋体"/>
                <w:szCs w:val="21"/>
              </w:rPr>
            </w:pPr>
            <w:r>
              <w:rPr>
                <w:rFonts w:hint="eastAsia" w:ascii="Times New Roman" w:hAnsi="Times New Roman" w:cs="Times New Roman"/>
                <w:sz w:val="21"/>
                <w:szCs w:val="21"/>
              </w:rPr>
              <w:t>1、加强对体系文件的学习，</w:t>
            </w:r>
            <w:r>
              <w:rPr>
                <w:rFonts w:hint="eastAsia" w:cs="Times New Roman"/>
                <w:sz w:val="21"/>
                <w:szCs w:val="21"/>
                <w:lang w:val="en-US" w:eastAsia="zh-CN"/>
              </w:rPr>
              <w:t>重大学习管理手册和程序文件</w:t>
            </w:r>
            <w:r>
              <w:rPr>
                <w:rFonts w:hint="eastAsia" w:ascii="Times New Roman" w:hAnsi="Times New Roman" w:cs="Times New Roman"/>
                <w:sz w:val="21"/>
                <w:szCs w:val="21"/>
              </w:rPr>
              <w:t>。</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u w:val="none"/>
              </w:rPr>
            </w:pPr>
            <w:r>
              <w:rPr>
                <w:rFonts w:hint="eastAsia"/>
                <w:u w:val="none"/>
              </w:rPr>
              <w:t>总则</w:t>
            </w:r>
          </w:p>
        </w:tc>
        <w:tc>
          <w:tcPr>
            <w:tcW w:w="960" w:type="dxa"/>
          </w:tcPr>
          <w:p>
            <w:pPr>
              <w:spacing w:line="360" w:lineRule="auto"/>
              <w:rPr>
                <w:u w:val="none"/>
              </w:rPr>
            </w:pPr>
            <w:r>
              <w:rPr>
                <w:rFonts w:hint="eastAsia"/>
                <w:u w:val="none"/>
              </w:rPr>
              <w:t>QE</w:t>
            </w:r>
            <w:r>
              <w:rPr>
                <w:u w:val="none"/>
              </w:rPr>
              <w:t>O</w:t>
            </w:r>
            <w:r>
              <w:rPr>
                <w:rFonts w:hint="eastAsia"/>
                <w:u w:val="none"/>
              </w:rPr>
              <w:t xml:space="preserve"> 10.1</w:t>
            </w:r>
          </w:p>
        </w:tc>
        <w:tc>
          <w:tcPr>
            <w:tcW w:w="10004" w:type="dxa"/>
          </w:tcPr>
          <w:p>
            <w:pPr>
              <w:spacing w:line="360" w:lineRule="auto"/>
              <w:ind w:firstLine="420" w:firstLineChars="200"/>
              <w:rPr>
                <w:rFonts w:ascii="宋体" w:hAnsi="宋体" w:cs="宋体"/>
                <w:szCs w:val="21"/>
                <w:u w:val="none"/>
              </w:rPr>
            </w:pPr>
            <w:r>
              <w:rPr>
                <w:rFonts w:hint="eastAsia" w:ascii="宋体" w:hAnsi="宋体" w:cs="宋体"/>
                <w:szCs w:val="21"/>
                <w:u w:val="none"/>
                <w:lang w:eastAsia="zh-CN"/>
              </w:rPr>
              <w:t>办公室</w:t>
            </w:r>
            <w:r>
              <w:rPr>
                <w:rFonts w:hint="eastAsia" w:ascii="宋体" w:hAnsi="宋体" w:cs="宋体"/>
                <w:szCs w:val="21"/>
                <w:u w:val="none"/>
              </w:rPr>
              <w:t xml:space="preserve">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60" w:lineRule="auto"/>
              <w:rPr>
                <w:rFonts w:ascii="宋体" w:hAnsi="宋体" w:cs="宋体"/>
                <w:szCs w:val="21"/>
                <w:u w:val="none"/>
              </w:rPr>
            </w:pPr>
            <w:r>
              <w:rPr>
                <w:rFonts w:hint="eastAsia" w:ascii="宋体" w:hAnsi="宋体" w:cs="宋体"/>
                <w:szCs w:val="21"/>
                <w:u w:val="none"/>
              </w:rPr>
              <w:t xml:space="preserve"> ——具体事实可见审核10.2条款记录。</w:t>
            </w:r>
          </w:p>
        </w:tc>
        <w:tc>
          <w:tcPr>
            <w:tcW w:w="1585" w:type="dxa"/>
          </w:tcPr>
          <w:p>
            <w:pPr>
              <w:spacing w:line="360" w:lineRule="auto"/>
              <w:rPr>
                <w:u w:val="none"/>
              </w:rPr>
            </w:pPr>
            <w:r>
              <w:rPr>
                <w:rFonts w:hint="eastAsia"/>
                <w:u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持续改进</w:t>
            </w:r>
          </w:p>
        </w:tc>
        <w:tc>
          <w:tcPr>
            <w:tcW w:w="960" w:type="dxa"/>
          </w:tcPr>
          <w:p>
            <w:pPr>
              <w:spacing w:line="360" w:lineRule="auto"/>
            </w:pPr>
            <w:r>
              <w:rPr>
                <w:rFonts w:hint="eastAsia"/>
              </w:rPr>
              <w:t>QE</w:t>
            </w:r>
            <w:r>
              <w:t>O</w:t>
            </w:r>
            <w:r>
              <w:rPr>
                <w:rFonts w:hint="eastAsia"/>
              </w:rPr>
              <w:t xml:space="preserve"> 10.3</w:t>
            </w: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    在《管理手册》中明确“持续改进”的要求，并编制《改进管理程序》。</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据体系负责人介绍：总经理负责识别组织变更、风险变更并作改进，检验部及各部门配合负责数据分析，并利用分析结果改进管理体系。</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满足环境和职业健康安全法律法规，提升环境和职业健康安全绩效等方面。</w:t>
            </w:r>
          </w:p>
          <w:p>
            <w:pPr>
              <w:autoSpaceDE w:val="0"/>
              <w:autoSpaceDN w:val="0"/>
              <w:adjustRightIn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在持续改进方面，制定了《不合格控制程序》、《纠正措施控制程序》、《</w:t>
            </w:r>
            <w:r>
              <w:rPr>
                <w:rFonts w:hint="eastAsia" w:ascii="宋体" w:hAnsi="宋体" w:cs="宋体"/>
                <w:szCs w:val="21"/>
                <w:lang w:val="en-US" w:eastAsia="zh-CN"/>
              </w:rPr>
              <w:t>风险和机遇的应对措施</w:t>
            </w:r>
            <w:r>
              <w:rPr>
                <w:rFonts w:hint="eastAsia" w:ascii="宋体" w:hAnsi="宋体" w:cs="宋体"/>
                <w:szCs w:val="21"/>
              </w:rPr>
              <w:t>控制程序》等相关文件化信息要求</w:t>
            </w:r>
            <w:r>
              <w:rPr>
                <w:rFonts w:hint="eastAsia" w:ascii="宋体" w:hAnsi="宋体" w:cs="宋体"/>
                <w:szCs w:val="21"/>
                <w:lang w:val="en-US" w:eastAsia="zh-CN"/>
              </w:rPr>
              <w:t>.</w:t>
            </w:r>
          </w:p>
          <w:p>
            <w:pPr>
              <w:spacing w:line="360" w:lineRule="auto"/>
              <w:rPr>
                <w:rFonts w:ascii="宋体" w:hAnsi="宋体" w:cs="宋体"/>
                <w:szCs w:val="21"/>
              </w:rPr>
            </w:pPr>
            <w:r>
              <w:rPr>
                <w:rFonts w:hint="eastAsia" w:ascii="宋体" w:hAnsi="宋体" w:cs="宋体"/>
                <w:szCs w:val="21"/>
              </w:rPr>
              <w:t>并考虑了分析、评价结果，确定是否存在应关注的持续改进的需求和机遇，公司利用管理方针、目标、内审和外审、数据分析、纠正和预防措施以及管理评审，识别任何改进的机会，持续改进管理体系的适宜性、充分性和有效性。详见相关条款审核记录。</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仿宋_GB2312" w:hAnsi="仿宋" w:eastAsia="仿宋_GB2312" w:cs="宋体"/>
                <w:sz w:val="24"/>
                <w:szCs w:val="24"/>
              </w:rPr>
            </w:pPr>
            <w:r>
              <w:rPr>
                <w:rFonts w:hint="eastAsia"/>
                <w:color w:val="000000"/>
                <w:szCs w:val="21"/>
              </w:rPr>
              <w:t>国家/地方监督抽查情况</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rPr>
                <w:rFonts w:ascii="宋体" w:hAnsi="宋体" w:cs="宋体"/>
                <w:szCs w:val="21"/>
              </w:rPr>
            </w:pPr>
            <w:r>
              <w:rPr>
                <w:rFonts w:hint="eastAsia" w:ascii="宋体" w:hAnsi="宋体" w:cs="宋体"/>
                <w:szCs w:val="21"/>
              </w:rPr>
              <w:t>无监督抽查。</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rPr>
                <w:rFonts w:ascii="仿宋_GB2312" w:hAnsi="仿宋" w:eastAsia="仿宋_GB2312" w:cs="宋体"/>
                <w:sz w:val="24"/>
                <w:szCs w:val="24"/>
              </w:rPr>
            </w:pPr>
            <w:r>
              <w:rPr>
                <w:rFonts w:hint="eastAsia"/>
                <w:color w:val="000000"/>
                <w:szCs w:val="21"/>
              </w:rPr>
              <w:t>顾客满意、相关方投诉及处理情况</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rPr>
                <w:rFonts w:ascii="宋体" w:hAnsi="宋体" w:cs="宋体"/>
                <w:szCs w:val="21"/>
              </w:rPr>
            </w:pPr>
            <w:r>
              <w:rPr>
                <w:rFonts w:hint="eastAsia" w:ascii="宋体" w:hAnsi="宋体" w:cs="宋体"/>
                <w:szCs w:val="21"/>
              </w:rPr>
              <w:t>未收到顾客大投诉；电话顾客电话及时处理；</w:t>
            </w:r>
          </w:p>
          <w:p>
            <w:pPr>
              <w:spacing w:line="360" w:lineRule="auto"/>
              <w:rPr>
                <w:rFonts w:ascii="宋体" w:hAnsi="宋体" w:cs="宋体"/>
                <w:szCs w:val="21"/>
              </w:rPr>
            </w:pPr>
            <w:r>
              <w:rPr>
                <w:rFonts w:hint="eastAsia" w:ascii="宋体" w:hAnsi="宋体" w:cs="宋体"/>
                <w:szCs w:val="21"/>
              </w:rPr>
              <w:t>未有产品召回情况。</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rPr>
                <w:rFonts w:hint="default" w:eastAsia="宋体"/>
                <w:color w:val="000000"/>
                <w:szCs w:val="21"/>
                <w:lang w:val="en-US" w:eastAsia="zh-CN"/>
              </w:rPr>
            </w:pPr>
            <w:r>
              <w:rPr>
                <w:rFonts w:hint="eastAsia"/>
                <w:color w:val="000000"/>
                <w:szCs w:val="21"/>
                <w:lang w:val="en-US" w:eastAsia="zh-CN"/>
              </w:rPr>
              <w:t>收集环境安全方面手法证明情况</w:t>
            </w:r>
          </w:p>
        </w:tc>
        <w:tc>
          <w:tcPr>
            <w:tcW w:w="960" w:type="dxa"/>
          </w:tcPr>
          <w:p>
            <w:pPr>
              <w:spacing w:line="360" w:lineRule="auto"/>
              <w:rPr>
                <w:rFonts w:hint="eastAsia" w:ascii="宋体" w:hAnsi="宋体" w:cs="宋体"/>
                <w:szCs w:val="21"/>
              </w:rPr>
            </w:pPr>
          </w:p>
        </w:tc>
        <w:tc>
          <w:tcPr>
            <w:tcW w:w="10004" w:type="dxa"/>
          </w:tcPr>
          <w:p>
            <w:pPr>
              <w:keepNext w:val="0"/>
              <w:keepLines w:val="0"/>
              <w:widowControl/>
              <w:suppressLineNumbers w:val="0"/>
              <w:jc w:val="left"/>
              <w:rPr>
                <w:rFonts w:hint="eastAsia" w:ascii="Times New Roman" w:hAnsi="Times New Roman" w:cs="Times New Roman"/>
                <w:lang w:eastAsia="zh-CN"/>
              </w:rPr>
            </w:pPr>
            <w:r>
              <w:rPr>
                <w:rFonts w:hint="eastAsia"/>
              </w:rPr>
              <w:t>提供了</w:t>
            </w:r>
            <w:r>
              <w:rPr>
                <w:rFonts w:hint="eastAsia"/>
                <w:lang w:eastAsia="zh-CN"/>
              </w:rPr>
              <w:t>《建设项目</w:t>
            </w:r>
            <w:r>
              <w:rPr>
                <w:rFonts w:hint="eastAsia" w:ascii="Times New Roman" w:hAnsi="Times New Roman" w:cs="Times New Roman"/>
                <w:lang w:eastAsia="zh-CN"/>
              </w:rPr>
              <w:t>环境影响登记表》填报日期：2018-06-20，</w:t>
            </w:r>
            <w:r>
              <w:rPr>
                <w:rFonts w:hint="eastAsia" w:ascii="Times New Roman" w:hAnsi="Times New Roman" w:cs="Times New Roman"/>
                <w:lang w:val="en-US" w:eastAsia="zh-CN"/>
              </w:rPr>
              <w:t>备案项目：流量计制造，备案号：20186101000700000013</w:t>
            </w:r>
            <w:r>
              <w:rPr>
                <w:rFonts w:hint="eastAsia" w:ascii="Times New Roman" w:hAnsi="Times New Roman" w:cs="Times New Roman"/>
                <w:lang w:eastAsia="zh-CN"/>
              </w:rPr>
              <w:t>。</w:t>
            </w:r>
          </w:p>
          <w:p>
            <w:pPr>
              <w:pStyle w:val="11"/>
              <w:widowControl w:val="0"/>
              <w:numPr>
                <w:ilvl w:val="0"/>
                <w:numId w:val="0"/>
              </w:numPr>
              <w:spacing w:before="25" w:after="25"/>
              <w:jc w:val="both"/>
              <w:rPr>
                <w:rFonts w:hint="eastAsia" w:eastAsia="宋体"/>
                <w:lang w:eastAsia="zh-CN"/>
              </w:rPr>
            </w:pPr>
          </w:p>
          <w:p>
            <w:pPr>
              <w:pStyle w:val="11"/>
              <w:widowControl w:val="0"/>
              <w:numPr>
                <w:ilvl w:val="0"/>
                <w:numId w:val="0"/>
              </w:numPr>
              <w:spacing w:before="25" w:after="25"/>
              <w:jc w:val="both"/>
              <w:rPr>
                <w:rFonts w:hint="eastAsia"/>
              </w:rPr>
            </w:pPr>
          </w:p>
          <w:p>
            <w:pPr>
              <w:pStyle w:val="11"/>
              <w:widowControl w:val="0"/>
              <w:numPr>
                <w:ilvl w:val="0"/>
                <w:numId w:val="0"/>
              </w:numPr>
              <w:spacing w:before="25" w:after="25"/>
              <w:jc w:val="both"/>
              <w:rPr>
                <w:rFonts w:hint="eastAsia"/>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1987550</wp:posOffset>
                  </wp:positionH>
                  <wp:positionV relativeFrom="paragraph">
                    <wp:posOffset>52070</wp:posOffset>
                  </wp:positionV>
                  <wp:extent cx="1624965" cy="2299335"/>
                  <wp:effectExtent l="0" t="0" r="635" b="12065"/>
                  <wp:wrapNone/>
                  <wp:docPr id="3" name="图片 3" descr="e0e8b671174ad3ed07f505ba9f012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0e8b671174ad3ed07f505ba9f012ca"/>
                          <pic:cNvPicPr>
                            <a:picLocks noChangeAspect="1"/>
                          </pic:cNvPicPr>
                        </pic:nvPicPr>
                        <pic:blipFill>
                          <a:blip r:embed="rId6"/>
                          <a:stretch>
                            <a:fillRect/>
                          </a:stretch>
                        </pic:blipFill>
                        <pic:spPr>
                          <a:xfrm>
                            <a:off x="0" y="0"/>
                            <a:ext cx="1624965" cy="2299335"/>
                          </a:xfrm>
                          <a:prstGeom prst="rect">
                            <a:avLst/>
                          </a:prstGeom>
                        </pic:spPr>
                      </pic:pic>
                    </a:graphicData>
                  </a:graphic>
                </wp:anchor>
              </w:drawing>
            </w:r>
          </w:p>
          <w:p>
            <w:pPr>
              <w:pStyle w:val="11"/>
              <w:widowControl w:val="0"/>
              <w:numPr>
                <w:ilvl w:val="0"/>
                <w:numId w:val="0"/>
              </w:numPr>
              <w:spacing w:before="25" w:after="25"/>
              <w:jc w:val="both"/>
              <w:rPr>
                <w:rFonts w:hint="eastAsia"/>
              </w:rPr>
            </w:pPr>
          </w:p>
          <w:p>
            <w:pPr>
              <w:pStyle w:val="11"/>
              <w:widowControl w:val="0"/>
              <w:numPr>
                <w:ilvl w:val="0"/>
                <w:numId w:val="0"/>
              </w:numPr>
              <w:spacing w:before="25" w:after="25"/>
              <w:jc w:val="both"/>
              <w:rPr>
                <w:rFonts w:hint="eastAsia"/>
              </w:rPr>
            </w:pPr>
          </w:p>
          <w:p>
            <w:pPr>
              <w:pStyle w:val="11"/>
              <w:widowControl w:val="0"/>
              <w:numPr>
                <w:ilvl w:val="0"/>
                <w:numId w:val="0"/>
              </w:numPr>
              <w:spacing w:before="25" w:after="25"/>
              <w:jc w:val="both"/>
              <w:rPr>
                <w:rFonts w:hint="eastAsia"/>
              </w:rPr>
            </w:pPr>
          </w:p>
          <w:p>
            <w:pPr>
              <w:pStyle w:val="11"/>
              <w:widowControl w:val="0"/>
              <w:numPr>
                <w:ilvl w:val="0"/>
                <w:numId w:val="0"/>
              </w:numPr>
              <w:spacing w:before="25" w:after="25"/>
              <w:jc w:val="both"/>
              <w:rPr>
                <w:rFonts w:hint="eastAsia"/>
              </w:rPr>
            </w:pPr>
          </w:p>
          <w:p>
            <w:pPr>
              <w:pStyle w:val="11"/>
              <w:widowControl w:val="0"/>
              <w:numPr>
                <w:ilvl w:val="0"/>
                <w:numId w:val="0"/>
              </w:numPr>
              <w:spacing w:before="25" w:after="25"/>
              <w:jc w:val="both"/>
              <w:rPr>
                <w:rFonts w:hint="eastAsia"/>
              </w:rPr>
            </w:pPr>
          </w:p>
          <w:p>
            <w:pPr>
              <w:pStyle w:val="11"/>
              <w:widowControl w:val="0"/>
              <w:numPr>
                <w:ilvl w:val="0"/>
                <w:numId w:val="0"/>
              </w:numPr>
              <w:spacing w:before="25" w:after="25"/>
              <w:jc w:val="both"/>
              <w:rPr>
                <w:rFonts w:hint="eastAsia"/>
              </w:rPr>
            </w:pPr>
          </w:p>
          <w:p>
            <w:pPr>
              <w:pStyle w:val="11"/>
              <w:widowControl w:val="0"/>
              <w:numPr>
                <w:ilvl w:val="0"/>
                <w:numId w:val="0"/>
              </w:numPr>
              <w:spacing w:before="25" w:after="25"/>
              <w:jc w:val="both"/>
              <w:rPr>
                <w:rFonts w:hint="eastAsia"/>
              </w:rPr>
            </w:pPr>
          </w:p>
          <w:p>
            <w:pPr>
              <w:pStyle w:val="11"/>
              <w:widowControl w:val="0"/>
              <w:numPr>
                <w:ilvl w:val="0"/>
                <w:numId w:val="0"/>
              </w:numPr>
              <w:spacing w:before="25" w:after="25"/>
              <w:jc w:val="both"/>
              <w:rPr>
                <w:rFonts w:hint="eastAsia"/>
              </w:rPr>
            </w:pPr>
          </w:p>
          <w:p>
            <w:pPr>
              <w:pStyle w:val="11"/>
              <w:widowControl w:val="0"/>
              <w:numPr>
                <w:ilvl w:val="0"/>
                <w:numId w:val="0"/>
              </w:numPr>
              <w:spacing w:before="25" w:after="25"/>
              <w:jc w:val="both"/>
              <w:rPr>
                <w:rFonts w:hint="eastAsia"/>
              </w:rPr>
            </w:pPr>
          </w:p>
          <w:p>
            <w:pPr>
              <w:pStyle w:val="11"/>
              <w:widowControl w:val="0"/>
              <w:numPr>
                <w:ilvl w:val="0"/>
                <w:numId w:val="0"/>
              </w:numPr>
              <w:spacing w:before="25" w:after="25"/>
              <w:jc w:val="both"/>
              <w:rPr>
                <w:rFonts w:hint="eastAsia"/>
              </w:rPr>
            </w:pPr>
          </w:p>
          <w:p>
            <w:pPr>
              <w:pStyle w:val="11"/>
              <w:widowControl w:val="0"/>
              <w:numPr>
                <w:ilvl w:val="0"/>
                <w:numId w:val="0"/>
              </w:numPr>
              <w:spacing w:before="25" w:after="25"/>
              <w:jc w:val="both"/>
              <w:rPr>
                <w:rFonts w:hint="eastAsia"/>
                <w:lang w:val="en-US" w:eastAsia="zh-CN"/>
              </w:rPr>
            </w:pPr>
            <w:r>
              <w:rPr>
                <w:rFonts w:hint="eastAsia"/>
                <w:lang w:val="en-US" w:eastAsia="zh-CN"/>
              </w:rPr>
              <w:t>提供了由航空基地经济发展局出具的《陕西鑫联仪器仪表有限公司流量计生产项目》备案确认书：</w:t>
            </w:r>
          </w:p>
          <w:p>
            <w:pPr>
              <w:pStyle w:val="11"/>
              <w:widowControl w:val="0"/>
              <w:numPr>
                <w:ilvl w:val="0"/>
                <w:numId w:val="0"/>
              </w:numPr>
              <w:spacing w:before="25" w:after="25"/>
              <w:jc w:val="both"/>
              <w:rPr>
                <w:rFonts w:hint="eastAsia"/>
                <w:lang w:val="en-US" w:eastAsia="zh-CN"/>
              </w:rPr>
            </w:pPr>
            <w:r>
              <w:drawing>
                <wp:anchor distT="0" distB="0" distL="114300" distR="114300" simplePos="0" relativeHeight="251661312" behindDoc="0" locked="0" layoutInCell="1" allowOverlap="1">
                  <wp:simplePos x="0" y="0"/>
                  <wp:positionH relativeFrom="column">
                    <wp:posOffset>1695450</wp:posOffset>
                  </wp:positionH>
                  <wp:positionV relativeFrom="paragraph">
                    <wp:posOffset>3175</wp:posOffset>
                  </wp:positionV>
                  <wp:extent cx="2104390" cy="2653665"/>
                  <wp:effectExtent l="0" t="0" r="3810" b="63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2104390" cy="2653665"/>
                          </a:xfrm>
                          <a:prstGeom prst="rect">
                            <a:avLst/>
                          </a:prstGeom>
                          <a:noFill/>
                          <a:ln>
                            <a:noFill/>
                          </a:ln>
                        </pic:spPr>
                      </pic:pic>
                    </a:graphicData>
                  </a:graphic>
                </wp:anchor>
              </w:drawing>
            </w:r>
          </w:p>
          <w:p>
            <w:pPr>
              <w:pStyle w:val="11"/>
              <w:widowControl w:val="0"/>
              <w:numPr>
                <w:ilvl w:val="0"/>
                <w:numId w:val="0"/>
              </w:numPr>
              <w:spacing w:before="25" w:after="25"/>
              <w:jc w:val="both"/>
              <w:rPr>
                <w:rFonts w:hint="eastAsia"/>
                <w:lang w:val="en-US" w:eastAsia="zh-CN"/>
              </w:rPr>
            </w:pPr>
          </w:p>
          <w:p>
            <w:pPr>
              <w:pStyle w:val="11"/>
              <w:widowControl w:val="0"/>
              <w:numPr>
                <w:ilvl w:val="0"/>
                <w:numId w:val="0"/>
              </w:numPr>
              <w:spacing w:before="25" w:after="25"/>
              <w:jc w:val="both"/>
              <w:rPr>
                <w:rFonts w:hint="eastAsia"/>
                <w:lang w:val="en-US" w:eastAsia="zh-CN"/>
              </w:rPr>
            </w:pPr>
          </w:p>
          <w:p>
            <w:pPr>
              <w:pStyle w:val="11"/>
              <w:widowControl w:val="0"/>
              <w:numPr>
                <w:ilvl w:val="0"/>
                <w:numId w:val="0"/>
              </w:numPr>
              <w:spacing w:before="25" w:after="25"/>
              <w:jc w:val="both"/>
              <w:rPr>
                <w:rFonts w:hint="eastAsia"/>
                <w:lang w:val="en-US" w:eastAsia="zh-CN"/>
              </w:rPr>
            </w:pPr>
          </w:p>
          <w:p>
            <w:pPr>
              <w:pStyle w:val="11"/>
              <w:widowControl w:val="0"/>
              <w:numPr>
                <w:ilvl w:val="0"/>
                <w:numId w:val="0"/>
              </w:numPr>
              <w:spacing w:before="25" w:after="25"/>
              <w:jc w:val="both"/>
              <w:rPr>
                <w:rFonts w:hint="eastAsia"/>
                <w:lang w:val="en-US" w:eastAsia="zh-CN"/>
              </w:rPr>
            </w:pPr>
          </w:p>
          <w:p>
            <w:pPr>
              <w:pStyle w:val="11"/>
              <w:widowControl w:val="0"/>
              <w:numPr>
                <w:ilvl w:val="0"/>
                <w:numId w:val="0"/>
              </w:numPr>
              <w:spacing w:before="25" w:after="25"/>
              <w:jc w:val="both"/>
              <w:rPr>
                <w:rFonts w:hint="eastAsia"/>
                <w:lang w:val="en-US" w:eastAsia="zh-CN"/>
              </w:rPr>
            </w:pPr>
          </w:p>
          <w:p>
            <w:pPr>
              <w:pStyle w:val="11"/>
              <w:widowControl w:val="0"/>
              <w:numPr>
                <w:ilvl w:val="0"/>
                <w:numId w:val="0"/>
              </w:numPr>
              <w:spacing w:before="25" w:after="25"/>
              <w:jc w:val="both"/>
              <w:rPr>
                <w:rFonts w:hint="eastAsia"/>
                <w:lang w:val="en-US" w:eastAsia="zh-CN"/>
              </w:rPr>
            </w:pPr>
          </w:p>
          <w:p>
            <w:pPr>
              <w:pStyle w:val="11"/>
              <w:widowControl w:val="0"/>
              <w:numPr>
                <w:ilvl w:val="0"/>
                <w:numId w:val="0"/>
              </w:numPr>
              <w:spacing w:before="25" w:after="25"/>
              <w:jc w:val="both"/>
              <w:rPr>
                <w:rFonts w:hint="eastAsia"/>
                <w:lang w:val="en-US" w:eastAsia="zh-CN"/>
              </w:rPr>
            </w:pPr>
          </w:p>
          <w:p>
            <w:pPr>
              <w:pStyle w:val="11"/>
              <w:widowControl w:val="0"/>
              <w:numPr>
                <w:ilvl w:val="0"/>
                <w:numId w:val="0"/>
              </w:numPr>
              <w:spacing w:before="25" w:after="25"/>
              <w:jc w:val="both"/>
              <w:rPr>
                <w:rFonts w:hint="eastAsia"/>
                <w:lang w:val="en-US" w:eastAsia="zh-CN"/>
              </w:rPr>
            </w:pPr>
          </w:p>
          <w:p>
            <w:pPr>
              <w:pStyle w:val="11"/>
              <w:widowControl w:val="0"/>
              <w:numPr>
                <w:ilvl w:val="0"/>
                <w:numId w:val="0"/>
              </w:numPr>
              <w:spacing w:before="25" w:after="25"/>
              <w:jc w:val="both"/>
              <w:rPr>
                <w:rFonts w:hint="eastAsia"/>
                <w:lang w:val="en-US" w:eastAsia="zh-CN"/>
              </w:rPr>
            </w:pPr>
          </w:p>
          <w:p>
            <w:pPr>
              <w:pStyle w:val="11"/>
              <w:widowControl w:val="0"/>
              <w:numPr>
                <w:ilvl w:val="0"/>
                <w:numId w:val="0"/>
              </w:numPr>
              <w:spacing w:before="25" w:after="25"/>
              <w:jc w:val="both"/>
              <w:rPr>
                <w:rFonts w:hint="eastAsia"/>
                <w:lang w:val="en-US" w:eastAsia="zh-CN"/>
              </w:rPr>
            </w:pPr>
          </w:p>
          <w:p>
            <w:pPr>
              <w:pStyle w:val="11"/>
              <w:widowControl w:val="0"/>
              <w:numPr>
                <w:ilvl w:val="0"/>
                <w:numId w:val="0"/>
              </w:numPr>
              <w:spacing w:before="25" w:after="25"/>
              <w:jc w:val="both"/>
              <w:rPr>
                <w:rFonts w:hint="eastAsia"/>
                <w:lang w:val="en-US" w:eastAsia="zh-CN"/>
              </w:rPr>
            </w:pPr>
          </w:p>
          <w:p>
            <w:pPr>
              <w:pStyle w:val="11"/>
              <w:widowControl w:val="0"/>
              <w:numPr>
                <w:ilvl w:val="0"/>
                <w:numId w:val="0"/>
              </w:numPr>
              <w:spacing w:before="25" w:after="25"/>
              <w:jc w:val="both"/>
              <w:rPr>
                <w:rFonts w:hint="default"/>
                <w:lang w:val="en-US" w:eastAsia="zh-CN"/>
              </w:rPr>
            </w:pP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top"/>
          </w:tcPr>
          <w:p>
            <w:pPr>
              <w:rPr>
                <w:rFonts w:hint="eastAsia"/>
                <w:color w:val="000000"/>
                <w:szCs w:val="21"/>
                <w:lang w:val="en-US" w:eastAsia="zh-CN"/>
              </w:rPr>
            </w:pPr>
            <w:r>
              <w:rPr>
                <w:rFonts w:hint="eastAsia" w:ascii="宋体" w:hAnsi="宋体"/>
                <w:color w:val="000000" w:themeColor="text1"/>
                <w:szCs w:val="21"/>
                <w:lang w:val="en-US" w:eastAsia="zh-CN"/>
                <w14:textFill>
                  <w14:solidFill>
                    <w14:schemeClr w14:val="tx1"/>
                  </w14:solidFill>
                </w14:textFill>
              </w:rPr>
              <w:t>上次审核</w:t>
            </w:r>
            <w:r>
              <w:rPr>
                <w:rFonts w:hint="eastAsia" w:ascii="宋体" w:hAnsi="宋体"/>
                <w:color w:val="000000" w:themeColor="text1"/>
                <w:szCs w:val="21"/>
                <w14:textFill>
                  <w14:solidFill>
                    <w14:schemeClr w14:val="tx1"/>
                  </w14:solidFill>
                </w14:textFill>
              </w:rPr>
              <w:t>问题验证</w:t>
            </w:r>
          </w:p>
        </w:tc>
        <w:tc>
          <w:tcPr>
            <w:tcW w:w="960" w:type="dxa"/>
            <w:vAlign w:val="top"/>
          </w:tcPr>
          <w:p>
            <w:pPr>
              <w:rPr>
                <w:rFonts w:hint="eastAsia" w:ascii="宋体" w:hAnsi="宋体" w:cs="宋体"/>
                <w:szCs w:val="21"/>
              </w:rPr>
            </w:pPr>
          </w:p>
        </w:tc>
        <w:tc>
          <w:tcPr>
            <w:tcW w:w="10004" w:type="dxa"/>
            <w:vAlign w:val="top"/>
          </w:tcPr>
          <w:p>
            <w:pPr>
              <w:rPr>
                <w:rFonts w:hint="default"/>
                <w:lang w:val="en-US" w:eastAsia="zh-CN"/>
              </w:rPr>
            </w:pPr>
            <w:r>
              <w:rPr>
                <w:rFonts w:hint="eastAsia" w:ascii="宋体" w:hAnsi="宋体"/>
                <w:color w:val="000000" w:themeColor="text1"/>
                <w:szCs w:val="21"/>
                <w:lang w:val="en-US" w:eastAsia="zh-CN"/>
                <w14:textFill>
                  <w14:solidFill>
                    <w14:schemeClr w14:val="tx1"/>
                  </w14:solidFill>
                </w14:textFill>
              </w:rPr>
              <w:t>验证了上次审核发现的不符合，整改措施有效</w:t>
            </w:r>
            <w:r>
              <w:rPr>
                <w:rFonts w:hint="eastAsia" w:ascii="宋体" w:hAnsi="宋体"/>
                <w:color w:val="000000" w:themeColor="text1"/>
                <w:szCs w:val="21"/>
                <w14:textFill>
                  <w14:solidFill>
                    <w14:schemeClr w14:val="tx1"/>
                  </w14:solidFill>
                </w14:textFill>
              </w:rPr>
              <w:t>。</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top"/>
          </w:tcPr>
          <w:p>
            <w:pPr>
              <w:rPr>
                <w:rFonts w:hint="eastAsia"/>
                <w:color w:val="000000"/>
                <w:szCs w:val="21"/>
                <w:lang w:val="en-US" w:eastAsia="zh-CN"/>
              </w:rPr>
            </w:pPr>
            <w:r>
              <w:rPr>
                <w:rFonts w:hint="eastAsia" w:ascii="宋体" w:hAnsi="宋体"/>
                <w:color w:val="000000" w:themeColor="text1"/>
                <w:szCs w:val="21"/>
                <w:lang w:val="en-US" w:eastAsia="zh-CN"/>
                <w14:textFill>
                  <w14:solidFill>
                    <w14:schemeClr w14:val="tx1"/>
                  </w14:solidFill>
                </w14:textFill>
              </w:rPr>
              <w:t>证书标识使用情况</w:t>
            </w:r>
          </w:p>
        </w:tc>
        <w:tc>
          <w:tcPr>
            <w:tcW w:w="960" w:type="dxa"/>
            <w:vAlign w:val="top"/>
          </w:tcPr>
          <w:p>
            <w:pPr>
              <w:rPr>
                <w:rFonts w:hint="eastAsia" w:ascii="宋体" w:hAnsi="宋体" w:cs="宋体"/>
                <w:szCs w:val="21"/>
              </w:rPr>
            </w:pPr>
          </w:p>
        </w:tc>
        <w:tc>
          <w:tcPr>
            <w:tcW w:w="10004" w:type="dxa"/>
            <w:vAlign w:val="top"/>
          </w:tcPr>
          <w:p>
            <w:pPr>
              <w:rPr>
                <w:rFonts w:hint="default"/>
                <w:lang w:val="en-US" w:eastAsia="zh-CN"/>
              </w:rPr>
            </w:pPr>
            <w:r>
              <w:rPr>
                <w:rFonts w:hint="eastAsia" w:ascii="宋体" w:hAnsi="宋体"/>
                <w:color w:val="000000" w:themeColor="text1"/>
                <w:szCs w:val="21"/>
                <w:lang w:val="en-US" w:eastAsia="zh-CN"/>
                <w14:textFill>
                  <w14:solidFill>
                    <w14:schemeClr w14:val="tx1"/>
                  </w14:solidFill>
                </w14:textFill>
              </w:rPr>
              <w:t>与管理者代表沟通，企业上年度未在产品中使用标志，在投标文件中正确使用了质量管理体系证书，能够符合要求。</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709" w:type="dxa"/>
            <w:gridSpan w:val="4"/>
          </w:tcPr>
          <w:p>
            <w:pPr>
              <w:spacing w:line="360" w:lineRule="auto"/>
            </w:pPr>
            <w:r>
              <w:rPr>
                <w:rFonts w:hint="eastAsia"/>
                <w:lang w:val="en-US" w:eastAsia="zh-CN"/>
              </w:rPr>
              <w:t>备注：</w:t>
            </w:r>
          </w:p>
        </w:tc>
      </w:tr>
    </w:tbl>
    <w:p>
      <w:r>
        <w:ptab w:relativeTo="margin" w:alignment="center" w:leader="none"/>
      </w:r>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bookmarkStart w:id="0" w:name="_GoBack"/>
    <w:bookmarkEnd w:id="0"/>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path/>
              <v:fill focussize="0,0"/>
              <v:stroke on="f" joinstyle="miter"/>
              <v:imagedata o:title=""/>
              <o:lock v:ext="edit"/>
              <v:textbox>
                <w:txbxContent>
                  <w:p>
                    <w:pPr>
                      <w:rPr>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B2E80"/>
    <w:multiLevelType w:val="multilevel"/>
    <w:tmpl w:val="226B2E80"/>
    <w:lvl w:ilvl="0" w:tentative="0">
      <w:start w:val="1"/>
      <w:numFmt w:val="decimal"/>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hMzVmMjRhOTI3NTFjNmRlYmM5YzA2NWZhNjBiZTEifQ=="/>
  </w:docVars>
  <w:rsids>
    <w:rsidRoot w:val="00DD4B80"/>
    <w:rsid w:val="0001713F"/>
    <w:rsid w:val="000B7900"/>
    <w:rsid w:val="000F7902"/>
    <w:rsid w:val="0011067E"/>
    <w:rsid w:val="00127F7B"/>
    <w:rsid w:val="001532AC"/>
    <w:rsid w:val="001809F6"/>
    <w:rsid w:val="00181EB1"/>
    <w:rsid w:val="00183A7A"/>
    <w:rsid w:val="001A69D6"/>
    <w:rsid w:val="002033D2"/>
    <w:rsid w:val="002139C8"/>
    <w:rsid w:val="0022273D"/>
    <w:rsid w:val="00275B91"/>
    <w:rsid w:val="003010DA"/>
    <w:rsid w:val="00357FBC"/>
    <w:rsid w:val="00393A52"/>
    <w:rsid w:val="003B7004"/>
    <w:rsid w:val="004078AB"/>
    <w:rsid w:val="00477697"/>
    <w:rsid w:val="00480008"/>
    <w:rsid w:val="00480286"/>
    <w:rsid w:val="004B16A6"/>
    <w:rsid w:val="00586AC9"/>
    <w:rsid w:val="00593385"/>
    <w:rsid w:val="005B321D"/>
    <w:rsid w:val="005F00FB"/>
    <w:rsid w:val="00621EDF"/>
    <w:rsid w:val="0069333A"/>
    <w:rsid w:val="006D6AFE"/>
    <w:rsid w:val="007A04D1"/>
    <w:rsid w:val="007C65D6"/>
    <w:rsid w:val="00883226"/>
    <w:rsid w:val="008C7B11"/>
    <w:rsid w:val="009221D5"/>
    <w:rsid w:val="00951F9E"/>
    <w:rsid w:val="00954EA8"/>
    <w:rsid w:val="009C3AF7"/>
    <w:rsid w:val="00A07938"/>
    <w:rsid w:val="00A42243"/>
    <w:rsid w:val="00AB02D4"/>
    <w:rsid w:val="00B0299C"/>
    <w:rsid w:val="00B36031"/>
    <w:rsid w:val="00B67994"/>
    <w:rsid w:val="00BB6546"/>
    <w:rsid w:val="00CD400A"/>
    <w:rsid w:val="00CD6BA8"/>
    <w:rsid w:val="00D564AF"/>
    <w:rsid w:val="00D56FEB"/>
    <w:rsid w:val="00D774A9"/>
    <w:rsid w:val="00DD4B80"/>
    <w:rsid w:val="00E61681"/>
    <w:rsid w:val="00E77027"/>
    <w:rsid w:val="00EF3EBB"/>
    <w:rsid w:val="00F52349"/>
    <w:rsid w:val="00F804BA"/>
    <w:rsid w:val="01F0202D"/>
    <w:rsid w:val="03EC1C74"/>
    <w:rsid w:val="04F747EF"/>
    <w:rsid w:val="053E259F"/>
    <w:rsid w:val="059B5795"/>
    <w:rsid w:val="07713FF2"/>
    <w:rsid w:val="07F72633"/>
    <w:rsid w:val="0859445B"/>
    <w:rsid w:val="087E2C00"/>
    <w:rsid w:val="08C203BA"/>
    <w:rsid w:val="0C1079E4"/>
    <w:rsid w:val="0D490622"/>
    <w:rsid w:val="0E523E2A"/>
    <w:rsid w:val="0FCC2040"/>
    <w:rsid w:val="10363DE7"/>
    <w:rsid w:val="10670D7E"/>
    <w:rsid w:val="10B22BD6"/>
    <w:rsid w:val="10CE258C"/>
    <w:rsid w:val="1167590B"/>
    <w:rsid w:val="11A61089"/>
    <w:rsid w:val="141005E1"/>
    <w:rsid w:val="15112004"/>
    <w:rsid w:val="151804A0"/>
    <w:rsid w:val="18817E6B"/>
    <w:rsid w:val="195309DA"/>
    <w:rsid w:val="19E75211"/>
    <w:rsid w:val="1B5C56DB"/>
    <w:rsid w:val="1B7E266E"/>
    <w:rsid w:val="1BAE34D2"/>
    <w:rsid w:val="1BC6441B"/>
    <w:rsid w:val="1C193BF6"/>
    <w:rsid w:val="1DBD23EF"/>
    <w:rsid w:val="1FB82F87"/>
    <w:rsid w:val="20937C42"/>
    <w:rsid w:val="213C2ECE"/>
    <w:rsid w:val="221D572D"/>
    <w:rsid w:val="224F26A8"/>
    <w:rsid w:val="24062BA4"/>
    <w:rsid w:val="25F835C8"/>
    <w:rsid w:val="29D97EC1"/>
    <w:rsid w:val="2A6E6D8C"/>
    <w:rsid w:val="2B300FF0"/>
    <w:rsid w:val="2BB575CF"/>
    <w:rsid w:val="2BB8135F"/>
    <w:rsid w:val="2CBC054B"/>
    <w:rsid w:val="2D303E88"/>
    <w:rsid w:val="2E3F655A"/>
    <w:rsid w:val="2E781A2F"/>
    <w:rsid w:val="30AC7027"/>
    <w:rsid w:val="315F6EF0"/>
    <w:rsid w:val="32030C6C"/>
    <w:rsid w:val="33F75813"/>
    <w:rsid w:val="3527240B"/>
    <w:rsid w:val="36F17B6F"/>
    <w:rsid w:val="38CF6328"/>
    <w:rsid w:val="3BAC6214"/>
    <w:rsid w:val="3C316B3A"/>
    <w:rsid w:val="3D3F5FF7"/>
    <w:rsid w:val="3D824DC7"/>
    <w:rsid w:val="3F6B79DA"/>
    <w:rsid w:val="3FB020F6"/>
    <w:rsid w:val="40A160DE"/>
    <w:rsid w:val="42016B6E"/>
    <w:rsid w:val="42BA5012"/>
    <w:rsid w:val="43377CB2"/>
    <w:rsid w:val="441873E9"/>
    <w:rsid w:val="46E82D65"/>
    <w:rsid w:val="49673219"/>
    <w:rsid w:val="49E66732"/>
    <w:rsid w:val="4AA14C14"/>
    <w:rsid w:val="4ABB602B"/>
    <w:rsid w:val="4C931D3C"/>
    <w:rsid w:val="4E233F5C"/>
    <w:rsid w:val="4EA33DA7"/>
    <w:rsid w:val="4EAC2CD2"/>
    <w:rsid w:val="4EF214B3"/>
    <w:rsid w:val="504B11EE"/>
    <w:rsid w:val="51F21ABD"/>
    <w:rsid w:val="53750661"/>
    <w:rsid w:val="53FD34C2"/>
    <w:rsid w:val="568F49F9"/>
    <w:rsid w:val="58363165"/>
    <w:rsid w:val="59111666"/>
    <w:rsid w:val="59845134"/>
    <w:rsid w:val="59FA6B63"/>
    <w:rsid w:val="5A3A4A51"/>
    <w:rsid w:val="5D2E70B9"/>
    <w:rsid w:val="5FC82583"/>
    <w:rsid w:val="608B376B"/>
    <w:rsid w:val="60F3236F"/>
    <w:rsid w:val="610D7A9C"/>
    <w:rsid w:val="611A103E"/>
    <w:rsid w:val="62AC3D93"/>
    <w:rsid w:val="62B52881"/>
    <w:rsid w:val="62F85F23"/>
    <w:rsid w:val="63FA332B"/>
    <w:rsid w:val="640B53B1"/>
    <w:rsid w:val="674B5D66"/>
    <w:rsid w:val="69614E77"/>
    <w:rsid w:val="69C872C7"/>
    <w:rsid w:val="6C277CFE"/>
    <w:rsid w:val="71BB2FB2"/>
    <w:rsid w:val="71CD5108"/>
    <w:rsid w:val="7278090F"/>
    <w:rsid w:val="72F32962"/>
    <w:rsid w:val="73A56221"/>
    <w:rsid w:val="73BC2DBF"/>
    <w:rsid w:val="74813B6F"/>
    <w:rsid w:val="755A2C69"/>
    <w:rsid w:val="7757359D"/>
    <w:rsid w:val="77C7559D"/>
    <w:rsid w:val="7B944382"/>
    <w:rsid w:val="7BC70EBF"/>
    <w:rsid w:val="7C3B3927"/>
    <w:rsid w:val="7F782663"/>
    <w:rsid w:val="7F7D0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rPr>
      <w:sz w:val="28"/>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ind w:firstLine="420" w:firstLineChars="200"/>
    </w:pPr>
    <w:rPr>
      <w:rFonts w:ascii="Calibri" w:hAnsi="Calibri"/>
      <w:sz w:val="24"/>
      <w:szCs w:val="22"/>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8">
    <w:name w:val="List Paragraph"/>
    <w:basedOn w:val="1"/>
    <w:qFormat/>
    <w:uiPriority w:val="99"/>
    <w:pPr>
      <w:ind w:firstLine="420" w:firstLineChars="200"/>
    </w:pPr>
  </w:style>
  <w:style w:type="paragraph" w:customStyle="1" w:styleId="19">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8239</Words>
  <Characters>8658</Characters>
  <Lines>66</Lines>
  <Paragraphs>18</Paragraphs>
  <TotalTime>0</TotalTime>
  <ScaleCrop>false</ScaleCrop>
  <LinksUpToDate>false</LinksUpToDate>
  <CharactersWithSpaces>8749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郭力</cp:lastModifiedBy>
  <dcterms:modified xsi:type="dcterms:W3CDTF">2022-06-15T07:45:48Z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25EB94ADE5914B298F641CF9E40C04CC</vt:lpwstr>
  </property>
</Properties>
</file>