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98"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rFonts w:hint="eastAsia" w:eastAsia="宋体"/>
                <w:sz w:val="21"/>
                <w:szCs w:val="21"/>
                <w:lang w:eastAsia="zh-CN"/>
              </w:rPr>
            </w:pPr>
            <w:r>
              <w:rPr>
                <w:rFonts w:hint="eastAsia"/>
                <w:sz w:val="24"/>
                <w:szCs w:val="24"/>
              </w:rPr>
              <w:t>受审核部门：</w:t>
            </w:r>
            <w:r>
              <w:rPr>
                <w:rFonts w:hint="eastAsia"/>
                <w:sz w:val="24"/>
                <w:szCs w:val="24"/>
                <w:lang w:val="en-US" w:eastAsia="zh-CN"/>
              </w:rPr>
              <w:t>办公室/财务部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eastAsia="zh-CN"/>
              </w:rPr>
              <w:t>杨秧秧</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eastAsia="zh-CN"/>
              </w:rPr>
              <w:t>冯勇</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122" w:type="dxa"/>
            <w:vMerge w:val="continue"/>
            <w:vAlign w:val="center"/>
          </w:tcPr>
          <w:p>
            <w:pPr>
              <w:spacing w:line="360" w:lineRule="auto"/>
            </w:pPr>
          </w:p>
        </w:tc>
        <w:tc>
          <w:tcPr>
            <w:tcW w:w="998" w:type="dxa"/>
            <w:vMerge w:val="continue"/>
            <w:vAlign w:val="center"/>
          </w:tcPr>
          <w:p>
            <w:pPr>
              <w:spacing w:line="360" w:lineRule="auto"/>
            </w:pPr>
          </w:p>
        </w:tc>
        <w:tc>
          <w:tcPr>
            <w:tcW w:w="10004" w:type="dxa"/>
            <w:vAlign w:val="center"/>
          </w:tcPr>
          <w:p>
            <w:pPr>
              <w:spacing w:before="120" w:line="360" w:lineRule="auto"/>
              <w:rPr>
                <w:rFonts w:hint="default" w:eastAsia="宋体"/>
                <w:sz w:val="21"/>
                <w:szCs w:val="21"/>
                <w:lang w:val="en-US" w:eastAsia="zh-CN"/>
              </w:rPr>
            </w:pPr>
            <w:r>
              <w:rPr>
                <w:rFonts w:hint="eastAsia"/>
                <w:sz w:val="24"/>
                <w:szCs w:val="24"/>
              </w:rPr>
              <w:t>审核员：</w:t>
            </w:r>
            <w:r>
              <w:rPr>
                <w:rFonts w:hint="eastAsia"/>
                <w:sz w:val="24"/>
                <w:szCs w:val="24"/>
                <w:lang w:val="en-US" w:eastAsia="zh-CN"/>
              </w:rPr>
              <w:t xml:space="preserve">李俐        </w:t>
            </w:r>
            <w:r>
              <w:rPr>
                <w:rFonts w:hint="eastAsia"/>
                <w:sz w:val="24"/>
                <w:szCs w:val="24"/>
              </w:rPr>
              <w:t>审核时间：202</w:t>
            </w:r>
            <w:r>
              <w:rPr>
                <w:rFonts w:hint="eastAsia"/>
                <w:sz w:val="24"/>
                <w:szCs w:val="24"/>
                <w:lang w:val="en-US" w:eastAsia="zh-CN"/>
              </w:rPr>
              <w:t>2</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31</w:t>
            </w:r>
            <w:r>
              <w:rPr>
                <w:rFonts w:hint="eastAsia"/>
                <w:sz w:val="24"/>
                <w:szCs w:val="24"/>
              </w:rPr>
              <w:t>日</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pPr>
              <w:spacing w:line="360" w:lineRule="auto"/>
            </w:pPr>
          </w:p>
        </w:tc>
        <w:tc>
          <w:tcPr>
            <w:tcW w:w="998" w:type="dxa"/>
            <w:vMerge w:val="continue"/>
            <w:vAlign w:val="center"/>
          </w:tcPr>
          <w:p>
            <w:pPr>
              <w:spacing w:line="360" w:lineRule="auto"/>
            </w:pPr>
          </w:p>
        </w:tc>
        <w:tc>
          <w:tcPr>
            <w:tcW w:w="10004" w:type="dxa"/>
            <w:vAlign w:val="center"/>
          </w:tcPr>
          <w:p>
            <w:pPr>
              <w:adjustRightInd w:val="0"/>
              <w:snapToGrid w:val="0"/>
              <w:spacing w:line="360" w:lineRule="auto"/>
              <w:ind w:right="105" w:rightChars="50"/>
              <w:textAlignment w:val="baseline"/>
              <w:rPr>
                <w:rFonts w:hint="default" w:ascii="宋体" w:hAnsi="宋体" w:cs="Arial"/>
                <w:color w:val="auto"/>
                <w:sz w:val="21"/>
                <w:szCs w:val="21"/>
                <w:lang w:val="en-US" w:eastAsia="zh-CN"/>
              </w:rPr>
            </w:pPr>
            <w:r>
              <w:rPr>
                <w:rFonts w:hint="eastAsia"/>
                <w:sz w:val="21"/>
                <w:szCs w:val="21"/>
              </w:rPr>
              <w:t>审核条款</w:t>
            </w:r>
            <w:r>
              <w:rPr>
                <w:rFonts w:hint="eastAsia" w:ascii="宋体" w:hAnsi="宋体" w:cs="Arial"/>
                <w:color w:val="auto"/>
                <w:sz w:val="21"/>
                <w:szCs w:val="21"/>
                <w:lang w:val="en-US" w:eastAsia="zh-CN"/>
              </w:rPr>
              <w:t>QEO:</w:t>
            </w:r>
            <w:r>
              <w:rPr>
                <w:rFonts w:hint="eastAsia" w:ascii="宋体" w:hAnsi="宋体" w:cs="Arial"/>
                <w:color w:val="auto"/>
                <w:sz w:val="21"/>
                <w:szCs w:val="21"/>
              </w:rPr>
              <w:t>5.3</w:t>
            </w:r>
            <w:r>
              <w:rPr>
                <w:rFonts w:hint="eastAsia" w:ascii="宋体" w:hAnsi="宋体" w:cs="Arial"/>
                <w:color w:val="auto"/>
                <w:sz w:val="21"/>
                <w:szCs w:val="21"/>
                <w:lang w:eastAsia="zh-CN"/>
              </w:rPr>
              <w:t>、</w:t>
            </w:r>
            <w:r>
              <w:rPr>
                <w:rFonts w:hint="eastAsia" w:ascii="宋体" w:hAnsi="宋体" w:cs="Arial"/>
                <w:color w:val="auto"/>
                <w:sz w:val="21"/>
                <w:szCs w:val="21"/>
                <w:lang w:val="en-US" w:eastAsia="zh-CN"/>
              </w:rPr>
              <w:t>6.1、6.2、9.1.1、9.2、10.2</w:t>
            </w:r>
          </w:p>
          <w:p>
            <w:pPr>
              <w:adjustRightInd w:val="0"/>
              <w:snapToGrid w:val="0"/>
              <w:spacing w:line="360" w:lineRule="auto"/>
              <w:ind w:right="105" w:rightChars="50"/>
              <w:textAlignment w:val="baseline"/>
              <w:rPr>
                <w:rFonts w:hint="eastAsia" w:asciiTheme="minorEastAsia" w:hAnsiTheme="minorEastAsia" w:eastAsiaTheme="minorEastAsia" w:cstheme="minorEastAsia"/>
                <w:b w:val="0"/>
                <w:bCs w:val="0"/>
                <w:color w:val="auto"/>
                <w:sz w:val="21"/>
                <w:szCs w:val="21"/>
                <w:lang w:val="en-US" w:eastAsia="zh-CN"/>
              </w:rPr>
            </w:pPr>
            <w:r>
              <w:rPr>
                <w:rFonts w:hint="eastAsia" w:ascii="宋体" w:hAnsi="宋体" w:cs="Arial"/>
                <w:color w:val="auto"/>
                <w:sz w:val="21"/>
                <w:szCs w:val="21"/>
                <w:lang w:val="en-US" w:eastAsia="zh-CN"/>
              </w:rPr>
              <w:t xml:space="preserve">          EO：</w:t>
            </w:r>
            <w:r>
              <w:rPr>
                <w:rFonts w:hint="eastAsia" w:asciiTheme="minorEastAsia" w:hAnsiTheme="minorEastAsia" w:eastAsiaTheme="minorEastAsia" w:cstheme="minorEastAsia"/>
                <w:b w:val="0"/>
                <w:bCs w:val="0"/>
                <w:color w:val="auto"/>
                <w:sz w:val="21"/>
                <w:szCs w:val="21"/>
                <w:lang w:val="en-US" w:eastAsia="zh-CN"/>
              </w:rPr>
              <w:t>6.1.2、8.1、8.2、9.1.1、9.1.2</w:t>
            </w:r>
          </w:p>
          <w:p>
            <w:pPr>
              <w:adjustRightInd w:val="0"/>
              <w:snapToGrid w:val="0"/>
              <w:spacing w:line="360" w:lineRule="auto"/>
              <w:ind w:right="105" w:rightChars="50"/>
              <w:textAlignment w:val="baseline"/>
              <w:rPr>
                <w:sz w:val="21"/>
                <w:szCs w:val="21"/>
              </w:rPr>
            </w:pPr>
            <w:r>
              <w:rPr>
                <w:rFonts w:hint="eastAsia" w:asciiTheme="minorEastAsia" w:hAnsiTheme="minorEastAsia" w:eastAsiaTheme="minorEastAsia" w:cstheme="minorEastAsia"/>
                <w:b w:val="0"/>
                <w:bCs w:val="0"/>
                <w:color w:val="auto"/>
                <w:sz w:val="21"/>
                <w:szCs w:val="21"/>
                <w:lang w:val="en-US" w:eastAsia="zh-CN"/>
              </w:rPr>
              <w:t xml:space="preserve">           O：6.1.3、6.1.4、6.2.1、6.2.2</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360" w:lineRule="auto"/>
              <w:rPr>
                <w:rFonts w:ascii="宋体" w:hAnsi="宋体" w:cs="宋体"/>
                <w:szCs w:val="21"/>
              </w:rPr>
            </w:pPr>
            <w:r>
              <w:rPr>
                <w:rFonts w:hint="eastAsia" w:ascii="宋体" w:hAnsi="宋体" w:cs="宋体"/>
                <w:szCs w:val="21"/>
              </w:rPr>
              <w:t>组织的岗位、职责和权限</w:t>
            </w:r>
          </w:p>
          <w:p>
            <w:pPr>
              <w:spacing w:line="360" w:lineRule="auto"/>
              <w:rPr>
                <w:rFonts w:ascii="宋体" w:hAnsi="宋体" w:cs="宋体"/>
                <w:szCs w:val="21"/>
              </w:rPr>
            </w:pPr>
          </w:p>
        </w:tc>
        <w:tc>
          <w:tcPr>
            <w:tcW w:w="998" w:type="dxa"/>
          </w:tcPr>
          <w:p>
            <w:pPr>
              <w:spacing w:line="360" w:lineRule="auto"/>
              <w:rPr>
                <w:rFonts w:ascii="宋体" w:hAnsi="宋体" w:cs="宋体"/>
                <w:szCs w:val="21"/>
              </w:rPr>
            </w:pPr>
            <w:r>
              <w:rPr>
                <w:rFonts w:ascii="宋体" w:cs="宋体"/>
                <w:szCs w:val="21"/>
              </w:rPr>
              <w:t>QE</w:t>
            </w:r>
            <w:r>
              <w:rPr>
                <w:szCs w:val="21"/>
              </w:rPr>
              <w:t>O</w:t>
            </w:r>
            <w:r>
              <w:rPr>
                <w:rFonts w:ascii="宋体" w:cs="宋体"/>
                <w:szCs w:val="21"/>
              </w:rPr>
              <w:t>5.3</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lang w:eastAsia="zh-CN"/>
              </w:rPr>
              <w:t>办公室</w:t>
            </w:r>
            <w:r>
              <w:rPr>
                <w:rFonts w:hint="eastAsia" w:ascii="宋体" w:hAnsi="宋体" w:cs="宋体"/>
                <w:szCs w:val="21"/>
              </w:rPr>
              <w:t>按照公司领导要求，做好公司职能和岗位的具体确定，对从事</w:t>
            </w:r>
            <w:r>
              <w:rPr>
                <w:rFonts w:hint="eastAsia" w:ascii="宋体" w:hAnsi="宋体" w:cs="宋体"/>
                <w:szCs w:val="21"/>
                <w:lang w:eastAsia="zh-CN"/>
              </w:rPr>
              <w:t>螺旋（双）转子流量计、普通电磁流量计、楔形流量计、三转子流量计、指示型转子流量计、螺旋单转子流量计、智能控制注水仪、金属刮板流量计、旋进漩涡气体流量计、质量流量计的生产及销售</w:t>
            </w:r>
            <w:r>
              <w:rPr>
                <w:rFonts w:hint="eastAsia" w:ascii="宋体" w:hAnsi="宋体" w:cs="宋体"/>
                <w:szCs w:val="21"/>
              </w:rPr>
              <w:t>有关的管理、执行和验证人员规定其职责、权限及其相互关系，以实现公司管理方针和管理目标。</w:t>
            </w:r>
          </w:p>
          <w:p>
            <w:pPr>
              <w:spacing w:line="360" w:lineRule="auto"/>
              <w:ind w:firstLine="420" w:firstLineChars="200"/>
              <w:rPr>
                <w:rFonts w:ascii="宋体" w:hAnsi="宋体" w:cs="宋体"/>
                <w:szCs w:val="21"/>
              </w:rPr>
            </w:pPr>
            <w:r>
              <w:rPr>
                <w:rFonts w:hint="eastAsia" w:ascii="宋体" w:hAnsi="宋体" w:cs="宋体"/>
                <w:szCs w:val="21"/>
                <w:lang w:eastAsia="zh-CN"/>
              </w:rPr>
              <w:t>办公室</w:t>
            </w:r>
            <w:r>
              <w:rPr>
                <w:rFonts w:hint="eastAsia" w:ascii="宋体" w:hAnsi="宋体" w:cs="宋体"/>
                <w:szCs w:val="21"/>
              </w:rPr>
              <w:t>负责人：</w:t>
            </w:r>
            <w:r>
              <w:rPr>
                <w:rFonts w:hint="eastAsia" w:ascii="宋体" w:hAnsi="宋体" w:cs="宋体"/>
                <w:szCs w:val="21"/>
                <w:lang w:eastAsia="zh-CN"/>
              </w:rPr>
              <w:t>杨秧秧</w:t>
            </w:r>
            <w:r>
              <w:rPr>
                <w:rFonts w:hint="eastAsia" w:ascii="宋体" w:hAnsi="宋体" w:cs="宋体"/>
                <w:szCs w:val="21"/>
              </w:rPr>
              <w:t>。在手册中确定了</w:t>
            </w:r>
            <w:r>
              <w:rPr>
                <w:rFonts w:hint="eastAsia" w:ascii="宋体" w:hAnsi="宋体" w:cs="宋体"/>
                <w:szCs w:val="21"/>
                <w:lang w:eastAsia="zh-CN"/>
              </w:rPr>
              <w:t>办公室</w:t>
            </w:r>
            <w:r>
              <w:rPr>
                <w:rFonts w:hint="eastAsia" w:ascii="宋体" w:hAnsi="宋体" w:cs="宋体"/>
                <w:szCs w:val="21"/>
              </w:rPr>
              <w:t>的职能，人员职责、权限和相互关系。</w:t>
            </w:r>
          </w:p>
          <w:p>
            <w:pPr>
              <w:spacing w:line="360" w:lineRule="auto"/>
              <w:ind w:firstLine="420" w:firstLineChars="200"/>
              <w:rPr>
                <w:rFonts w:ascii="宋体" w:hAnsi="宋体" w:cs="宋体"/>
                <w:szCs w:val="21"/>
              </w:rPr>
            </w:pPr>
            <w:r>
              <w:rPr>
                <w:rFonts w:hint="eastAsia" w:ascii="宋体" w:hAnsi="宋体" w:cs="宋体"/>
                <w:szCs w:val="21"/>
              </w:rPr>
              <w:t>询问</w:t>
            </w:r>
            <w:r>
              <w:rPr>
                <w:rFonts w:hint="eastAsia" w:ascii="宋体" w:hAnsi="宋体" w:cs="宋体"/>
                <w:szCs w:val="21"/>
                <w:lang w:eastAsia="zh-CN"/>
              </w:rPr>
              <w:t>办公室</w:t>
            </w:r>
            <w:r>
              <w:rPr>
                <w:rFonts w:hint="eastAsia" w:ascii="宋体" w:hAnsi="宋体" w:cs="宋体"/>
                <w:szCs w:val="21"/>
              </w:rPr>
              <w:t>人员，基本清楚本部门职责。</w:t>
            </w:r>
          </w:p>
          <w:p>
            <w:pPr>
              <w:spacing w:line="360" w:lineRule="auto"/>
              <w:ind w:firstLine="420" w:firstLineChars="200"/>
              <w:rPr>
                <w:rFonts w:ascii="宋体" w:hAnsi="宋体" w:cs="宋体"/>
                <w:szCs w:val="21"/>
              </w:rPr>
            </w:pPr>
            <w:r>
              <w:rPr>
                <w:rFonts w:hint="eastAsia" w:ascii="宋体" w:hAnsi="宋体" w:cs="宋体"/>
                <w:szCs w:val="21"/>
              </w:rPr>
              <w:t>现有上述管理人员配置满足要求，配有与工作相关的电脑、打/复印机、传真机等设施。</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spacing w:line="360" w:lineRule="auto"/>
            </w:pPr>
            <w:r>
              <w:rPr>
                <w:rFonts w:hint="eastAsia"/>
              </w:rPr>
              <w:t>应对风险和机遇的措施</w:t>
            </w:r>
          </w:p>
          <w:p>
            <w:pPr>
              <w:spacing w:line="360" w:lineRule="auto"/>
              <w:rPr>
                <w:rFonts w:ascii="Times New Roman" w:hAnsi="Times New Roman" w:eastAsia="宋体" w:cs="Times New Roman"/>
                <w:kern w:val="2"/>
                <w:sz w:val="21"/>
                <w:lang w:val="en-US" w:eastAsia="zh-CN" w:bidi="ar-SA"/>
              </w:rPr>
            </w:pPr>
          </w:p>
        </w:tc>
        <w:tc>
          <w:tcPr>
            <w:tcW w:w="998" w:type="dxa"/>
            <w:vAlign w:val="top"/>
          </w:tcPr>
          <w:p>
            <w:pPr>
              <w:spacing w:line="360" w:lineRule="auto"/>
            </w:pPr>
            <w:r>
              <w:rPr>
                <w:rFonts w:hint="eastAsia"/>
              </w:rPr>
              <w:t>Q6.1</w:t>
            </w:r>
          </w:p>
          <w:p>
            <w:pPr>
              <w:spacing w:line="360" w:lineRule="auto"/>
            </w:pPr>
            <w:r>
              <w:t>E6.1.1</w:t>
            </w:r>
          </w:p>
          <w:p>
            <w:pPr>
              <w:spacing w:line="360" w:lineRule="auto"/>
            </w:pPr>
            <w:r>
              <w:t>O6.1.1</w:t>
            </w:r>
          </w:p>
          <w:p>
            <w:pPr>
              <w:spacing w:line="360" w:lineRule="auto"/>
              <w:rPr>
                <w:rFonts w:ascii="Times New Roman" w:hAnsi="Times New Roman" w:eastAsia="宋体" w:cs="Times New Roman"/>
                <w:kern w:val="2"/>
                <w:sz w:val="21"/>
                <w:lang w:val="en-US" w:eastAsia="zh-CN" w:bidi="ar-SA"/>
              </w:rPr>
            </w:pP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1.质量风险与机遇：直接产品质量风险与机遇、间接产品质量风险与机遇。</w:t>
            </w:r>
          </w:p>
          <w:p>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环境风险与机遇：主要有自然、人文、政治、经济以及其他。</w:t>
            </w:r>
          </w:p>
          <w:p>
            <w:pPr>
              <w:spacing w:line="360" w:lineRule="auto"/>
              <w:ind w:firstLine="420" w:firstLineChars="200"/>
              <w:rPr>
                <w:rFonts w:ascii="宋体" w:hAnsi="宋体" w:cs="宋体"/>
                <w:szCs w:val="21"/>
              </w:rPr>
            </w:pPr>
            <w:r>
              <w:rPr>
                <w:rFonts w:hint="eastAsia" w:ascii="宋体" w:hAnsi="宋体" w:cs="宋体"/>
                <w:szCs w:val="21"/>
              </w:rPr>
              <w:t>3.经营风险与机遇：主要有员工、设备、供销链、技术、管理、产品、法律、专利及产权。</w:t>
            </w:r>
          </w:p>
          <w:p>
            <w:pPr>
              <w:spacing w:line="360" w:lineRule="auto"/>
              <w:ind w:firstLine="420" w:firstLineChars="200"/>
              <w:rPr>
                <w:rFonts w:ascii="宋体" w:hAnsi="宋体" w:cs="宋体"/>
                <w:szCs w:val="21"/>
              </w:rPr>
            </w:pPr>
            <w:r>
              <w:rPr>
                <w:rFonts w:hint="eastAsia" w:ascii="宋体" w:hAnsi="宋体" w:cs="宋体"/>
                <w:szCs w:val="21"/>
              </w:rPr>
              <w:t>4.市场风险与机遇：包括市场容量、竞争力、价格、促销。</w:t>
            </w:r>
          </w:p>
          <w:p>
            <w:pPr>
              <w:spacing w:line="360" w:lineRule="auto"/>
              <w:ind w:firstLine="420" w:firstLineChars="200"/>
              <w:rPr>
                <w:rFonts w:ascii="宋体" w:hAnsi="宋体" w:cs="宋体"/>
                <w:szCs w:val="21"/>
              </w:rPr>
            </w:pPr>
            <w:r>
              <w:rPr>
                <w:rFonts w:hint="eastAsia" w:ascii="宋体" w:hAnsi="宋体" w:cs="宋体"/>
                <w:szCs w:val="21"/>
              </w:rPr>
              <w:t>5.财务风险与机遇：有融资/筹资、资金偿还、资金使用、资金回收、效益分配。</w:t>
            </w:r>
          </w:p>
          <w:p>
            <w:pPr>
              <w:spacing w:line="360" w:lineRule="auto"/>
              <w:ind w:firstLine="420" w:firstLineChars="200"/>
              <w:rPr>
                <w:rFonts w:hint="eastAsia" w:ascii="宋体" w:hAnsi="宋体" w:eastAsia="宋体" w:cs="宋体"/>
                <w:kern w:val="2"/>
                <w:sz w:val="21"/>
                <w:szCs w:val="21"/>
                <w:lang w:val="en-US" w:eastAsia="zh-CN" w:bidi="ar-SA"/>
              </w:rPr>
            </w:pPr>
            <w:r>
              <w:rPr>
                <w:rFonts w:ascii="宋体" w:hAnsi="宋体" w:cs="宋体"/>
                <w:szCs w:val="21"/>
              </w:rPr>
              <w:t>6</w:t>
            </w:r>
            <w:r>
              <w:rPr>
                <w:rFonts w:hint="eastAsia" w:ascii="宋体" w:hAnsi="宋体" w:cs="宋体"/>
                <w:szCs w:val="21"/>
              </w:rPr>
              <w:t>.在策划管理体系时考虑了风险和机遇以及相应的应对措施，制定了《风险和机遇分析、评价和应对措施的确定程序》，明确风险和机遇事件的识别方法/途径、风险和机遇事件的评估方式，制定了《企业风险和机遇应对策划表》识别主要风险和机遇事件、应对措施的要求、评价措施有效性等。在管理体系所确定的过程（生产</w:t>
            </w:r>
            <w:r>
              <w:rPr>
                <w:rFonts w:hint="eastAsia" w:ascii="宋体" w:hAnsi="宋体" w:cs="宋体"/>
                <w:szCs w:val="21"/>
                <w:lang w:val="en-US" w:eastAsia="zh-CN"/>
              </w:rPr>
              <w:t>服务</w:t>
            </w:r>
            <w:r>
              <w:rPr>
                <w:rFonts w:hint="eastAsia" w:ascii="宋体" w:hAnsi="宋体" w:cs="宋体"/>
                <w:szCs w:val="21"/>
              </w:rPr>
              <w:t>、供应商的要求等）中，整合制定针对性管理措施（如程序控制等）。提供了“企业风险和机遇应当策划表”，已认真对市场与经营环境风险、重大投资决策失误、采购质量分析、运营规划不当等，主要措施参加行业会议收集行业政策，分析市场环境；每年度公司对生产规模、投资决策企业发展方向根据实际情况召开中层会议讨论作出决策；新购设备，设备技改等，要求项目部相关人员制定方案，采取多方比较，综合考虑；应对措施效果待观察。</w:t>
            </w:r>
          </w:p>
        </w:tc>
        <w:tc>
          <w:tcPr>
            <w:tcW w:w="1585" w:type="dxa"/>
            <w:vAlign w:val="top"/>
          </w:tcPr>
          <w:p>
            <w:pPr>
              <w:spacing w:line="360" w:lineRule="auto"/>
              <w:rPr>
                <w:rFonts w:hint="eastAsia"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spacing w:line="360" w:lineRule="auto"/>
              <w:rPr>
                <w:rFonts w:ascii="Times New Roman" w:hAnsi="Times New Roman" w:eastAsia="宋体" w:cs="Times New Roman"/>
                <w:kern w:val="2"/>
                <w:sz w:val="21"/>
                <w:lang w:val="en-US" w:eastAsia="zh-CN" w:bidi="ar-SA"/>
              </w:rPr>
            </w:pPr>
            <w:r>
              <w:rPr>
                <w:rFonts w:hint="eastAsia" w:asciiTheme="minorEastAsia" w:hAnsiTheme="minorEastAsia" w:eastAsiaTheme="minorEastAsia" w:cstheme="minorEastAsia"/>
                <w:sz w:val="21"/>
                <w:szCs w:val="21"/>
                <w:highlight w:val="none"/>
                <w:lang w:val="en-US" w:eastAsia="zh-CN"/>
              </w:rPr>
              <w:t>危险源辨识、风险评估及控制措施</w:t>
            </w:r>
          </w:p>
        </w:tc>
        <w:tc>
          <w:tcPr>
            <w:tcW w:w="998" w:type="dxa"/>
            <w:vAlign w:val="top"/>
          </w:tcPr>
          <w:p>
            <w:pPr>
              <w:spacing w:line="360" w:lineRule="auto"/>
              <w:rPr>
                <w:rFonts w:ascii="Times New Roman" w:hAnsi="Times New Roman" w:eastAsia="宋体" w:cs="Times New Roman"/>
                <w:kern w:val="2"/>
                <w:sz w:val="21"/>
                <w:lang w:val="en-US" w:eastAsia="zh-CN" w:bidi="ar-SA"/>
              </w:rPr>
            </w:pPr>
            <w:r>
              <w:rPr>
                <w:rFonts w:hint="eastAsia" w:asciiTheme="minorEastAsia" w:hAnsiTheme="minorEastAsia" w:eastAsiaTheme="minorEastAsia" w:cstheme="minorEastAsia"/>
                <w:sz w:val="21"/>
                <w:szCs w:val="21"/>
                <w:highlight w:val="none"/>
                <w:lang w:val="en-US" w:eastAsia="zh-CN"/>
              </w:rPr>
              <w:t>EO:6.1.2/6.1.4</w:t>
            </w:r>
          </w:p>
        </w:tc>
        <w:tc>
          <w:tcPr>
            <w:tcW w:w="10004" w:type="dxa"/>
            <w:vAlign w:val="center"/>
          </w:tcPr>
          <w:p>
            <w:pPr>
              <w:spacing w:line="360" w:lineRule="auto"/>
              <w:rPr>
                <w:rFonts w:hint="eastAsia"/>
                <w:sz w:val="21"/>
                <w:szCs w:val="21"/>
              </w:rPr>
            </w:pPr>
            <w:r>
              <w:rPr>
                <w:rFonts w:hint="eastAsia"/>
                <w:sz w:val="21"/>
                <w:szCs w:val="21"/>
              </w:rPr>
              <w:t>提供《环境因素识别排查表》，其中包括办公区、生产区等，包括固废排放、意外火灾、原材料损耗、废气排放、噪声排放等。</w:t>
            </w:r>
          </w:p>
          <w:p>
            <w:pPr>
              <w:spacing w:line="360" w:lineRule="auto"/>
              <w:rPr>
                <w:rFonts w:hint="eastAsia"/>
                <w:sz w:val="21"/>
                <w:szCs w:val="21"/>
              </w:rPr>
            </w:pPr>
            <w:r>
              <w:rPr>
                <w:rFonts w:hint="eastAsia"/>
                <w:sz w:val="21"/>
                <w:szCs w:val="21"/>
              </w:rPr>
              <w:t>可以提供《重要环境因素识别清单》，其中重要环境因素：资源能源消耗、固体废弃物排放、噪声排放、火灾的发生，评价准确。</w:t>
            </w:r>
          </w:p>
          <w:p>
            <w:pPr>
              <w:spacing w:line="360" w:lineRule="auto"/>
              <w:rPr>
                <w:rFonts w:hint="eastAsia"/>
                <w:sz w:val="21"/>
                <w:szCs w:val="21"/>
              </w:rPr>
            </w:pPr>
            <w:r>
              <w:rPr>
                <w:rFonts w:hint="eastAsia"/>
                <w:sz w:val="21"/>
                <w:szCs w:val="21"/>
              </w:rPr>
              <w:t>提供《危险源识别清单》，按照活动、区域进行了识别，其中包括：电脑、打印机、复印机产生的辐射；电源电器老化损坏、违章用电、地面油污水滑跌倒、障碍物挡路、爆炸、火灾、触电、机械伤害、物体打击、噪声伤害等，评价基本全面</w:t>
            </w:r>
          </w:p>
          <w:p>
            <w:pPr>
              <w:spacing w:line="360" w:lineRule="auto"/>
              <w:rPr>
                <w:rFonts w:ascii="宋体" w:hAnsi="宋体" w:cs="宋体"/>
                <w:szCs w:val="21"/>
              </w:rPr>
            </w:pPr>
            <w:r>
              <w:rPr>
                <w:rFonts w:hint="eastAsia"/>
                <w:sz w:val="21"/>
                <w:szCs w:val="21"/>
              </w:rPr>
              <w:t>提供《重大危险源及其控制清单》，其中重大危险源：火灾、触电、机械伤害、噪声伤害，评价准确。</w:t>
            </w:r>
          </w:p>
        </w:tc>
        <w:tc>
          <w:tcPr>
            <w:tcW w:w="1585" w:type="dxa"/>
            <w:vAlign w:val="top"/>
          </w:tcPr>
          <w:p>
            <w:pPr>
              <w:spacing w:line="360" w:lineRule="auto"/>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法律法规和其他要求和合规性评价</w:t>
            </w:r>
          </w:p>
        </w:tc>
        <w:tc>
          <w:tcPr>
            <w:tcW w:w="998" w:type="dxa"/>
            <w:vAlign w:val="top"/>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O</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6.1.3</w:t>
            </w:r>
          </w:p>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O</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9.1.2</w:t>
            </w:r>
          </w:p>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p>
        </w:tc>
        <w:tc>
          <w:tcPr>
            <w:tcW w:w="10004" w:type="dxa"/>
            <w:vAlign w:val="top"/>
          </w:tcPr>
          <w:p>
            <w:pPr>
              <w:spacing w:line="360" w:lineRule="auto"/>
              <w:rPr>
                <w:rFonts w:hint="eastAsia"/>
                <w:lang w:val="en-US" w:eastAsia="zh-CN"/>
              </w:rPr>
            </w:pPr>
            <w:r>
              <w:rPr>
                <w:rFonts w:hint="eastAsia"/>
              </w:rPr>
              <w:t>有</w:t>
            </w:r>
            <w:r>
              <w:rPr>
                <w:rFonts w:hint="eastAsia"/>
                <w:lang w:eastAsia="zh-CN"/>
              </w:rPr>
              <w:t>《</w:t>
            </w:r>
            <w:r>
              <w:rPr>
                <w:rFonts w:hint="eastAsia"/>
              </w:rPr>
              <w:t>法律法规及其他要求控制程序</w:t>
            </w:r>
            <w:r>
              <w:rPr>
                <w:rFonts w:hint="eastAsia"/>
                <w:lang w:eastAsia="zh-CN"/>
              </w:rPr>
              <w:t>》</w:t>
            </w:r>
            <w:r>
              <w:rPr>
                <w:rFonts w:hint="eastAsia"/>
              </w:rPr>
              <w:t>、</w:t>
            </w:r>
            <w:r>
              <w:rPr>
                <w:rFonts w:hint="eastAsia"/>
                <w:lang w:eastAsia="zh-CN"/>
              </w:rPr>
              <w:t>《</w:t>
            </w:r>
            <w:r>
              <w:rPr>
                <w:rFonts w:hint="eastAsia"/>
              </w:rPr>
              <w:t>合规性评价控制程序</w:t>
            </w:r>
            <w:r>
              <w:rPr>
                <w:rFonts w:hint="eastAsia"/>
                <w:lang w:eastAsia="zh-CN"/>
              </w:rPr>
              <w:t>》</w:t>
            </w:r>
            <w:r>
              <w:rPr>
                <w:rFonts w:hint="eastAsia"/>
                <w:lang w:val="en-US" w:eastAsia="zh-CN"/>
              </w:rPr>
              <w:t>等，</w:t>
            </w:r>
          </w:p>
          <w:p>
            <w:pPr>
              <w:spacing w:line="360" w:lineRule="auto"/>
              <w:rPr>
                <w:rFonts w:hint="eastAsia"/>
              </w:rPr>
            </w:pPr>
            <w:r>
              <w:rPr>
                <w:rFonts w:hint="eastAsia"/>
              </w:rPr>
              <w:t>提供公司适用的法律法规及要求清单，主要有质量法、合同法、环境保护法、环境噪声污染防治法、劳动法、消防法、环境空气质量标准、固体废弃物环境防治法、仓库防火安全管理规则、劳动保护用品管理规定、GB12348-2008《工业企业厂界环境噪声排放标准》、GB3095-2012《环境空气质量标准》、GBZ2-2007《工作场所有害因素职业接触限值》、GB/T19001-2016《质量管理体系 要求》、GB/T24001-2016《环境管理体系 要求及使用指南》、GB/T28001-2011《职业健康安全管理体系 要求》及相关产品标准</w:t>
            </w:r>
          </w:p>
          <w:p>
            <w:pPr>
              <w:spacing w:line="360" w:lineRule="auto"/>
              <w:rPr>
                <w:rFonts w:hint="eastAsia"/>
              </w:rPr>
            </w:pPr>
            <w:r>
              <w:rPr>
                <w:rFonts w:hint="eastAsia"/>
              </w:rPr>
              <w:t>产品执行的标准：</w:t>
            </w:r>
          </w:p>
          <w:p>
            <w:pPr>
              <w:spacing w:line="360" w:lineRule="auto"/>
              <w:jc w:val="left"/>
              <w:rPr>
                <w:rFonts w:hint="eastAsia"/>
              </w:rPr>
            </w:pPr>
            <w:r>
              <w:rPr>
                <w:rFonts w:hint="eastAsia"/>
              </w:rPr>
              <w:t>管道式电磁流量计在线校准要求CJ/T 364-2011、湿式气体流量计DB50/T 541-2014、封闭管道中气体流量的测量 涡轮流量计GB/T 18940-2003、封闭管道中流体流量的测量 热式质量流量计GB/T 20727-2006、流体流量测量 流量计性能表述方法GB/T 22133-2008、智能气体流量计GB/T 28848-2012、基于HART协议的电磁流量计通用技术条件GB/T 29815-2013、基于HART协议的质量流量计通用技术条件GB/T 29818-2013、科里奥利质量流量计GB/T 31130-2014、气体流量计GB/T 32201-2015、气体旋进旋涡流量计GB/T 36241-2018、螺旋双转子流量计JB/T 13391-2018、涡街流量计JB/T 9249-2015、流量计量名词术语及定义JJF 1004-2004、质量流量计检定规程JJG (石化) 001-1995、涡轮流量计检定规程JJG 1037-2008、三转子流量计Q/SXXL007-2015、双转子流量计Q/SXXL005-2015</w:t>
            </w:r>
            <w:r>
              <w:rPr>
                <w:rFonts w:hint="eastAsia"/>
                <w:lang w:eastAsia="zh-CN"/>
              </w:rPr>
              <w:t>、</w:t>
            </w:r>
            <w:r>
              <w:rPr>
                <w:rFonts w:hint="eastAsia"/>
              </w:rPr>
              <w:t>《商品经营服务质量管理规范》GB/T16868-2009等；</w:t>
            </w:r>
          </w:p>
          <w:p>
            <w:pPr>
              <w:spacing w:line="360" w:lineRule="auto"/>
              <w:ind w:left="360"/>
              <w:rPr>
                <w:rFonts w:hint="eastAsia"/>
              </w:rPr>
            </w:pPr>
            <w:r>
              <w:rPr>
                <w:rFonts w:hint="eastAsia"/>
              </w:rPr>
              <w:t>获取方式：网上查录或购买，经查阅为现行有效版本，目前满足体系运行需要。</w:t>
            </w:r>
          </w:p>
          <w:p>
            <w:pPr>
              <w:spacing w:line="360" w:lineRule="auto"/>
              <w:rPr>
                <w:rFonts w:hint="eastAsia"/>
                <w:sz w:val="21"/>
                <w:szCs w:val="21"/>
              </w:rPr>
            </w:pPr>
            <w:r>
              <w:rPr>
                <w:rFonts w:hint="eastAsia"/>
                <w:sz w:val="21"/>
                <w:szCs w:val="21"/>
              </w:rPr>
              <w:t>查合规性评价：20</w:t>
            </w:r>
            <w:r>
              <w:rPr>
                <w:rFonts w:hint="eastAsia"/>
                <w:sz w:val="21"/>
                <w:szCs w:val="21"/>
                <w:lang w:val="en-US" w:eastAsia="zh-CN"/>
              </w:rPr>
              <w:t>22</w:t>
            </w:r>
            <w:r>
              <w:rPr>
                <w:rFonts w:hint="eastAsia"/>
                <w:sz w:val="21"/>
                <w:szCs w:val="21"/>
              </w:rPr>
              <w:t>年</w:t>
            </w:r>
            <w:r>
              <w:rPr>
                <w:rFonts w:hint="eastAsia"/>
                <w:sz w:val="21"/>
                <w:szCs w:val="21"/>
                <w:lang w:val="en-US" w:eastAsia="zh-CN"/>
              </w:rPr>
              <w:t>4</w:t>
            </w:r>
            <w:r>
              <w:rPr>
                <w:rFonts w:hint="eastAsia"/>
                <w:sz w:val="21"/>
                <w:szCs w:val="21"/>
              </w:rPr>
              <w:t>月</w:t>
            </w:r>
            <w:r>
              <w:rPr>
                <w:rFonts w:hint="eastAsia"/>
                <w:sz w:val="21"/>
                <w:szCs w:val="21"/>
                <w:lang w:val="en-US" w:eastAsia="zh-CN"/>
              </w:rPr>
              <w:t>10</w:t>
            </w:r>
            <w:r>
              <w:rPr>
                <w:rFonts w:hint="eastAsia"/>
                <w:sz w:val="21"/>
                <w:szCs w:val="21"/>
              </w:rPr>
              <w:t>日进行合规性评价，提供了《合规性评价表》，内容包括：活动场所/产品/服务、重要环境因素、不可接受风险、现有控制措施、适用的法律法规及其对应条款、符合性评价等。</w:t>
            </w:r>
          </w:p>
          <w:p>
            <w:pPr>
              <w:spacing w:line="360" w:lineRule="auto"/>
              <w:rPr>
                <w:rFonts w:hint="eastAsia"/>
                <w:sz w:val="21"/>
                <w:szCs w:val="21"/>
              </w:rPr>
            </w:pPr>
            <w:r>
              <w:rPr>
                <w:rFonts w:hint="eastAsia"/>
                <w:sz w:val="21"/>
                <w:szCs w:val="21"/>
              </w:rPr>
              <w:t>评价了相关的法律法规，涉及火灾、固废排放、资源消耗、机械伤害、触电等</w:t>
            </w:r>
          </w:p>
          <w:p>
            <w:pPr>
              <w:spacing w:line="360" w:lineRule="auto"/>
              <w:rPr>
                <w:rFonts w:hint="eastAsia"/>
                <w:sz w:val="21"/>
                <w:szCs w:val="21"/>
              </w:rPr>
            </w:pPr>
            <w:r>
              <w:rPr>
                <w:rFonts w:hint="eastAsia"/>
                <w:sz w:val="21"/>
                <w:szCs w:val="21"/>
              </w:rPr>
              <w:t>评价结果：公司能够按照有关法律法规、公司文件进行控制、检查，能够遵守国家、地方的法律法规，合规性评价符合要求。</w:t>
            </w:r>
          </w:p>
          <w:p>
            <w:pPr>
              <w:spacing w:line="360" w:lineRule="auto"/>
              <w:rPr>
                <w:rFonts w:hint="default" w:eastAsia="宋体"/>
                <w:sz w:val="21"/>
                <w:szCs w:val="21"/>
                <w:lang w:val="en-US" w:eastAsia="zh-CN"/>
              </w:rPr>
            </w:pPr>
            <w:r>
              <w:rPr>
                <w:rFonts w:hint="eastAsia"/>
                <w:sz w:val="21"/>
                <w:szCs w:val="21"/>
              </w:rPr>
              <w:t>批准/日期：</w:t>
            </w:r>
            <w:r>
              <w:rPr>
                <w:rFonts w:hint="eastAsia"/>
                <w:sz w:val="21"/>
                <w:szCs w:val="21"/>
                <w:lang w:eastAsia="zh-CN"/>
              </w:rPr>
              <w:t>赵新时</w:t>
            </w:r>
            <w:r>
              <w:rPr>
                <w:rFonts w:hint="eastAsia"/>
                <w:sz w:val="21"/>
                <w:szCs w:val="21"/>
              </w:rPr>
              <w:t xml:space="preserve"> 20</w:t>
            </w:r>
            <w:r>
              <w:rPr>
                <w:rFonts w:hint="eastAsia"/>
                <w:sz w:val="21"/>
                <w:szCs w:val="21"/>
                <w:lang w:val="en-US" w:eastAsia="zh-CN"/>
              </w:rPr>
              <w:t>22</w:t>
            </w:r>
            <w:r>
              <w:rPr>
                <w:rFonts w:hint="eastAsia"/>
                <w:sz w:val="21"/>
                <w:szCs w:val="21"/>
              </w:rPr>
              <w:t>.</w:t>
            </w:r>
            <w:r>
              <w:rPr>
                <w:rFonts w:hint="eastAsia"/>
                <w:sz w:val="21"/>
                <w:szCs w:val="21"/>
                <w:lang w:val="en-US" w:eastAsia="zh-CN"/>
              </w:rPr>
              <w:t>4</w:t>
            </w:r>
            <w:r>
              <w:rPr>
                <w:rFonts w:hint="eastAsia"/>
                <w:sz w:val="21"/>
                <w:szCs w:val="21"/>
              </w:rPr>
              <w:t>.</w:t>
            </w:r>
            <w:r>
              <w:rPr>
                <w:rFonts w:hint="eastAsia"/>
                <w:sz w:val="21"/>
                <w:szCs w:val="21"/>
                <w:lang w:val="en-US" w:eastAsia="zh-CN"/>
              </w:rPr>
              <w:t>10</w:t>
            </w:r>
          </w:p>
          <w:p>
            <w:pPr>
              <w:pStyle w:val="2"/>
              <w:spacing w:line="360" w:lineRule="auto"/>
              <w:rPr>
                <w:rFonts w:ascii="宋体" w:hAnsi="宋体" w:cs="宋体"/>
                <w:szCs w:val="21"/>
              </w:rPr>
            </w:pPr>
            <w:r>
              <w:rPr>
                <w:rFonts w:hint="eastAsia"/>
                <w:sz w:val="21"/>
                <w:szCs w:val="21"/>
              </w:rPr>
              <w:t>经查合规性评价基本符合要求。</w:t>
            </w:r>
          </w:p>
        </w:tc>
        <w:tc>
          <w:tcPr>
            <w:tcW w:w="1585" w:type="dxa"/>
            <w:vAlign w:val="top"/>
          </w:tcPr>
          <w:p>
            <w:pPr>
              <w:spacing w:line="360" w:lineRule="auto"/>
              <w:rPr>
                <w:rFonts w:hint="eastAsia"/>
                <w:lang w:val="en-US" w:eastAsia="zh-CN"/>
              </w:rPr>
            </w:pPr>
          </w:p>
          <w:p>
            <w:pPr>
              <w:spacing w:line="360" w:lineRule="auto"/>
              <w:rPr>
                <w:rFonts w:hint="default"/>
                <w:lang w:val="en-US" w:eastAsia="zh-CN"/>
              </w:rPr>
            </w:pPr>
            <w:r>
              <w:rPr>
                <w:rFonts w:hint="eastAsia"/>
                <w:lang w:val="en-US" w:eastAsia="zh-CN"/>
              </w:rPr>
              <w:t>Y</w:t>
            </w: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360" w:lineRule="auto"/>
              <w:rPr>
                <w:rFonts w:ascii="宋体" w:hAnsi="宋体" w:cs="宋体"/>
                <w:szCs w:val="21"/>
              </w:rPr>
            </w:pPr>
            <w:r>
              <w:rPr>
                <w:rFonts w:hint="eastAsia" w:ascii="宋体" w:hAnsi="宋体" w:cs="宋体"/>
                <w:szCs w:val="21"/>
              </w:rPr>
              <w:t>管理目标及其实现的策划</w:t>
            </w:r>
          </w:p>
          <w:p>
            <w:pPr>
              <w:spacing w:line="360" w:lineRule="auto"/>
              <w:rPr>
                <w:rFonts w:ascii="宋体" w:hAnsi="宋体" w:cs="宋体"/>
                <w:szCs w:val="21"/>
              </w:rPr>
            </w:pPr>
          </w:p>
        </w:tc>
        <w:tc>
          <w:tcPr>
            <w:tcW w:w="998" w:type="dxa"/>
          </w:tcPr>
          <w:p>
            <w:pPr>
              <w:spacing w:line="360" w:lineRule="auto"/>
              <w:rPr>
                <w:szCs w:val="21"/>
              </w:rPr>
            </w:pPr>
            <w:r>
              <w:rPr>
                <w:rFonts w:hint="eastAsia"/>
                <w:szCs w:val="21"/>
              </w:rPr>
              <w:t>Q6.2</w:t>
            </w:r>
          </w:p>
          <w:p>
            <w:pPr>
              <w:spacing w:line="360" w:lineRule="auto"/>
              <w:rPr>
                <w:szCs w:val="21"/>
              </w:rPr>
            </w:pPr>
            <w:r>
              <w:rPr>
                <w:szCs w:val="21"/>
              </w:rPr>
              <w:t>O</w:t>
            </w:r>
            <w:r>
              <w:rPr>
                <w:rFonts w:hint="eastAsia"/>
                <w:szCs w:val="21"/>
              </w:rPr>
              <w:t>6.2.1</w:t>
            </w:r>
          </w:p>
        </w:tc>
        <w:tc>
          <w:tcPr>
            <w:tcW w:w="10004" w:type="dxa"/>
            <w:vAlign w:val="center"/>
          </w:tcPr>
          <w:p>
            <w:pPr>
              <w:spacing w:line="360" w:lineRule="auto"/>
              <w:rPr>
                <w:rFonts w:hint="eastAsia"/>
                <w:sz w:val="21"/>
                <w:szCs w:val="21"/>
              </w:rPr>
            </w:pPr>
            <w:r>
              <w:rPr>
                <w:rFonts w:hint="eastAsia"/>
                <w:sz w:val="21"/>
                <w:szCs w:val="21"/>
              </w:rPr>
              <w:t>出示了20</w:t>
            </w:r>
            <w:r>
              <w:rPr>
                <w:rFonts w:hint="eastAsia"/>
                <w:sz w:val="21"/>
                <w:szCs w:val="21"/>
                <w:lang w:val="en-US" w:eastAsia="zh-CN"/>
              </w:rPr>
              <w:t>22</w:t>
            </w:r>
            <w:r>
              <w:rPr>
                <w:rFonts w:hint="eastAsia"/>
                <w:sz w:val="21"/>
                <w:szCs w:val="21"/>
              </w:rPr>
              <w:t>年度目标完成情况如下：</w:t>
            </w:r>
          </w:p>
          <w:p>
            <w:pPr>
              <w:spacing w:line="360" w:lineRule="auto"/>
              <w:rPr>
                <w:rFonts w:hint="eastAsia"/>
                <w:sz w:val="21"/>
                <w:szCs w:val="21"/>
              </w:rPr>
            </w:pPr>
            <w:r>
              <w:rPr>
                <w:rFonts w:hint="eastAsia"/>
                <w:sz w:val="21"/>
                <w:szCs w:val="21"/>
              </w:rPr>
              <w:t>部门目标：               考核情况</w:t>
            </w:r>
          </w:p>
          <w:p>
            <w:pPr>
              <w:spacing w:line="360" w:lineRule="auto"/>
              <w:rPr>
                <w:rFonts w:hint="eastAsia"/>
                <w:sz w:val="21"/>
                <w:szCs w:val="21"/>
              </w:rPr>
            </w:pPr>
            <w:r>
              <w:rPr>
                <w:rFonts w:hint="eastAsia"/>
                <w:sz w:val="21"/>
                <w:szCs w:val="21"/>
              </w:rPr>
              <w:t>文件发放有效率100%；     100%</w:t>
            </w:r>
          </w:p>
          <w:p>
            <w:pPr>
              <w:spacing w:line="360" w:lineRule="auto"/>
              <w:rPr>
                <w:rFonts w:hint="eastAsia"/>
                <w:sz w:val="21"/>
                <w:szCs w:val="21"/>
              </w:rPr>
            </w:pPr>
            <w:r>
              <w:rPr>
                <w:rFonts w:hint="eastAsia"/>
                <w:sz w:val="21"/>
                <w:szCs w:val="21"/>
              </w:rPr>
              <w:t>培训计划完成率98%；      100%</w:t>
            </w:r>
          </w:p>
          <w:p>
            <w:pPr>
              <w:spacing w:line="360" w:lineRule="auto"/>
              <w:rPr>
                <w:rFonts w:hint="eastAsia"/>
                <w:sz w:val="21"/>
                <w:szCs w:val="21"/>
              </w:rPr>
            </w:pPr>
            <w:r>
              <w:rPr>
                <w:rFonts w:hint="eastAsia"/>
                <w:sz w:val="21"/>
                <w:szCs w:val="21"/>
              </w:rPr>
              <w:t>固废分类处置率100%；      100%</w:t>
            </w:r>
          </w:p>
          <w:p>
            <w:pPr>
              <w:spacing w:line="360" w:lineRule="auto"/>
              <w:rPr>
                <w:rFonts w:hint="eastAsia"/>
                <w:sz w:val="21"/>
                <w:szCs w:val="21"/>
              </w:rPr>
            </w:pPr>
            <w:r>
              <w:rPr>
                <w:rFonts w:hint="eastAsia"/>
                <w:sz w:val="21"/>
                <w:szCs w:val="21"/>
              </w:rPr>
              <w:t>安全及火灾事故为0；         0</w:t>
            </w:r>
          </w:p>
          <w:p>
            <w:pPr>
              <w:spacing w:line="360" w:lineRule="auto"/>
              <w:rPr>
                <w:rFonts w:hint="eastAsia"/>
                <w:sz w:val="21"/>
                <w:szCs w:val="21"/>
              </w:rPr>
            </w:pPr>
            <w:r>
              <w:rPr>
                <w:rFonts w:hint="eastAsia"/>
                <w:sz w:val="21"/>
                <w:szCs w:val="21"/>
              </w:rPr>
              <w:t>环保安全资金落实率100%    100%</w:t>
            </w:r>
          </w:p>
          <w:p>
            <w:pPr>
              <w:spacing w:line="360" w:lineRule="auto"/>
              <w:rPr>
                <w:rFonts w:hint="eastAsia"/>
                <w:sz w:val="21"/>
                <w:szCs w:val="21"/>
              </w:rPr>
            </w:pPr>
            <w:r>
              <w:rPr>
                <w:rFonts w:hint="eastAsia"/>
                <w:sz w:val="21"/>
                <w:szCs w:val="21"/>
              </w:rPr>
              <w:t>每3个月进行一次考核，目标基本实现。</w:t>
            </w:r>
          </w:p>
          <w:p>
            <w:pPr>
              <w:spacing w:line="360" w:lineRule="auto"/>
              <w:rPr>
                <w:rFonts w:hint="eastAsia" w:eastAsia="宋体"/>
                <w:sz w:val="21"/>
                <w:szCs w:val="21"/>
                <w:lang w:eastAsia="zh-CN"/>
              </w:rPr>
            </w:pPr>
            <w:r>
              <w:rPr>
                <w:rFonts w:hint="eastAsia"/>
                <w:sz w:val="21"/>
                <w:szCs w:val="21"/>
              </w:rPr>
              <w:t xml:space="preserve">考核人： </w:t>
            </w:r>
            <w:r>
              <w:rPr>
                <w:rFonts w:hint="eastAsia"/>
                <w:sz w:val="21"/>
                <w:szCs w:val="21"/>
                <w:lang w:eastAsia="zh-CN"/>
              </w:rPr>
              <w:t>杨秧秧</w:t>
            </w:r>
            <w:r>
              <w:rPr>
                <w:rFonts w:hint="eastAsia"/>
                <w:sz w:val="21"/>
                <w:szCs w:val="21"/>
              </w:rPr>
              <w:t xml:space="preserve">    20</w:t>
            </w:r>
            <w:r>
              <w:rPr>
                <w:rFonts w:hint="eastAsia"/>
                <w:sz w:val="21"/>
                <w:szCs w:val="21"/>
                <w:lang w:val="en-US" w:eastAsia="zh-CN"/>
              </w:rPr>
              <w:t>22</w:t>
            </w:r>
            <w:r>
              <w:rPr>
                <w:rFonts w:hint="eastAsia"/>
                <w:sz w:val="21"/>
                <w:szCs w:val="21"/>
              </w:rPr>
              <w:t>.</w:t>
            </w:r>
            <w:r>
              <w:rPr>
                <w:rFonts w:hint="eastAsia"/>
                <w:sz w:val="21"/>
                <w:szCs w:val="21"/>
                <w:lang w:val="en-US" w:eastAsia="zh-CN"/>
              </w:rPr>
              <w:t>5</w:t>
            </w:r>
            <w:r>
              <w:rPr>
                <w:rFonts w:hint="eastAsia"/>
                <w:sz w:val="21"/>
                <w:szCs w:val="21"/>
              </w:rPr>
              <w:t>.</w:t>
            </w:r>
            <w:r>
              <w:rPr>
                <w:rFonts w:hint="eastAsia"/>
                <w:sz w:val="21"/>
                <w:szCs w:val="21"/>
                <w:lang w:val="en-US" w:eastAsia="zh-CN"/>
              </w:rPr>
              <w:t>28</w:t>
            </w:r>
          </w:p>
          <w:p>
            <w:pPr>
              <w:spacing w:line="360" w:lineRule="auto"/>
              <w:rPr>
                <w:rFonts w:hint="eastAsia"/>
                <w:sz w:val="21"/>
                <w:szCs w:val="21"/>
              </w:rPr>
            </w:pPr>
            <w:r>
              <w:rPr>
                <w:rFonts w:hint="eastAsia"/>
                <w:sz w:val="21"/>
                <w:szCs w:val="21"/>
              </w:rPr>
              <w:t>抽查管理方案情况</w:t>
            </w:r>
          </w:p>
          <w:p>
            <w:pPr>
              <w:spacing w:line="360" w:lineRule="auto"/>
              <w:rPr>
                <w:rFonts w:hint="eastAsia"/>
                <w:sz w:val="21"/>
                <w:szCs w:val="21"/>
              </w:rPr>
            </w:pPr>
            <w:r>
              <w:rPr>
                <w:rFonts w:hint="eastAsia"/>
                <w:sz w:val="21"/>
                <w:szCs w:val="21"/>
              </w:rPr>
              <w:t>环境目标指标：废弃物100%分类堆放处置</w:t>
            </w:r>
          </w:p>
          <w:p>
            <w:pPr>
              <w:spacing w:line="360" w:lineRule="auto"/>
              <w:rPr>
                <w:rFonts w:hint="eastAsia"/>
                <w:sz w:val="21"/>
                <w:szCs w:val="21"/>
              </w:rPr>
            </w:pPr>
            <w:r>
              <w:rPr>
                <w:rFonts w:hint="eastAsia"/>
                <w:sz w:val="21"/>
                <w:szCs w:val="21"/>
              </w:rPr>
              <w:t>管理方案：1.对员工进行相应的培训；并加强日常的宣传、教育，确保固废集中收存；2.加强过程控制，工序改善、工艺改进、操作规范、实现固体废弃物最小化要求；3.设定专门的垃圾存入场所，做好防雨、防风、防渗漏，杜绝二次污染。</w:t>
            </w:r>
          </w:p>
          <w:p>
            <w:pPr>
              <w:spacing w:line="360" w:lineRule="auto"/>
              <w:rPr>
                <w:rFonts w:hint="eastAsia"/>
                <w:sz w:val="21"/>
                <w:szCs w:val="21"/>
              </w:rPr>
            </w:pPr>
            <w:r>
              <w:rPr>
                <w:rFonts w:hint="eastAsia"/>
                <w:sz w:val="21"/>
                <w:szCs w:val="21"/>
              </w:rPr>
              <w:t>完成时间：20</w:t>
            </w:r>
            <w:r>
              <w:rPr>
                <w:rFonts w:hint="eastAsia"/>
                <w:sz w:val="21"/>
                <w:szCs w:val="21"/>
                <w:lang w:val="en-US" w:eastAsia="zh-CN"/>
              </w:rPr>
              <w:t>21</w:t>
            </w:r>
            <w:r>
              <w:rPr>
                <w:rFonts w:hint="eastAsia"/>
                <w:sz w:val="21"/>
                <w:szCs w:val="21"/>
              </w:rPr>
              <w:t>.</w:t>
            </w:r>
            <w:r>
              <w:rPr>
                <w:rFonts w:hint="eastAsia"/>
                <w:sz w:val="21"/>
                <w:szCs w:val="21"/>
                <w:lang w:val="en-US" w:eastAsia="zh-CN"/>
              </w:rPr>
              <w:t>5</w:t>
            </w:r>
            <w:r>
              <w:rPr>
                <w:rFonts w:hint="eastAsia"/>
                <w:sz w:val="21"/>
                <w:szCs w:val="21"/>
              </w:rPr>
              <w:t>-</w:t>
            </w:r>
            <w:r>
              <w:rPr>
                <w:rFonts w:hint="eastAsia"/>
                <w:sz w:val="21"/>
                <w:szCs w:val="21"/>
                <w:lang w:val="en-US" w:eastAsia="zh-CN"/>
              </w:rPr>
              <w:t>2022.5</w:t>
            </w:r>
            <w:r>
              <w:rPr>
                <w:rFonts w:hint="eastAsia"/>
                <w:sz w:val="21"/>
                <w:szCs w:val="21"/>
              </w:rPr>
              <w:t xml:space="preserve">费用5000元 </w:t>
            </w:r>
          </w:p>
          <w:p>
            <w:pPr>
              <w:spacing w:line="360" w:lineRule="auto"/>
              <w:rPr>
                <w:rFonts w:hint="eastAsia"/>
                <w:sz w:val="21"/>
                <w:szCs w:val="21"/>
              </w:rPr>
            </w:pPr>
            <w:r>
              <w:rPr>
                <w:rFonts w:hint="eastAsia"/>
                <w:sz w:val="21"/>
                <w:szCs w:val="21"/>
              </w:rPr>
              <w:t>责任部门：各部门，监控部门：办公室</w:t>
            </w:r>
          </w:p>
          <w:p>
            <w:pPr>
              <w:spacing w:line="360" w:lineRule="auto"/>
              <w:ind w:firstLine="420" w:firstLineChars="200"/>
              <w:rPr>
                <w:rFonts w:ascii="宋体" w:hAnsi="宋体" w:cs="宋体"/>
                <w:szCs w:val="21"/>
              </w:rPr>
            </w:pPr>
            <w:r>
              <w:rPr>
                <w:rFonts w:hint="eastAsia"/>
                <w:sz w:val="21"/>
                <w:szCs w:val="21"/>
              </w:rPr>
              <w:t>另抽杜绝火灾事故管理方案以上类似，措施基本可行。</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360" w:lineRule="auto"/>
              <w:rPr>
                <w:rFonts w:ascii="宋体" w:hAnsi="宋体" w:cs="宋体"/>
                <w:szCs w:val="21"/>
              </w:rPr>
            </w:pPr>
            <w:r>
              <w:rPr>
                <w:rFonts w:hint="eastAsia" w:ascii="宋体" w:hAnsi="宋体" w:cs="宋体"/>
                <w:szCs w:val="21"/>
              </w:rPr>
              <w:t>职业健康安全目标实现措施策划</w:t>
            </w:r>
          </w:p>
        </w:tc>
        <w:tc>
          <w:tcPr>
            <w:tcW w:w="998" w:type="dxa"/>
          </w:tcPr>
          <w:p>
            <w:pPr>
              <w:spacing w:line="360" w:lineRule="auto"/>
              <w:rPr>
                <w:szCs w:val="21"/>
              </w:rPr>
            </w:pPr>
            <w:r>
              <w:rPr>
                <w:szCs w:val="21"/>
              </w:rPr>
              <w:t>O</w:t>
            </w:r>
            <w:r>
              <w:rPr>
                <w:rFonts w:hint="eastAsia"/>
                <w:szCs w:val="21"/>
              </w:rPr>
              <w:t>6.2.2</w:t>
            </w:r>
          </w:p>
        </w:tc>
        <w:tc>
          <w:tcPr>
            <w:tcW w:w="10004" w:type="dxa"/>
            <w:vAlign w:val="center"/>
          </w:tcPr>
          <w:p>
            <w:pPr>
              <w:spacing w:line="360" w:lineRule="auto"/>
              <w:ind w:firstLine="420" w:firstLineChars="200"/>
              <w:rPr>
                <w:rFonts w:hint="eastAsia" w:ascii="Times New Roman" w:hAnsi="Times New Roman" w:eastAsia="宋体" w:cs="Times New Roman"/>
                <w:szCs w:val="22"/>
              </w:rPr>
            </w:pPr>
            <w:r>
              <w:rPr>
                <w:rFonts w:hint="eastAsia"/>
              </w:rPr>
              <w:t>按《危险源辨识、风险评价和控制措施的确定》识别的重大危险制定管理措施，制定《相关方控制程序》等文件；由</w:t>
            </w:r>
            <w:r>
              <w:rPr>
                <w:rFonts w:hint="eastAsia"/>
                <w:lang w:eastAsia="zh-CN"/>
              </w:rPr>
              <w:t>办公室</w:t>
            </w:r>
            <w:r>
              <w:rPr>
                <w:rFonts w:hint="eastAsia"/>
              </w:rPr>
              <w:t>统一管理。基本不涉及重大法规要求的不可接受的</w:t>
            </w:r>
            <w:r>
              <w:rPr>
                <w:rFonts w:hint="eastAsia" w:ascii="Times New Roman" w:hAnsi="Times New Roman" w:eastAsia="宋体" w:cs="Times New Roman"/>
                <w:szCs w:val="22"/>
              </w:rPr>
              <w:t>环境和安全风险</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安全目标、指标：火灾事故发生率为0</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措施：强化安全思想教育培训，认真学习安全规程；配备符合要求的安全工器具；电源电线与化学品易燃物分开.....。</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完成时间20</w:t>
            </w:r>
            <w:r>
              <w:rPr>
                <w:rFonts w:hint="eastAsia" w:ascii="Times New Roman" w:hAnsi="Times New Roman" w:eastAsia="宋体" w:cs="Times New Roman"/>
                <w:sz w:val="21"/>
                <w:szCs w:val="21"/>
                <w:lang w:val="en-US" w:eastAsia="zh-CN"/>
              </w:rPr>
              <w:t>2</w:t>
            </w:r>
            <w:r>
              <w:rPr>
                <w:rFonts w:hint="eastAsia" w:cs="Times New Roman"/>
                <w:sz w:val="21"/>
                <w:szCs w:val="21"/>
                <w:lang w:val="en-US" w:eastAsia="zh-CN"/>
              </w:rPr>
              <w:t>1</w:t>
            </w:r>
            <w:r>
              <w:rPr>
                <w:rFonts w:hint="default" w:ascii="Times New Roman" w:hAnsi="Times New Roman" w:eastAsia="宋体" w:cs="Times New Roman"/>
                <w:sz w:val="21"/>
                <w:szCs w:val="21"/>
              </w:rPr>
              <w:t>.</w:t>
            </w:r>
            <w:r>
              <w:rPr>
                <w:rFonts w:hint="eastAsia" w:cs="Times New Roman"/>
                <w:sz w:val="21"/>
                <w:szCs w:val="21"/>
                <w:lang w:val="en-US" w:eastAsia="zh-CN"/>
              </w:rPr>
              <w:t>5</w:t>
            </w:r>
            <w:r>
              <w:rPr>
                <w:rFonts w:hint="default" w:ascii="Times New Roman" w:hAnsi="Times New Roman" w:eastAsia="宋体" w:cs="Times New Roman"/>
                <w:sz w:val="21"/>
                <w:szCs w:val="21"/>
              </w:rPr>
              <w:t>~</w:t>
            </w:r>
            <w:r>
              <w:rPr>
                <w:rFonts w:hint="eastAsia" w:cs="Times New Roman"/>
                <w:sz w:val="21"/>
                <w:szCs w:val="21"/>
                <w:lang w:val="en-US" w:eastAsia="zh-CN"/>
              </w:rPr>
              <w:t>2022.5</w:t>
            </w:r>
            <w:r>
              <w:rPr>
                <w:rFonts w:hint="default" w:ascii="Times New Roman" w:hAnsi="Times New Roman" w:eastAsia="宋体" w:cs="Times New Roman"/>
                <w:sz w:val="21"/>
                <w:szCs w:val="21"/>
              </w:rPr>
              <w:t>费用：3000元 责任部门：</w:t>
            </w:r>
            <w:r>
              <w:rPr>
                <w:rFonts w:hint="eastAsia" w:cs="Times New Roman"/>
                <w:sz w:val="21"/>
                <w:szCs w:val="21"/>
                <w:lang w:eastAsia="zh-CN"/>
              </w:rPr>
              <w:t>生产部</w:t>
            </w:r>
            <w:r>
              <w:rPr>
                <w:rFonts w:hint="default" w:ascii="Times New Roman" w:hAnsi="Times New Roman" w:eastAsia="宋体" w:cs="Times New Roman"/>
                <w:sz w:val="21"/>
                <w:szCs w:val="21"/>
              </w:rPr>
              <w:t>/办公室等</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•安全目标、指标：职业病发生率为0，员工按计划体检率100%</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管理方案：为操作人员配备劳保用品，每年按计划为员工进行体检.....</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完成时间：20</w:t>
            </w:r>
            <w:r>
              <w:rPr>
                <w:rFonts w:hint="eastAsia" w:ascii="Times New Roman" w:hAnsi="Times New Roman" w:eastAsia="宋体" w:cs="Times New Roman"/>
                <w:sz w:val="21"/>
                <w:szCs w:val="21"/>
                <w:lang w:val="en-US" w:eastAsia="zh-CN"/>
              </w:rPr>
              <w:t>2</w:t>
            </w:r>
            <w:r>
              <w:rPr>
                <w:rFonts w:hint="eastAsia" w:cs="Times New Roman"/>
                <w:sz w:val="21"/>
                <w:szCs w:val="21"/>
                <w:lang w:val="en-US" w:eastAsia="zh-CN"/>
              </w:rPr>
              <w:t>1</w:t>
            </w:r>
            <w:r>
              <w:rPr>
                <w:rFonts w:hint="default" w:ascii="Times New Roman" w:hAnsi="Times New Roman" w:eastAsia="宋体" w:cs="Times New Roman"/>
                <w:sz w:val="21"/>
                <w:szCs w:val="21"/>
              </w:rPr>
              <w:t>.</w:t>
            </w:r>
            <w:r>
              <w:rPr>
                <w:rFonts w:hint="eastAsia" w:cs="Times New Roman"/>
                <w:sz w:val="21"/>
                <w:szCs w:val="21"/>
                <w:lang w:val="en-US" w:eastAsia="zh-CN"/>
              </w:rPr>
              <w:t>5</w:t>
            </w:r>
            <w:r>
              <w:rPr>
                <w:rFonts w:hint="default" w:ascii="Times New Roman" w:hAnsi="Times New Roman" w:eastAsia="宋体" w:cs="Times New Roman"/>
                <w:sz w:val="21"/>
                <w:szCs w:val="21"/>
              </w:rPr>
              <w:t>~</w:t>
            </w:r>
            <w:r>
              <w:rPr>
                <w:rFonts w:hint="eastAsia" w:cs="Times New Roman"/>
                <w:sz w:val="21"/>
                <w:szCs w:val="21"/>
                <w:lang w:val="en-US" w:eastAsia="zh-CN"/>
              </w:rPr>
              <w:t>2022.5</w:t>
            </w:r>
            <w:r>
              <w:rPr>
                <w:rFonts w:hint="default" w:ascii="Times New Roman" w:hAnsi="Times New Roman" w:eastAsia="宋体" w:cs="Times New Roman"/>
                <w:sz w:val="21"/>
                <w:szCs w:val="21"/>
              </w:rPr>
              <w:t>费用：5000元 责任部门：办公室</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另查看重大安全事故为0，轻伤事故≤3起/年的管理方案以上类似，措施基本可行。</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每季度组织一次对目标、指标管理方案进行程度、完成情况的考核，提供安全目标、指标考核记录，20</w:t>
            </w:r>
            <w:r>
              <w:rPr>
                <w:rFonts w:hint="eastAsia" w:ascii="Times New Roman" w:hAnsi="Times New Roman" w:eastAsia="宋体" w:cs="Times New Roman"/>
                <w:sz w:val="21"/>
                <w:szCs w:val="21"/>
                <w:lang w:val="en-US" w:eastAsia="zh-CN"/>
              </w:rPr>
              <w:t>2</w:t>
            </w:r>
            <w:r>
              <w:rPr>
                <w:rFonts w:hint="eastAsia" w:cs="Times New Roman"/>
                <w:sz w:val="21"/>
                <w:szCs w:val="21"/>
                <w:lang w:val="en-US" w:eastAsia="zh-CN"/>
              </w:rPr>
              <w:t>1.5</w:t>
            </w:r>
            <w:r>
              <w:rPr>
                <w:rFonts w:hint="default" w:ascii="Times New Roman" w:hAnsi="Times New Roman" w:eastAsia="宋体" w:cs="Times New Roman"/>
                <w:sz w:val="21"/>
                <w:szCs w:val="21"/>
              </w:rPr>
              <w:t>年</w:t>
            </w:r>
            <w:r>
              <w:rPr>
                <w:rFonts w:hint="eastAsia" w:cs="Times New Roman"/>
                <w:sz w:val="21"/>
                <w:szCs w:val="21"/>
                <w:lang w:val="en-US" w:eastAsia="zh-CN"/>
              </w:rPr>
              <w:t>-2022.5</w:t>
            </w:r>
            <w:r>
              <w:rPr>
                <w:rFonts w:hint="default" w:ascii="Times New Roman" w:hAnsi="Times New Roman" w:eastAsia="宋体" w:cs="Times New Roman"/>
                <w:sz w:val="21"/>
                <w:szCs w:val="21"/>
              </w:rPr>
              <w:t>的目标、指标管理方案完成情况考核，达到了阶段性的目标要求。</w:t>
            </w:r>
          </w:p>
          <w:p>
            <w:pPr>
              <w:spacing w:line="360" w:lineRule="auto"/>
            </w:pPr>
            <w:r>
              <w:rPr>
                <w:rFonts w:hint="default" w:ascii="Times New Roman" w:hAnsi="Times New Roman" w:eastAsia="宋体" w:cs="Times New Roman"/>
                <w:sz w:val="21"/>
                <w:szCs w:val="21"/>
              </w:rPr>
              <w:t>制定的指标和管理方案基本可行。</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360" w:lineRule="auto"/>
              <w:rPr>
                <w:szCs w:val="21"/>
                <w:u w:val="none"/>
              </w:rPr>
            </w:pPr>
            <w:r>
              <w:rPr>
                <w:rFonts w:hint="eastAsia"/>
                <w:szCs w:val="21"/>
                <w:u w:val="none"/>
              </w:rPr>
              <w:t>运行策划和控制</w:t>
            </w:r>
          </w:p>
          <w:p>
            <w:pPr>
              <w:spacing w:line="360" w:lineRule="auto"/>
              <w:rPr>
                <w:b/>
                <w:szCs w:val="21"/>
                <w:u w:val="none"/>
              </w:rPr>
            </w:pPr>
          </w:p>
        </w:tc>
        <w:tc>
          <w:tcPr>
            <w:tcW w:w="998" w:type="dxa"/>
          </w:tcPr>
          <w:p>
            <w:pPr>
              <w:spacing w:line="360" w:lineRule="auto"/>
              <w:rPr>
                <w:b/>
                <w:szCs w:val="21"/>
                <w:u w:val="none"/>
              </w:rPr>
            </w:pPr>
            <w:r>
              <w:rPr>
                <w:rFonts w:hint="eastAsia"/>
                <w:szCs w:val="21"/>
                <w:u w:val="none"/>
              </w:rPr>
              <w:t>E</w:t>
            </w:r>
            <w:r>
              <w:rPr>
                <w:szCs w:val="21"/>
                <w:u w:val="none"/>
              </w:rPr>
              <w:t>O</w:t>
            </w:r>
            <w:r>
              <w:rPr>
                <w:rFonts w:hint="eastAsia"/>
                <w:szCs w:val="21"/>
                <w:u w:val="none"/>
              </w:rPr>
              <w:t>8.1</w:t>
            </w:r>
          </w:p>
        </w:tc>
        <w:tc>
          <w:tcPr>
            <w:tcW w:w="10004" w:type="dxa"/>
            <w:vAlign w:val="center"/>
          </w:tcPr>
          <w:p>
            <w:pPr>
              <w:spacing w:line="360" w:lineRule="auto"/>
              <w:ind w:firstLine="210" w:firstLineChars="100"/>
              <w:rPr>
                <w:rFonts w:hint="eastAsia"/>
                <w:sz w:val="21"/>
                <w:szCs w:val="21"/>
                <w:lang w:val="en-GB"/>
              </w:rPr>
            </w:pPr>
            <w:r>
              <w:rPr>
                <w:rFonts w:hint="eastAsia"/>
                <w:sz w:val="21"/>
                <w:szCs w:val="21"/>
              </w:rPr>
              <w:t>本部门应执行的运行控制文件：</w:t>
            </w:r>
            <w:r>
              <w:rPr>
                <w:rFonts w:hint="eastAsia"/>
                <w:sz w:val="21"/>
                <w:szCs w:val="21"/>
                <w:lang w:val="en-GB"/>
              </w:rPr>
              <w:t>《运行控制程序》、《资源、能源管理规定》《固体废弃物管理规定》、《</w:t>
            </w:r>
            <w:r>
              <w:rPr>
                <w:rFonts w:hint="eastAsia"/>
                <w:sz w:val="21"/>
                <w:szCs w:val="21"/>
              </w:rPr>
              <w:t>消防安全控制程序》、《安全教育制度》。</w:t>
            </w:r>
          </w:p>
          <w:p>
            <w:pPr>
              <w:spacing w:line="360" w:lineRule="auto"/>
              <w:rPr>
                <w:rFonts w:hint="eastAsia"/>
                <w:sz w:val="21"/>
                <w:szCs w:val="21"/>
                <w:lang w:val="en-GB"/>
              </w:rPr>
            </w:pPr>
            <w:r>
              <w:rPr>
                <w:rFonts w:hint="eastAsia"/>
                <w:sz w:val="21"/>
                <w:szCs w:val="21"/>
                <w:lang w:val="en-GB"/>
              </w:rPr>
              <w:t>运行控制情况：办公过程注意节约用电，做到人走灯灭，电脑长时间不用时关机，下班前要关闭电源；</w:t>
            </w:r>
          </w:p>
          <w:p>
            <w:pPr>
              <w:spacing w:line="360" w:lineRule="auto"/>
              <w:rPr>
                <w:rFonts w:hint="eastAsia"/>
                <w:sz w:val="21"/>
                <w:szCs w:val="21"/>
                <w:lang w:val="en-GB"/>
              </w:rPr>
            </w:pPr>
            <w:r>
              <w:rPr>
                <w:rFonts w:hint="eastAsia"/>
                <w:sz w:val="21"/>
                <w:szCs w:val="21"/>
              </w:rPr>
              <w:t>办公过程使用的电器如：空调、电脑、灯具均符合安全设计要求，使用过程注意安全，预防触电，工作时间平均每天8小时；</w:t>
            </w:r>
          </w:p>
          <w:p>
            <w:pPr>
              <w:spacing w:line="360" w:lineRule="auto"/>
              <w:rPr>
                <w:rFonts w:hint="eastAsia"/>
                <w:sz w:val="21"/>
                <w:szCs w:val="21"/>
                <w:lang w:val="en-GB"/>
              </w:rPr>
            </w:pPr>
            <w:r>
              <w:rPr>
                <w:rFonts w:hint="eastAsia"/>
                <w:sz w:val="21"/>
                <w:szCs w:val="21"/>
                <w:lang w:val="en-GB"/>
              </w:rPr>
              <w:t>办公用品按要求由</w:t>
            </w:r>
            <w:r>
              <w:rPr>
                <w:rFonts w:hint="eastAsia"/>
                <w:sz w:val="21"/>
                <w:szCs w:val="21"/>
              </w:rPr>
              <w:t>办公室</w:t>
            </w:r>
            <w:r>
              <w:rPr>
                <w:rFonts w:hint="eastAsia"/>
                <w:sz w:val="21"/>
                <w:szCs w:val="21"/>
                <w:lang w:val="en-GB"/>
              </w:rPr>
              <w:t>负责发放，作好记录；</w:t>
            </w:r>
          </w:p>
          <w:p>
            <w:pPr>
              <w:spacing w:line="360" w:lineRule="auto"/>
              <w:rPr>
                <w:rFonts w:hint="eastAsia"/>
                <w:sz w:val="21"/>
                <w:szCs w:val="21"/>
                <w:lang w:val="en-GB"/>
              </w:rPr>
            </w:pPr>
            <w:r>
              <w:rPr>
                <w:rFonts w:hint="eastAsia"/>
                <w:sz w:val="21"/>
                <w:szCs w:val="21"/>
                <w:lang w:val="en-GB"/>
              </w:rPr>
              <w:t>相关方施加影响：公司能够控制或能够施加影响的相关方有周边商户、固体废弃物处理等。提供了“致相关方的公开信”，将公司关于采购物资、固体废弃物处理等方面环境控制要求发放到了周边商户，督促影响各相关方按照环境管理体系要求对环境施加影响。</w:t>
            </w:r>
          </w:p>
          <w:p>
            <w:pPr>
              <w:spacing w:line="360" w:lineRule="auto"/>
              <w:rPr>
                <w:rFonts w:hint="eastAsia"/>
                <w:sz w:val="21"/>
                <w:szCs w:val="21"/>
                <w:lang w:val="en-GB"/>
              </w:rPr>
            </w:pPr>
            <w:r>
              <w:rPr>
                <w:rFonts w:hint="eastAsia"/>
                <w:sz w:val="21"/>
                <w:szCs w:val="21"/>
                <w:lang w:val="en-GB"/>
              </w:rPr>
              <w:t>公司办公产生的废硒鼓、废墨盒、色带由供应方公司回收；</w:t>
            </w:r>
          </w:p>
          <w:p>
            <w:pPr>
              <w:spacing w:line="360" w:lineRule="auto"/>
              <w:ind w:firstLine="210" w:firstLineChars="100"/>
              <w:rPr>
                <w:rFonts w:hint="eastAsia"/>
                <w:sz w:val="21"/>
                <w:szCs w:val="21"/>
              </w:rPr>
            </w:pPr>
            <w:r>
              <w:rPr>
                <w:rFonts w:hint="eastAsia"/>
                <w:sz w:val="21"/>
                <w:szCs w:val="21"/>
              </w:rPr>
              <w:t>办公室</w:t>
            </w:r>
            <w:r>
              <w:rPr>
                <w:rFonts w:hint="eastAsia"/>
                <w:sz w:val="21"/>
                <w:szCs w:val="21"/>
                <w:lang w:val="en-GB"/>
              </w:rPr>
              <w:t>每天巡视现场，对环境安全事宜进行检查，发现问题当即纠正；每月进行检查统计分析，查</w:t>
            </w:r>
            <w:r>
              <w:rPr>
                <w:rFonts w:hint="eastAsia"/>
                <w:sz w:val="21"/>
                <w:szCs w:val="21"/>
                <w:lang w:eastAsia="zh-CN"/>
              </w:rPr>
              <w:t>202</w:t>
            </w:r>
            <w:r>
              <w:rPr>
                <w:rFonts w:hint="eastAsia"/>
                <w:sz w:val="21"/>
                <w:szCs w:val="21"/>
                <w:lang w:val="en-US" w:eastAsia="zh-CN"/>
              </w:rPr>
              <w:t>1</w:t>
            </w:r>
            <w:r>
              <w:rPr>
                <w:rFonts w:hint="eastAsia"/>
                <w:sz w:val="21"/>
                <w:szCs w:val="21"/>
              </w:rPr>
              <w:t>.</w:t>
            </w:r>
            <w:r>
              <w:rPr>
                <w:rFonts w:hint="eastAsia"/>
                <w:sz w:val="21"/>
                <w:szCs w:val="21"/>
                <w:lang w:val="en-US" w:eastAsia="zh-CN"/>
              </w:rPr>
              <w:t>5</w:t>
            </w:r>
            <w:r>
              <w:rPr>
                <w:rFonts w:hint="eastAsia"/>
                <w:sz w:val="21"/>
                <w:szCs w:val="21"/>
              </w:rPr>
              <w:t>-</w:t>
            </w:r>
            <w:r>
              <w:rPr>
                <w:rFonts w:hint="eastAsia"/>
                <w:sz w:val="21"/>
                <w:szCs w:val="21"/>
                <w:lang w:eastAsia="zh-CN"/>
              </w:rPr>
              <w:t>202</w:t>
            </w:r>
            <w:r>
              <w:rPr>
                <w:rFonts w:hint="eastAsia"/>
                <w:sz w:val="21"/>
                <w:szCs w:val="21"/>
                <w:lang w:val="en-US" w:eastAsia="zh-CN"/>
              </w:rPr>
              <w:t>2</w:t>
            </w:r>
            <w:r>
              <w:rPr>
                <w:rFonts w:hint="eastAsia"/>
                <w:sz w:val="21"/>
                <w:szCs w:val="21"/>
              </w:rPr>
              <w:t>.</w:t>
            </w:r>
            <w:r>
              <w:rPr>
                <w:rFonts w:hint="eastAsia"/>
                <w:sz w:val="21"/>
                <w:szCs w:val="21"/>
                <w:lang w:val="en-US" w:eastAsia="zh-CN"/>
              </w:rPr>
              <w:t>5</w:t>
            </w:r>
            <w:r>
              <w:rPr>
                <w:rFonts w:hint="eastAsia"/>
                <w:sz w:val="21"/>
                <w:szCs w:val="21"/>
              </w:rPr>
              <w:t>检查记录，各部门运行情况良好。检查人：</w:t>
            </w:r>
            <w:r>
              <w:rPr>
                <w:rFonts w:hint="eastAsia"/>
                <w:sz w:val="21"/>
                <w:szCs w:val="21"/>
                <w:lang w:eastAsia="zh-CN"/>
              </w:rPr>
              <w:t>杨秧秧</w:t>
            </w:r>
            <w:r>
              <w:rPr>
                <w:rFonts w:hint="eastAsia"/>
                <w:sz w:val="21"/>
                <w:szCs w:val="21"/>
              </w:rPr>
              <w:t>等。</w:t>
            </w:r>
          </w:p>
          <w:p>
            <w:pPr>
              <w:spacing w:line="360" w:lineRule="auto"/>
              <w:rPr>
                <w:rFonts w:hint="eastAsia"/>
                <w:sz w:val="21"/>
                <w:szCs w:val="21"/>
                <w:lang w:val="en-GB"/>
              </w:rPr>
            </w:pPr>
            <w:r>
              <w:rPr>
                <w:rFonts w:hint="eastAsia"/>
                <w:sz w:val="21"/>
                <w:szCs w:val="21"/>
                <w:lang w:val="en-GB"/>
              </w:rPr>
              <w:t>废弃物统计表：</w:t>
            </w:r>
          </w:p>
          <w:p>
            <w:pPr>
              <w:spacing w:line="360" w:lineRule="auto"/>
              <w:rPr>
                <w:rFonts w:hint="eastAsia"/>
                <w:sz w:val="21"/>
                <w:szCs w:val="21"/>
                <w:lang w:val="en-GB"/>
              </w:rPr>
            </w:pPr>
            <w:r>
              <w:rPr>
                <w:rFonts w:hint="eastAsia"/>
                <w:sz w:val="21"/>
                <w:szCs w:val="21"/>
                <w:lang w:val="en-GB"/>
              </w:rPr>
              <w:t>抽废纸   数量：</w:t>
            </w:r>
            <w:r>
              <w:rPr>
                <w:rFonts w:hint="eastAsia"/>
                <w:sz w:val="21"/>
                <w:szCs w:val="21"/>
                <w:lang w:val="en-US" w:eastAsia="zh-CN"/>
              </w:rPr>
              <w:t>15</w:t>
            </w:r>
            <w:r>
              <w:rPr>
                <w:rFonts w:hint="eastAsia"/>
                <w:sz w:val="21"/>
                <w:szCs w:val="21"/>
              </w:rPr>
              <w:t>kg</w:t>
            </w:r>
            <w:r>
              <w:rPr>
                <w:rFonts w:hint="eastAsia"/>
                <w:sz w:val="21"/>
                <w:szCs w:val="21"/>
                <w:lang w:val="en-GB"/>
              </w:rPr>
              <w:t xml:space="preserve">  处置方式：变卖</w:t>
            </w:r>
          </w:p>
          <w:p>
            <w:pPr>
              <w:spacing w:line="360" w:lineRule="auto"/>
              <w:rPr>
                <w:rFonts w:hint="eastAsia"/>
                <w:sz w:val="21"/>
                <w:szCs w:val="21"/>
                <w:lang w:val="en-GB"/>
              </w:rPr>
            </w:pPr>
            <w:r>
              <w:rPr>
                <w:rFonts w:hint="eastAsia"/>
                <w:sz w:val="21"/>
                <w:szCs w:val="21"/>
                <w:lang w:val="en-GB"/>
              </w:rPr>
              <w:t>处置时间：</w:t>
            </w:r>
            <w:r>
              <w:rPr>
                <w:rFonts w:hint="eastAsia"/>
                <w:sz w:val="21"/>
                <w:szCs w:val="21"/>
                <w:lang w:val="en-GB" w:eastAsia="zh-CN"/>
              </w:rPr>
              <w:t>202</w:t>
            </w:r>
            <w:r>
              <w:rPr>
                <w:rFonts w:hint="eastAsia"/>
                <w:sz w:val="21"/>
                <w:szCs w:val="21"/>
                <w:lang w:val="en-US" w:eastAsia="zh-CN"/>
              </w:rPr>
              <w:t>2</w:t>
            </w:r>
            <w:r>
              <w:rPr>
                <w:rFonts w:hint="eastAsia"/>
                <w:sz w:val="21"/>
                <w:szCs w:val="21"/>
              </w:rPr>
              <w:t>.</w:t>
            </w:r>
            <w:r>
              <w:rPr>
                <w:rFonts w:hint="eastAsia"/>
                <w:sz w:val="21"/>
                <w:szCs w:val="21"/>
                <w:lang w:val="en-US" w:eastAsia="zh-CN"/>
              </w:rPr>
              <w:t>3</w:t>
            </w:r>
            <w:r>
              <w:rPr>
                <w:rFonts w:hint="eastAsia"/>
                <w:sz w:val="21"/>
                <w:szCs w:val="21"/>
              </w:rPr>
              <w:t>.30</w:t>
            </w:r>
            <w:r>
              <w:rPr>
                <w:rFonts w:hint="eastAsia"/>
                <w:sz w:val="21"/>
                <w:szCs w:val="21"/>
                <w:lang w:val="en-GB"/>
              </w:rPr>
              <w:t xml:space="preserve">  经办人：</w:t>
            </w:r>
            <w:r>
              <w:rPr>
                <w:rFonts w:hint="eastAsia"/>
                <w:sz w:val="21"/>
                <w:szCs w:val="21"/>
                <w:lang w:val="en-GB" w:eastAsia="zh-CN"/>
              </w:rPr>
              <w:t>冯勇</w:t>
            </w:r>
            <w:r>
              <w:rPr>
                <w:rFonts w:hint="eastAsia"/>
                <w:sz w:val="21"/>
                <w:szCs w:val="21"/>
                <w:lang w:val="en-GB"/>
              </w:rPr>
              <w:t xml:space="preserve"> </w:t>
            </w:r>
          </w:p>
          <w:p>
            <w:pPr>
              <w:spacing w:line="360" w:lineRule="auto"/>
              <w:rPr>
                <w:rFonts w:hint="eastAsia"/>
                <w:sz w:val="21"/>
                <w:szCs w:val="21"/>
              </w:rPr>
            </w:pPr>
            <w:r>
              <w:rPr>
                <w:rFonts w:hint="eastAsia"/>
                <w:sz w:val="21"/>
                <w:szCs w:val="21"/>
              </w:rPr>
              <w:t>公司为员工缴纳了工伤保险，提供了缴纳保险的证据。</w:t>
            </w:r>
          </w:p>
          <w:p>
            <w:pPr>
              <w:spacing w:line="360" w:lineRule="auto"/>
              <w:rPr>
                <w:rFonts w:hint="eastAsia"/>
                <w:sz w:val="21"/>
                <w:szCs w:val="21"/>
              </w:rPr>
            </w:pPr>
            <w:r>
              <w:rPr>
                <w:rFonts w:hint="eastAsia"/>
                <w:sz w:val="21"/>
                <w:szCs w:val="21"/>
              </w:rPr>
              <w:t>为员工配备了安全防护设施—提供《劳保用品发放记录》</w:t>
            </w:r>
          </w:p>
          <w:p>
            <w:pPr>
              <w:spacing w:line="360" w:lineRule="auto"/>
              <w:rPr>
                <w:rFonts w:hint="eastAsia"/>
                <w:sz w:val="21"/>
                <w:szCs w:val="21"/>
              </w:rPr>
            </w:pPr>
            <w:r>
              <w:rPr>
                <w:rFonts w:hint="eastAsia"/>
                <w:sz w:val="21"/>
                <w:szCs w:val="21"/>
              </w:rPr>
              <w:t>查阅：主要劳保用品为：线手套、洗衣粉、胶手套、口罩、创口贴 、纱布、线手套、胶手套，记录了发放时间、领用人等，发放人。</w:t>
            </w:r>
          </w:p>
          <w:p>
            <w:pPr>
              <w:spacing w:line="360" w:lineRule="auto"/>
              <w:rPr>
                <w:rFonts w:hint="eastAsia"/>
                <w:sz w:val="21"/>
                <w:szCs w:val="21"/>
              </w:rPr>
            </w:pPr>
            <w:r>
              <w:rPr>
                <w:rFonts w:hint="eastAsia"/>
                <w:sz w:val="21"/>
                <w:szCs w:val="21"/>
              </w:rPr>
              <w:t>办公区固废；现在分类集中存放，及时处理，防止意外火灾。</w:t>
            </w:r>
          </w:p>
          <w:p>
            <w:pPr>
              <w:spacing w:line="360" w:lineRule="auto"/>
              <w:rPr>
                <w:rFonts w:hint="eastAsia"/>
                <w:sz w:val="21"/>
                <w:szCs w:val="21"/>
              </w:rPr>
            </w:pPr>
            <w:r>
              <w:rPr>
                <w:rFonts w:hint="eastAsia"/>
                <w:sz w:val="21"/>
                <w:szCs w:val="21"/>
              </w:rPr>
              <w:t>驾驶员要求遵守道路交通安全法，不违章驾车，驾驶证和车辆定期年审，确保行车安全；</w:t>
            </w:r>
          </w:p>
          <w:p>
            <w:pPr>
              <w:spacing w:line="360" w:lineRule="auto"/>
              <w:rPr>
                <w:rFonts w:hint="eastAsia"/>
                <w:sz w:val="21"/>
                <w:szCs w:val="21"/>
              </w:rPr>
            </w:pPr>
            <w:r>
              <w:rPr>
                <w:rFonts w:hint="eastAsia"/>
                <w:sz w:val="21"/>
                <w:szCs w:val="21"/>
              </w:rPr>
              <w:t>对职业健康安全方面的资金投入情况（</w:t>
            </w:r>
            <w:r>
              <w:rPr>
                <w:rFonts w:hint="eastAsia"/>
                <w:sz w:val="21"/>
                <w:szCs w:val="21"/>
                <w:lang w:eastAsia="zh-CN"/>
              </w:rPr>
              <w:t>202</w:t>
            </w:r>
            <w:r>
              <w:rPr>
                <w:rFonts w:hint="eastAsia"/>
                <w:sz w:val="21"/>
                <w:szCs w:val="21"/>
                <w:lang w:val="en-US" w:eastAsia="zh-CN"/>
              </w:rPr>
              <w:t>1</w:t>
            </w:r>
            <w:r>
              <w:rPr>
                <w:rFonts w:hint="eastAsia"/>
                <w:sz w:val="21"/>
                <w:szCs w:val="21"/>
              </w:rPr>
              <w:t>.</w:t>
            </w:r>
            <w:r>
              <w:rPr>
                <w:rFonts w:hint="eastAsia"/>
                <w:sz w:val="21"/>
                <w:szCs w:val="21"/>
                <w:lang w:val="en-US" w:eastAsia="zh-CN"/>
              </w:rPr>
              <w:t>5</w:t>
            </w:r>
            <w:r>
              <w:rPr>
                <w:rFonts w:hint="eastAsia"/>
                <w:sz w:val="21"/>
                <w:szCs w:val="21"/>
              </w:rPr>
              <w:t>-</w:t>
            </w:r>
            <w:r>
              <w:rPr>
                <w:rFonts w:hint="eastAsia"/>
                <w:sz w:val="21"/>
                <w:szCs w:val="21"/>
                <w:lang w:eastAsia="zh-CN"/>
              </w:rPr>
              <w:t>202</w:t>
            </w:r>
            <w:r>
              <w:rPr>
                <w:rFonts w:hint="eastAsia"/>
                <w:sz w:val="21"/>
                <w:szCs w:val="21"/>
                <w:lang w:val="en-US" w:eastAsia="zh-CN"/>
              </w:rPr>
              <w:t>2</w:t>
            </w:r>
            <w:r>
              <w:rPr>
                <w:rFonts w:hint="eastAsia"/>
                <w:sz w:val="21"/>
                <w:szCs w:val="21"/>
              </w:rPr>
              <w:t>.</w:t>
            </w:r>
            <w:r>
              <w:rPr>
                <w:rFonts w:hint="eastAsia"/>
                <w:sz w:val="21"/>
                <w:szCs w:val="21"/>
                <w:lang w:val="en-US" w:eastAsia="zh-CN"/>
              </w:rPr>
              <w:t>5</w:t>
            </w:r>
            <w:r>
              <w:rPr>
                <w:rFonts w:hint="eastAsia"/>
                <w:sz w:val="21"/>
                <w:szCs w:val="21"/>
              </w:rPr>
              <w:t>）：</w:t>
            </w:r>
          </w:p>
          <w:p>
            <w:pPr>
              <w:spacing w:line="360" w:lineRule="auto"/>
              <w:rPr>
                <w:rFonts w:hint="eastAsia"/>
                <w:sz w:val="21"/>
                <w:szCs w:val="21"/>
              </w:rPr>
            </w:pPr>
            <w:r>
              <w:rPr>
                <w:rFonts w:hint="eastAsia"/>
                <w:sz w:val="21"/>
                <w:szCs w:val="21"/>
              </w:rPr>
              <w:t>教育资料培训费1200元；劳保用品购置费2500元；设施维修保障费3000元；保险购买费5000元；消防器材1500元</w:t>
            </w:r>
          </w:p>
          <w:p>
            <w:pPr>
              <w:spacing w:line="360" w:lineRule="auto"/>
              <w:rPr>
                <w:rFonts w:hint="eastAsia"/>
                <w:szCs w:val="21"/>
                <w:u w:val="none"/>
              </w:rPr>
            </w:pPr>
            <w:r>
              <w:rPr>
                <w:rFonts w:hint="eastAsia"/>
                <w:sz w:val="21"/>
                <w:szCs w:val="21"/>
              </w:rPr>
              <w:t>现场查看办公区域配备有符合要求的灭火器等，办公室设备、电器状态良好，无安全隐患。</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360" w:lineRule="auto"/>
              <w:rPr>
                <w:b/>
                <w:szCs w:val="21"/>
                <w:u w:val="none"/>
              </w:rPr>
            </w:pPr>
            <w:r>
              <w:rPr>
                <w:rFonts w:hint="eastAsia" w:ascii="宋体" w:hAnsi="宋体" w:cs="宋体"/>
                <w:szCs w:val="21"/>
                <w:u w:val="none"/>
              </w:rPr>
              <w:t>应急响应和准备</w:t>
            </w:r>
          </w:p>
        </w:tc>
        <w:tc>
          <w:tcPr>
            <w:tcW w:w="998" w:type="dxa"/>
          </w:tcPr>
          <w:p>
            <w:pPr>
              <w:spacing w:line="360" w:lineRule="auto"/>
              <w:rPr>
                <w:szCs w:val="21"/>
                <w:u w:val="none"/>
              </w:rPr>
            </w:pPr>
            <w:r>
              <w:rPr>
                <w:rFonts w:hint="eastAsia"/>
                <w:szCs w:val="21"/>
                <w:u w:val="none"/>
              </w:rPr>
              <w:t>E</w:t>
            </w:r>
            <w:r>
              <w:rPr>
                <w:szCs w:val="21"/>
                <w:u w:val="none"/>
              </w:rPr>
              <w:t>O</w:t>
            </w:r>
            <w:r>
              <w:rPr>
                <w:rFonts w:hint="eastAsia"/>
                <w:szCs w:val="21"/>
                <w:u w:val="none"/>
              </w:rPr>
              <w:t>8.2</w:t>
            </w:r>
          </w:p>
        </w:tc>
        <w:tc>
          <w:tcPr>
            <w:tcW w:w="10004" w:type="dxa"/>
            <w:vAlign w:val="center"/>
          </w:tcPr>
          <w:p>
            <w:pPr>
              <w:spacing w:line="360" w:lineRule="auto"/>
              <w:rPr>
                <w:rFonts w:hint="eastAsia"/>
                <w:sz w:val="21"/>
                <w:szCs w:val="21"/>
              </w:rPr>
            </w:pPr>
            <w:r>
              <w:rPr>
                <w:rFonts w:hint="eastAsia"/>
                <w:sz w:val="21"/>
                <w:szCs w:val="21"/>
              </w:rPr>
              <w:t>1、查策划有《应急准备与响应控制程序》，编制有《火灾事故应急预案》。</w:t>
            </w:r>
          </w:p>
          <w:p>
            <w:pPr>
              <w:spacing w:line="360" w:lineRule="auto"/>
              <w:rPr>
                <w:rFonts w:hint="eastAsia"/>
                <w:sz w:val="21"/>
                <w:szCs w:val="21"/>
              </w:rPr>
            </w:pPr>
            <w:r>
              <w:rPr>
                <w:rFonts w:hint="eastAsia"/>
                <w:sz w:val="21"/>
                <w:szCs w:val="21"/>
              </w:rPr>
              <w:t>2、应急准备工作开展以下活动：</w:t>
            </w:r>
          </w:p>
          <w:p>
            <w:pPr>
              <w:spacing w:line="360" w:lineRule="auto"/>
              <w:rPr>
                <w:rFonts w:hint="eastAsia"/>
                <w:sz w:val="21"/>
                <w:szCs w:val="21"/>
              </w:rPr>
            </w:pPr>
            <w:r>
              <w:rPr>
                <w:rFonts w:hint="eastAsia"/>
                <w:sz w:val="21"/>
                <w:szCs w:val="21"/>
              </w:rPr>
              <w:t>——建立有应急组织，提供出应急组织机构图、消防队人员名单、职责权限规定等。</w:t>
            </w:r>
          </w:p>
          <w:p>
            <w:pPr>
              <w:spacing w:line="360" w:lineRule="auto"/>
              <w:rPr>
                <w:rFonts w:hint="eastAsia"/>
                <w:sz w:val="21"/>
                <w:szCs w:val="21"/>
              </w:rPr>
            </w:pPr>
            <w:r>
              <w:rPr>
                <w:rFonts w:hint="eastAsia"/>
                <w:sz w:val="21"/>
                <w:szCs w:val="21"/>
              </w:rPr>
              <w:t>——配备相应的消防器材。</w:t>
            </w:r>
          </w:p>
          <w:p>
            <w:pPr>
              <w:spacing w:line="360" w:lineRule="auto"/>
              <w:rPr>
                <w:rFonts w:hint="eastAsia"/>
                <w:sz w:val="21"/>
                <w:szCs w:val="21"/>
              </w:rPr>
            </w:pPr>
            <w:r>
              <w:rPr>
                <w:rFonts w:hint="eastAsia"/>
                <w:sz w:val="21"/>
                <w:szCs w:val="21"/>
              </w:rPr>
              <w:t>——进行消防常识和能力的培训、潜在的火灾爆炸的常识和能力的培训</w:t>
            </w:r>
          </w:p>
          <w:p>
            <w:pPr>
              <w:spacing w:line="360" w:lineRule="auto"/>
              <w:rPr>
                <w:rFonts w:hint="eastAsia"/>
                <w:sz w:val="21"/>
                <w:szCs w:val="21"/>
              </w:rPr>
            </w:pPr>
            <w:r>
              <w:rPr>
                <w:rFonts w:hint="eastAsia"/>
                <w:sz w:val="21"/>
                <w:szCs w:val="21"/>
              </w:rPr>
              <w:t>3、该部门介绍开展了消防器材的使用和人员紧急疏散演练活动：</w:t>
            </w:r>
          </w:p>
          <w:p>
            <w:pPr>
              <w:spacing w:line="360" w:lineRule="auto"/>
              <w:rPr>
                <w:rFonts w:hint="eastAsia"/>
                <w:sz w:val="21"/>
                <w:szCs w:val="21"/>
              </w:rPr>
            </w:pPr>
            <w:r>
              <w:rPr>
                <w:rFonts w:hint="eastAsia"/>
                <w:sz w:val="21"/>
                <w:szCs w:val="21"/>
              </w:rPr>
              <w:t>提供有20</w:t>
            </w:r>
            <w:r>
              <w:rPr>
                <w:rFonts w:hint="eastAsia"/>
                <w:sz w:val="21"/>
                <w:szCs w:val="21"/>
                <w:lang w:val="en-US" w:eastAsia="zh-CN"/>
              </w:rPr>
              <w:t>22</w:t>
            </w:r>
            <w:r>
              <w:rPr>
                <w:rFonts w:hint="eastAsia"/>
                <w:sz w:val="21"/>
                <w:szCs w:val="21"/>
              </w:rPr>
              <w:t>年</w:t>
            </w:r>
            <w:r>
              <w:rPr>
                <w:rFonts w:hint="eastAsia"/>
                <w:sz w:val="21"/>
                <w:szCs w:val="21"/>
                <w:lang w:val="en-US" w:eastAsia="zh-CN"/>
              </w:rPr>
              <w:t>3</w:t>
            </w:r>
            <w:r>
              <w:rPr>
                <w:rFonts w:hint="eastAsia"/>
                <w:sz w:val="21"/>
                <w:szCs w:val="21"/>
              </w:rPr>
              <w:t>月</w:t>
            </w:r>
            <w:r>
              <w:rPr>
                <w:rFonts w:hint="eastAsia"/>
                <w:sz w:val="21"/>
                <w:szCs w:val="21"/>
                <w:lang w:val="en-US" w:eastAsia="zh-CN"/>
              </w:rPr>
              <w:t>28-30</w:t>
            </w:r>
            <w:r>
              <w:rPr>
                <w:rFonts w:hint="eastAsia"/>
                <w:sz w:val="21"/>
                <w:szCs w:val="21"/>
              </w:rPr>
              <w:t>日“消防演习计划”。</w:t>
            </w:r>
          </w:p>
          <w:p>
            <w:pPr>
              <w:spacing w:line="360" w:lineRule="auto"/>
              <w:rPr>
                <w:rFonts w:hint="eastAsia"/>
                <w:sz w:val="21"/>
                <w:szCs w:val="21"/>
              </w:rPr>
            </w:pPr>
            <w:r>
              <w:rPr>
                <w:rFonts w:hint="eastAsia"/>
                <w:sz w:val="21"/>
                <w:szCs w:val="21"/>
              </w:rPr>
              <w:t>——演练时间：20</w:t>
            </w:r>
            <w:r>
              <w:rPr>
                <w:rFonts w:hint="eastAsia"/>
                <w:sz w:val="21"/>
                <w:szCs w:val="21"/>
                <w:lang w:val="en-US" w:eastAsia="zh-CN"/>
              </w:rPr>
              <w:t>22</w:t>
            </w:r>
            <w:r>
              <w:rPr>
                <w:rFonts w:hint="eastAsia"/>
                <w:sz w:val="21"/>
                <w:szCs w:val="21"/>
              </w:rPr>
              <w:t>年</w:t>
            </w:r>
            <w:r>
              <w:rPr>
                <w:rFonts w:hint="eastAsia"/>
                <w:sz w:val="21"/>
                <w:szCs w:val="21"/>
                <w:lang w:val="en-US" w:eastAsia="zh-CN"/>
              </w:rPr>
              <w:t>3</w:t>
            </w:r>
            <w:r>
              <w:rPr>
                <w:rFonts w:hint="eastAsia"/>
                <w:sz w:val="21"/>
                <w:szCs w:val="21"/>
              </w:rPr>
              <w:t>月</w:t>
            </w:r>
            <w:r>
              <w:rPr>
                <w:rFonts w:hint="eastAsia"/>
                <w:sz w:val="21"/>
                <w:szCs w:val="21"/>
                <w:lang w:val="en-US" w:eastAsia="zh-CN"/>
              </w:rPr>
              <w:t>28-30</w:t>
            </w:r>
            <w:r>
              <w:rPr>
                <w:rFonts w:hint="eastAsia"/>
                <w:sz w:val="21"/>
                <w:szCs w:val="21"/>
              </w:rPr>
              <w:t>日13：30；</w:t>
            </w:r>
          </w:p>
          <w:p>
            <w:pPr>
              <w:spacing w:line="360" w:lineRule="auto"/>
              <w:rPr>
                <w:rFonts w:hint="eastAsia"/>
                <w:sz w:val="21"/>
                <w:szCs w:val="21"/>
              </w:rPr>
            </w:pPr>
            <w:r>
              <w:rPr>
                <w:rFonts w:hint="eastAsia"/>
                <w:sz w:val="21"/>
                <w:szCs w:val="21"/>
              </w:rPr>
              <w:t>——演练组织部门：办公室；参加人员：全体</w:t>
            </w:r>
          </w:p>
          <w:p>
            <w:pPr>
              <w:spacing w:line="360" w:lineRule="auto"/>
              <w:rPr>
                <w:rFonts w:hint="eastAsia"/>
                <w:sz w:val="21"/>
                <w:szCs w:val="21"/>
              </w:rPr>
            </w:pPr>
            <w:r>
              <w:rPr>
                <w:rFonts w:hint="eastAsia"/>
                <w:sz w:val="21"/>
                <w:szCs w:val="21"/>
              </w:rPr>
              <w:t>——演练效果评价记录：通过演练，证明预案基本适宜，全体人员对预案的要求有了比较适宜的操作方法，可以有效履行预案的要求，对伤害事故起到良好的控制作用。</w:t>
            </w:r>
          </w:p>
          <w:p>
            <w:pPr>
              <w:spacing w:line="360" w:lineRule="auto"/>
              <w:rPr>
                <w:rFonts w:hint="eastAsia"/>
                <w:sz w:val="21"/>
                <w:szCs w:val="21"/>
              </w:rPr>
            </w:pPr>
            <w:r>
              <w:rPr>
                <w:rFonts w:hint="eastAsia"/>
                <w:sz w:val="21"/>
                <w:szCs w:val="21"/>
              </w:rPr>
              <w:t>——对消防应急预案的适用性、可操作性进行评审；符合要求。</w:t>
            </w:r>
          </w:p>
          <w:p>
            <w:pPr>
              <w:spacing w:line="360" w:lineRule="auto"/>
            </w:pPr>
            <w:r>
              <w:rPr>
                <w:rFonts w:hint="eastAsia"/>
                <w:sz w:val="21"/>
                <w:szCs w:val="21"/>
                <w:lang w:val="zh-CN"/>
              </w:rPr>
              <w:t>现场查看，办公区域配置了灭火器，在有效期内。</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360" w:lineRule="auto"/>
              <w:jc w:val="left"/>
              <w:rPr>
                <w:rFonts w:hint="eastAsia" w:ascii="宋体" w:hAnsi="宋体" w:eastAsia="宋体" w:cs="宋体"/>
                <w:szCs w:val="21"/>
                <w:lang w:eastAsia="zh-CN"/>
              </w:rPr>
            </w:pPr>
            <w:r>
              <w:rPr>
                <w:rFonts w:hint="eastAsia" w:ascii="宋体" w:hAnsi="宋体" w:eastAsia="宋体" w:cs="宋体"/>
                <w:szCs w:val="21"/>
                <w:lang w:eastAsia="zh-CN"/>
              </w:rPr>
              <w:t>绩效 总则</w:t>
            </w:r>
          </w:p>
          <w:p>
            <w:pPr>
              <w:spacing w:line="360" w:lineRule="auto"/>
              <w:ind w:firstLine="420" w:firstLineChars="200"/>
              <w:rPr>
                <w:rFonts w:hint="eastAsia" w:ascii="宋体" w:hAnsi="宋体" w:eastAsia="宋体" w:cs="宋体"/>
                <w:szCs w:val="21"/>
                <w:lang w:eastAsia="zh-CN"/>
              </w:rPr>
            </w:pPr>
          </w:p>
        </w:tc>
        <w:tc>
          <w:tcPr>
            <w:tcW w:w="998" w:type="dxa"/>
          </w:tcPr>
          <w:p>
            <w:pPr>
              <w:spacing w:line="360" w:lineRule="auto"/>
              <w:rPr>
                <w:rFonts w:hint="eastAsia" w:ascii="宋体" w:hAnsi="宋体" w:eastAsia="宋体" w:cs="宋体"/>
                <w:szCs w:val="21"/>
                <w:lang w:eastAsia="zh-CN"/>
              </w:rPr>
            </w:pPr>
            <w:r>
              <w:rPr>
                <w:rFonts w:hint="eastAsia" w:ascii="宋体" w:hAnsi="宋体" w:eastAsia="宋体" w:cs="宋体"/>
                <w:szCs w:val="21"/>
                <w:lang w:eastAsia="zh-CN"/>
              </w:rPr>
              <w:t>Q</w:t>
            </w:r>
            <w:r>
              <w:rPr>
                <w:rFonts w:hint="eastAsia" w:ascii="宋体" w:hAnsi="宋体" w:cs="宋体"/>
                <w:szCs w:val="21"/>
                <w:lang w:val="en-US" w:eastAsia="zh-CN"/>
              </w:rPr>
              <w:t>EO</w:t>
            </w:r>
            <w:r>
              <w:rPr>
                <w:rFonts w:hint="eastAsia" w:ascii="宋体" w:hAnsi="宋体" w:eastAsia="宋体" w:cs="宋体"/>
                <w:szCs w:val="21"/>
                <w:lang w:eastAsia="zh-CN"/>
              </w:rPr>
              <w:t>9.1.1</w:t>
            </w:r>
          </w:p>
          <w:p>
            <w:pPr>
              <w:spacing w:line="360" w:lineRule="auto"/>
              <w:ind w:firstLine="420" w:firstLineChars="200"/>
              <w:rPr>
                <w:rFonts w:hint="eastAsia" w:ascii="宋体" w:hAnsi="宋体" w:eastAsia="宋体" w:cs="宋体"/>
                <w:szCs w:val="21"/>
                <w:lang w:eastAsia="zh-CN"/>
              </w:rPr>
            </w:pP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lang w:eastAsia="zh-CN"/>
              </w:rPr>
              <w:t>办公室</w:t>
            </w:r>
            <w:r>
              <w:rPr>
                <w:rFonts w:hint="eastAsia" w:ascii="宋体" w:hAnsi="宋体" w:cs="宋体"/>
                <w:szCs w:val="21"/>
              </w:rPr>
              <w:t>对管理体系的过程能力进行监视和测量，通过内审对管理体系运行的符合性和有效性进行监测，结论管理体系总体运行有效。详见审核9.2条款；通过管理评审对管理体系的充分性、有效性和适宜性作了肯定的评价。详见审核9.</w:t>
            </w:r>
            <w:r>
              <w:rPr>
                <w:rFonts w:hint="eastAsia" w:ascii="宋体" w:hAnsi="宋体" w:cs="宋体"/>
                <w:szCs w:val="21"/>
                <w:lang w:val="en-US" w:eastAsia="zh-CN"/>
              </w:rPr>
              <w:t>3</w:t>
            </w:r>
            <w:r>
              <w:rPr>
                <w:rFonts w:hint="eastAsia" w:ascii="宋体" w:hAnsi="宋体" w:cs="宋体"/>
                <w:szCs w:val="21"/>
              </w:rPr>
              <w:t>条款记录；通过目标考评，监测管理体系运行的有效性，提供了20</w:t>
            </w:r>
            <w:r>
              <w:rPr>
                <w:rFonts w:ascii="宋体" w:hAnsi="宋体" w:cs="宋体"/>
                <w:szCs w:val="21"/>
              </w:rPr>
              <w:t>2</w:t>
            </w:r>
            <w:r>
              <w:rPr>
                <w:rFonts w:hint="eastAsia" w:ascii="宋体" w:hAnsi="宋体" w:cs="宋体"/>
                <w:szCs w:val="21"/>
                <w:lang w:val="en-US" w:eastAsia="zh-CN"/>
              </w:rPr>
              <w:t>1.5-2022.5</w:t>
            </w:r>
            <w:r>
              <w:rPr>
                <w:rFonts w:hint="eastAsia" w:ascii="宋体" w:hAnsi="宋体" w:cs="宋体"/>
                <w:szCs w:val="21"/>
              </w:rPr>
              <w:t>的目标完成情况，公司及各部门的管理目标均能完成。</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360" w:lineRule="auto"/>
              <w:rPr>
                <w:rFonts w:hint="eastAsia" w:ascii="宋体" w:hAnsi="宋体" w:eastAsia="宋体" w:cs="宋体"/>
                <w:szCs w:val="21"/>
                <w:lang w:eastAsia="zh-CN"/>
              </w:rPr>
            </w:pPr>
            <w:r>
              <w:rPr>
                <w:rFonts w:hint="eastAsia" w:ascii="宋体" w:hAnsi="宋体" w:cs="Arial"/>
                <w:sz w:val="21"/>
                <w:szCs w:val="21"/>
              </w:rPr>
              <w:t>分析与评价</w:t>
            </w:r>
          </w:p>
        </w:tc>
        <w:tc>
          <w:tcPr>
            <w:tcW w:w="998" w:type="dxa"/>
          </w:tcPr>
          <w:p>
            <w:pPr>
              <w:spacing w:line="360" w:lineRule="auto"/>
              <w:rPr>
                <w:rFonts w:hint="default" w:ascii="宋体" w:hAnsi="宋体" w:eastAsia="宋体" w:cs="宋体"/>
                <w:szCs w:val="21"/>
                <w:lang w:val="en-US" w:eastAsia="zh-CN"/>
              </w:rPr>
            </w:pPr>
            <w:r>
              <w:rPr>
                <w:rFonts w:hint="eastAsia" w:ascii="宋体" w:hAnsi="宋体" w:eastAsia="宋体" w:cs="宋体"/>
                <w:szCs w:val="21"/>
                <w:lang w:eastAsia="zh-CN"/>
              </w:rPr>
              <w:t>Q9.1.</w:t>
            </w:r>
            <w:r>
              <w:rPr>
                <w:rFonts w:hint="eastAsia" w:ascii="宋体" w:hAnsi="宋体" w:eastAsia="宋体" w:cs="宋体"/>
                <w:szCs w:val="21"/>
                <w:lang w:val="en-US" w:eastAsia="zh-CN"/>
              </w:rPr>
              <w:t>3</w:t>
            </w:r>
          </w:p>
        </w:tc>
        <w:tc>
          <w:tcPr>
            <w:tcW w:w="10004" w:type="dxa"/>
            <w:vAlign w:val="center"/>
          </w:tcPr>
          <w:p>
            <w:pPr>
              <w:keepNext w:val="0"/>
              <w:keepLines w:val="0"/>
              <w:suppressLineNumbers w:val="0"/>
              <w:spacing w:before="0" w:beforeAutospacing="0" w:after="0" w:afterAutospacing="0" w:line="360" w:lineRule="auto"/>
              <w:ind w:left="0" w:right="0" w:firstLine="420" w:firstLineChars="200"/>
              <w:rPr>
                <w:rFonts w:hint="eastAsia" w:ascii="宋体" w:hAnsi="宋体"/>
                <w:sz w:val="21"/>
                <w:szCs w:val="21"/>
              </w:rPr>
            </w:pPr>
            <w:r>
              <w:rPr>
                <w:rFonts w:hint="eastAsia" w:ascii="宋体" w:hAnsi="宋体"/>
                <w:sz w:val="21"/>
                <w:szCs w:val="21"/>
              </w:rPr>
              <w:t>经查：部门根据监视和测量获得的数据和信息，组织相关部门进行了分析评价。包括：对公司及各部门质量目标完成情见进行分析，确定</w:t>
            </w:r>
            <w:r>
              <w:rPr>
                <w:rFonts w:hint="eastAsia" w:ascii="宋体" w:hAnsi="宋体"/>
                <w:sz w:val="21"/>
                <w:szCs w:val="21"/>
                <w:lang w:val="en-US" w:eastAsia="zh-CN"/>
              </w:rPr>
              <w:t>管理</w:t>
            </w:r>
            <w:r>
              <w:rPr>
                <w:rFonts w:hint="eastAsia" w:ascii="宋体" w:hAnsi="宋体"/>
                <w:sz w:val="21"/>
                <w:szCs w:val="21"/>
              </w:rPr>
              <w:t>体系运行状况（见管理评审输入）；对顾客满意有关的信息进行了分析，以确定顾客满意程度（见</w:t>
            </w:r>
            <w:r>
              <w:rPr>
                <w:rFonts w:hint="eastAsia" w:ascii="宋体" w:hAnsi="宋体"/>
                <w:sz w:val="21"/>
                <w:szCs w:val="21"/>
                <w:lang w:val="en-US" w:eastAsia="zh-CN"/>
              </w:rPr>
              <w:t>供销部</w:t>
            </w:r>
            <w:r>
              <w:rPr>
                <w:rFonts w:hint="eastAsia" w:ascii="宋体" w:hAnsi="宋体"/>
                <w:sz w:val="21"/>
                <w:szCs w:val="21"/>
              </w:rPr>
              <w:t>9.1.2）；</w:t>
            </w:r>
          </w:p>
          <w:p>
            <w:pPr>
              <w:keepNext w:val="0"/>
              <w:keepLines w:val="0"/>
              <w:suppressLineNumbers w:val="0"/>
              <w:spacing w:before="0" w:beforeAutospacing="0" w:after="0" w:afterAutospacing="0" w:line="360" w:lineRule="auto"/>
              <w:ind w:left="0" w:right="0" w:firstLine="420" w:firstLineChars="200"/>
              <w:rPr>
                <w:rFonts w:hint="eastAsia" w:ascii="宋体" w:hAnsi="宋体"/>
                <w:sz w:val="21"/>
                <w:szCs w:val="21"/>
              </w:rPr>
            </w:pPr>
            <w:r>
              <w:rPr>
                <w:rFonts w:hint="eastAsia" w:ascii="宋体" w:hAnsi="宋体"/>
                <w:sz w:val="21"/>
                <w:szCs w:val="21"/>
              </w:rPr>
              <w:t>对内部审核的有关信息和应对风险措施的有效性进行分析，以确定</w:t>
            </w:r>
            <w:r>
              <w:rPr>
                <w:rFonts w:hint="eastAsia" w:ascii="宋体" w:hAnsi="宋体"/>
                <w:sz w:val="21"/>
                <w:szCs w:val="21"/>
                <w:lang w:val="en-US" w:eastAsia="zh-CN"/>
              </w:rPr>
              <w:t>管理</w:t>
            </w:r>
            <w:r>
              <w:rPr>
                <w:rFonts w:hint="eastAsia" w:ascii="宋体" w:hAnsi="宋体"/>
                <w:sz w:val="21"/>
                <w:szCs w:val="21"/>
              </w:rPr>
              <w:t>管理体系的有效性（见</w:t>
            </w:r>
            <w:r>
              <w:rPr>
                <w:rFonts w:hint="eastAsia" w:ascii="宋体" w:hAnsi="宋体"/>
                <w:sz w:val="21"/>
                <w:szCs w:val="21"/>
                <w:lang w:val="en-US" w:eastAsia="zh-CN"/>
              </w:rPr>
              <w:t>办公室</w:t>
            </w:r>
            <w:r>
              <w:rPr>
                <w:rFonts w:hint="eastAsia" w:ascii="宋体" w:hAnsi="宋体"/>
                <w:sz w:val="21"/>
                <w:szCs w:val="21"/>
              </w:rPr>
              <w:t>9.2）。</w:t>
            </w:r>
          </w:p>
          <w:p>
            <w:pPr>
              <w:spacing w:line="360" w:lineRule="auto"/>
              <w:ind w:firstLine="420" w:firstLineChars="200"/>
              <w:rPr>
                <w:rFonts w:hint="eastAsia" w:ascii="宋体" w:hAnsi="宋体" w:cs="宋体"/>
                <w:sz w:val="21"/>
                <w:szCs w:val="21"/>
                <w:lang w:eastAsia="zh-CN"/>
              </w:rPr>
            </w:pPr>
            <w:r>
              <w:rPr>
                <w:rFonts w:hint="eastAsia" w:ascii="宋体" w:hAnsi="宋体"/>
                <w:sz w:val="21"/>
                <w:szCs w:val="21"/>
              </w:rPr>
              <w:t>部门在汇总以上分析结果的基础上，分析针对风险和机遇所采取措施的有效性，积极寻找</w:t>
            </w:r>
            <w:r>
              <w:rPr>
                <w:rFonts w:hint="eastAsia" w:ascii="宋体" w:hAnsi="宋体"/>
                <w:sz w:val="21"/>
                <w:szCs w:val="21"/>
                <w:lang w:val="en-US" w:eastAsia="zh-CN"/>
              </w:rPr>
              <w:t>管理</w:t>
            </w:r>
            <w:r>
              <w:rPr>
                <w:rFonts w:hint="eastAsia" w:ascii="宋体" w:hAnsi="宋体"/>
                <w:sz w:val="21"/>
                <w:szCs w:val="21"/>
              </w:rPr>
              <w:t>管理体系持续改进的机会，通过管理评审会议的改进决策进行</w:t>
            </w:r>
            <w:r>
              <w:rPr>
                <w:rFonts w:hint="eastAsia" w:ascii="宋体" w:hAnsi="宋体"/>
                <w:sz w:val="21"/>
                <w:szCs w:val="21"/>
                <w:lang w:val="en-US" w:eastAsia="zh-CN"/>
              </w:rPr>
              <w:t>管理</w:t>
            </w:r>
            <w:r>
              <w:rPr>
                <w:rFonts w:hint="eastAsia" w:ascii="宋体" w:hAnsi="宋体"/>
                <w:sz w:val="21"/>
                <w:szCs w:val="21"/>
              </w:rPr>
              <w:t>管理体系的持续改进（见相关部门检查表）。</w:t>
            </w:r>
          </w:p>
        </w:tc>
        <w:tc>
          <w:tcPr>
            <w:tcW w:w="1585" w:type="dxa"/>
          </w:tcPr>
          <w:p>
            <w:pPr>
              <w:spacing w:line="360" w:lineRule="auto"/>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vAlign w:val="top"/>
          </w:tcPr>
          <w:p>
            <w:pPr>
              <w:adjustRightInd w:val="0"/>
              <w:snapToGrid w:val="0"/>
              <w:spacing w:line="360" w:lineRule="auto"/>
              <w:jc w:val="left"/>
              <w:rPr>
                <w:rFonts w:hint="eastAsia" w:ascii="宋体" w:hAnsi="宋体" w:eastAsia="宋体" w:cs="新宋体"/>
                <w:kern w:val="2"/>
                <w:sz w:val="21"/>
                <w:szCs w:val="21"/>
                <w:lang w:val="en-US" w:eastAsia="zh-CN" w:bidi="ar-SA"/>
              </w:rPr>
            </w:pPr>
            <w:r>
              <w:rPr>
                <w:rFonts w:hint="eastAsia" w:ascii="宋体" w:hAnsi="宋体" w:cs="新宋体"/>
                <w:szCs w:val="21"/>
              </w:rPr>
              <w:t>监视、测量、分析与评估</w:t>
            </w:r>
          </w:p>
        </w:tc>
        <w:tc>
          <w:tcPr>
            <w:tcW w:w="998" w:type="dxa"/>
            <w:vAlign w:val="top"/>
          </w:tcPr>
          <w:p>
            <w:pPr>
              <w:spacing w:line="360" w:lineRule="auto"/>
              <w:rPr>
                <w:rFonts w:ascii="宋体" w:hAnsi="宋体" w:cs="新宋体"/>
                <w:szCs w:val="21"/>
              </w:rPr>
            </w:pPr>
            <w:r>
              <w:rPr>
                <w:rFonts w:hint="eastAsia" w:ascii="宋体" w:hAnsi="宋体" w:cs="新宋体"/>
                <w:szCs w:val="21"/>
              </w:rPr>
              <w:t xml:space="preserve">E9.1 </w:t>
            </w:r>
          </w:p>
          <w:p>
            <w:pPr>
              <w:spacing w:line="360" w:lineRule="auto"/>
              <w:rPr>
                <w:rFonts w:hint="eastAsia" w:ascii="宋体" w:hAnsi="宋体" w:eastAsia="宋体" w:cs="新宋体"/>
                <w:kern w:val="2"/>
                <w:sz w:val="21"/>
                <w:szCs w:val="21"/>
                <w:lang w:val="en-US" w:eastAsia="zh-CN" w:bidi="ar-SA"/>
              </w:rPr>
            </w:pPr>
            <w:r>
              <w:rPr>
                <w:rFonts w:hint="eastAsia" w:ascii="宋体" w:hAnsi="宋体" w:cs="新宋体"/>
                <w:szCs w:val="21"/>
              </w:rPr>
              <w:t>S9.1</w:t>
            </w:r>
          </w:p>
        </w:tc>
        <w:tc>
          <w:tcPr>
            <w:tcW w:w="10004" w:type="dxa"/>
            <w:vAlign w:val="top"/>
          </w:tcPr>
          <w:p>
            <w:pPr>
              <w:spacing w:line="360" w:lineRule="auto"/>
              <w:rPr>
                <w:rFonts w:ascii="宋体" w:hAnsi="宋体" w:cs="宋体"/>
                <w:szCs w:val="21"/>
              </w:rPr>
            </w:pPr>
            <w:r>
              <w:rPr>
                <w:rFonts w:hint="eastAsia" w:ascii="宋体" w:hAnsi="宋体" w:cs="宋体"/>
                <w:szCs w:val="21"/>
              </w:rPr>
              <w:t>----有《环境与职业健康安全运行管理制度》和管理文件。</w:t>
            </w:r>
          </w:p>
          <w:p>
            <w:pPr>
              <w:spacing w:line="360" w:lineRule="auto"/>
              <w:rPr>
                <w:rFonts w:ascii="宋体" w:hAnsi="宋体" w:cs="宋体"/>
                <w:szCs w:val="21"/>
              </w:rPr>
            </w:pPr>
            <w:r>
              <w:rPr>
                <w:rFonts w:hint="eastAsia" w:ascii="宋体" w:hAnsi="宋体" w:cs="宋体"/>
                <w:szCs w:val="21"/>
              </w:rPr>
              <w:t>◆查公司环境安全运行检查记录表</w:t>
            </w:r>
          </w:p>
          <w:p>
            <w:pPr>
              <w:spacing w:line="360" w:lineRule="auto"/>
              <w:ind w:firstLine="210" w:firstLineChars="100"/>
              <w:rPr>
                <w:rFonts w:hint="eastAsia" w:ascii="Times New Roman" w:hAnsi="Times New Roman" w:eastAsia="宋体" w:cs="Times New Roman"/>
                <w:szCs w:val="21"/>
                <w:u w:val="none"/>
                <w:lang w:val="en-US" w:eastAsia="zh-CN"/>
              </w:rPr>
            </w:pPr>
            <w:r>
              <w:rPr>
                <w:rFonts w:hint="eastAsia" w:ascii="宋体" w:hAnsi="宋体" w:cs="宋体"/>
                <w:szCs w:val="21"/>
              </w:rPr>
              <w:t>程序文件规定公司每月由</w:t>
            </w:r>
            <w:r>
              <w:rPr>
                <w:rFonts w:hint="eastAsia" w:ascii="宋体" w:hAnsi="宋体" w:cs="宋体"/>
                <w:szCs w:val="21"/>
                <w:lang w:eastAsia="zh-CN"/>
              </w:rPr>
              <w:t>办公室</w:t>
            </w:r>
            <w:r>
              <w:rPr>
                <w:rFonts w:hint="eastAsia" w:ascii="宋体" w:hAnsi="宋体" w:cs="宋体"/>
                <w:szCs w:val="21"/>
              </w:rPr>
              <w:t>组织人员对公司办公场所和服务场所的环境方面、安全消防方面的工程作业固体废弃物处理、生活垃圾处理、消防器材保养和检查等进行检查，检查结论：合格。提供有20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月至20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月份的安全环境检查月报记录。</w:t>
            </w:r>
          </w:p>
          <w:p>
            <w:pPr>
              <w:pStyle w:val="8"/>
              <w:spacing w:line="360" w:lineRule="auto"/>
              <w:ind w:firstLine="500"/>
              <w:rPr>
                <w:rFonts w:hint="default" w:ascii="宋体" w:hAnsi="宋体"/>
                <w:szCs w:val="21"/>
                <w:lang w:val="en-US" w:eastAsia="zh-CN"/>
              </w:rPr>
            </w:pPr>
            <w:r>
              <w:rPr>
                <w:rFonts w:hint="eastAsia" w:ascii="宋体" w:hAnsi="宋体"/>
                <w:szCs w:val="21"/>
                <w:lang w:val="en-US" w:eastAsia="zh-CN"/>
              </w:rPr>
              <w:t>查《劳保用品分发记录》，公司为员工提供了劳保用品，主要为防暑用品、手套、工作服、口罩、消毒洗手液等防护用品。</w:t>
            </w:r>
          </w:p>
          <w:p>
            <w:pPr>
              <w:spacing w:line="360" w:lineRule="auto"/>
              <w:ind w:firstLine="420" w:firstLineChars="200"/>
              <w:rPr>
                <w:rFonts w:ascii="宋体" w:hAnsi="宋体"/>
                <w:szCs w:val="21"/>
              </w:rPr>
            </w:pPr>
            <w:r>
              <w:rPr>
                <w:rFonts w:hint="eastAsia" w:ascii="宋体" w:hAnsi="宋体"/>
                <w:szCs w:val="21"/>
                <w:lang w:val="en-US" w:eastAsia="zh-CN"/>
              </w:rPr>
              <w:t>办公室</w:t>
            </w:r>
            <w:r>
              <w:rPr>
                <w:rFonts w:hint="eastAsia" w:ascii="宋体" w:hAnsi="宋体"/>
                <w:szCs w:val="21"/>
              </w:rPr>
              <w:t>运行控制基本符合规定要求。</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szCs w:val="21"/>
              </w:rPr>
              <w:t>部门运行控制能结合产品生命周期方法，基本符合规定要求。</w:t>
            </w:r>
            <w:r>
              <w:rPr>
                <w:rFonts w:hint="eastAsia" w:ascii="宋体" w:hAnsi="宋体" w:cs="宋体"/>
                <w:szCs w:val="21"/>
              </w:rPr>
              <w:t xml:space="preserve">  </w:t>
            </w:r>
          </w:p>
        </w:tc>
        <w:tc>
          <w:tcPr>
            <w:tcW w:w="1585" w:type="dxa"/>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vAlign w:val="top"/>
          </w:tcPr>
          <w:p>
            <w:pPr>
              <w:spacing w:line="360" w:lineRule="auto"/>
              <w:rPr>
                <w:rFonts w:hint="eastAsia" w:ascii="Times New Roman" w:hAnsi="Times New Roman" w:eastAsia="宋体" w:cs="Times New Roman"/>
                <w:kern w:val="2"/>
                <w:sz w:val="21"/>
                <w:u w:val="none"/>
                <w:lang w:val="en-US" w:eastAsia="zh-CN" w:bidi="ar-SA"/>
              </w:rPr>
            </w:pPr>
            <w:r>
              <w:rPr>
                <w:rFonts w:hint="eastAsia"/>
                <w:u w:val="none"/>
              </w:rPr>
              <w:t>内部审核</w:t>
            </w:r>
          </w:p>
        </w:tc>
        <w:tc>
          <w:tcPr>
            <w:tcW w:w="998" w:type="dxa"/>
            <w:vAlign w:val="top"/>
          </w:tcPr>
          <w:p>
            <w:pPr>
              <w:spacing w:line="360" w:lineRule="auto"/>
              <w:rPr>
                <w:rFonts w:hint="eastAsia" w:ascii="Times New Roman" w:hAnsi="Times New Roman" w:eastAsia="宋体" w:cs="Times New Roman"/>
                <w:kern w:val="2"/>
                <w:sz w:val="21"/>
                <w:u w:val="none"/>
                <w:lang w:val="en-US" w:eastAsia="zh-CN" w:bidi="ar-SA"/>
              </w:rPr>
            </w:pPr>
            <w:r>
              <w:rPr>
                <w:rFonts w:hint="eastAsia"/>
                <w:u w:val="none"/>
              </w:rPr>
              <w:t>QE</w:t>
            </w:r>
            <w:r>
              <w:rPr>
                <w:u w:val="none"/>
              </w:rPr>
              <w:t>O</w:t>
            </w:r>
            <w:r>
              <w:rPr>
                <w:rFonts w:hint="eastAsia"/>
                <w:u w:val="none"/>
              </w:rPr>
              <w:t>9.</w:t>
            </w:r>
            <w:r>
              <w:rPr>
                <w:u w:val="none"/>
              </w:rPr>
              <w:t>2</w:t>
            </w:r>
          </w:p>
        </w:tc>
        <w:tc>
          <w:tcPr>
            <w:tcW w:w="10004" w:type="dxa"/>
            <w:vAlign w:val="center"/>
          </w:tcPr>
          <w:p>
            <w:pPr>
              <w:spacing w:line="360" w:lineRule="auto"/>
              <w:rPr>
                <w:rFonts w:hint="eastAsia"/>
                <w:sz w:val="21"/>
                <w:szCs w:val="21"/>
              </w:rPr>
            </w:pPr>
            <w:r>
              <w:rPr>
                <w:rFonts w:hint="eastAsia"/>
                <w:sz w:val="21"/>
                <w:szCs w:val="21"/>
              </w:rPr>
              <w:t>编制《内部审核控制程序》，基本符合标准要求。</w:t>
            </w:r>
          </w:p>
          <w:p>
            <w:pPr>
              <w:spacing w:line="360" w:lineRule="auto"/>
              <w:rPr>
                <w:rFonts w:hint="eastAsia"/>
                <w:sz w:val="21"/>
                <w:szCs w:val="21"/>
              </w:rPr>
            </w:pPr>
            <w:r>
              <w:rPr>
                <w:rFonts w:hint="eastAsia"/>
                <w:sz w:val="21"/>
                <w:szCs w:val="21"/>
              </w:rPr>
              <w:t>经查问：总经理、管代、各部门主管均经培训并参加了内部审核。</w:t>
            </w:r>
          </w:p>
          <w:p>
            <w:pPr>
              <w:spacing w:line="360" w:lineRule="auto"/>
              <w:rPr>
                <w:rFonts w:hint="eastAsia"/>
                <w:sz w:val="21"/>
                <w:szCs w:val="21"/>
              </w:rPr>
            </w:pPr>
            <w:r>
              <w:rPr>
                <w:rFonts w:hint="eastAsia"/>
                <w:sz w:val="21"/>
                <w:szCs w:val="21"/>
              </w:rPr>
              <w:t>20</w:t>
            </w:r>
            <w:r>
              <w:rPr>
                <w:rFonts w:hint="eastAsia"/>
                <w:sz w:val="21"/>
                <w:szCs w:val="21"/>
                <w:lang w:val="en-US" w:eastAsia="zh-CN"/>
              </w:rPr>
              <w:t>22</w:t>
            </w:r>
            <w:r>
              <w:rPr>
                <w:rFonts w:hint="eastAsia"/>
                <w:sz w:val="21"/>
                <w:szCs w:val="21"/>
              </w:rPr>
              <w:t>.</w:t>
            </w:r>
            <w:r>
              <w:rPr>
                <w:rFonts w:hint="eastAsia"/>
                <w:sz w:val="21"/>
                <w:szCs w:val="21"/>
                <w:lang w:val="en-US" w:eastAsia="zh-CN"/>
              </w:rPr>
              <w:t>4</w:t>
            </w:r>
            <w:r>
              <w:rPr>
                <w:rFonts w:hint="eastAsia"/>
                <w:sz w:val="21"/>
                <w:szCs w:val="21"/>
              </w:rPr>
              <w:t>.</w:t>
            </w:r>
            <w:r>
              <w:rPr>
                <w:rFonts w:hint="eastAsia"/>
                <w:sz w:val="21"/>
                <w:szCs w:val="21"/>
                <w:lang w:val="en-US" w:eastAsia="zh-CN"/>
              </w:rPr>
              <w:t>12-13</w:t>
            </w:r>
            <w:r>
              <w:rPr>
                <w:rFonts w:hint="eastAsia"/>
                <w:sz w:val="21"/>
                <w:szCs w:val="21"/>
              </w:rPr>
              <w:t>开展内部审核活动，并提供有以下内审的资料：</w:t>
            </w:r>
          </w:p>
          <w:p>
            <w:pPr>
              <w:spacing w:line="360" w:lineRule="auto"/>
              <w:rPr>
                <w:rFonts w:hint="eastAsia"/>
                <w:sz w:val="21"/>
                <w:szCs w:val="21"/>
              </w:rPr>
            </w:pPr>
            <w:r>
              <w:rPr>
                <w:rFonts w:hint="eastAsia"/>
                <w:sz w:val="21"/>
                <w:szCs w:val="21"/>
              </w:rPr>
              <w:t>——《审核实施计划》，批准：</w:t>
            </w:r>
            <w:r>
              <w:rPr>
                <w:rFonts w:hint="eastAsia"/>
                <w:sz w:val="21"/>
                <w:szCs w:val="21"/>
                <w:lang w:eastAsia="zh-CN"/>
              </w:rPr>
              <w:t>赵新时</w:t>
            </w:r>
            <w:r>
              <w:rPr>
                <w:rFonts w:hint="eastAsia"/>
                <w:sz w:val="21"/>
                <w:szCs w:val="21"/>
              </w:rPr>
              <w:t>。计划中规定审核的目的、依据、范围、时间、审核安排；审核组成员</w:t>
            </w:r>
            <w:r>
              <w:rPr>
                <w:rFonts w:hint="eastAsia"/>
                <w:sz w:val="21"/>
                <w:szCs w:val="21"/>
                <w:lang w:val="en-US" w:eastAsia="zh-CN"/>
              </w:rPr>
              <w:t>,</w:t>
            </w:r>
            <w:r>
              <w:rPr>
                <w:rFonts w:hint="eastAsia"/>
                <w:sz w:val="21"/>
                <w:szCs w:val="21"/>
              </w:rPr>
              <w:t>组长：方晓静   组员：杨秧（A）  魏婉茹（B）</w:t>
            </w:r>
          </w:p>
          <w:p>
            <w:pPr>
              <w:spacing w:line="360" w:lineRule="auto"/>
              <w:rPr>
                <w:rFonts w:hint="eastAsia"/>
                <w:sz w:val="21"/>
                <w:szCs w:val="21"/>
              </w:rPr>
            </w:pPr>
            <w:r>
              <w:rPr>
                <w:rFonts w:hint="eastAsia"/>
                <w:sz w:val="21"/>
                <w:szCs w:val="21"/>
              </w:rPr>
              <w:t>计划中没有漏标准条款、没有遗漏体系覆盖的部门和场所，内审员没有审核自己的工作。</w:t>
            </w:r>
          </w:p>
          <w:p>
            <w:pPr>
              <w:spacing w:line="360" w:lineRule="auto"/>
              <w:rPr>
                <w:rFonts w:hint="eastAsia"/>
                <w:sz w:val="21"/>
                <w:szCs w:val="21"/>
              </w:rPr>
            </w:pPr>
            <w:r>
              <w:rPr>
                <w:rFonts w:hint="eastAsia"/>
                <w:sz w:val="21"/>
                <w:szCs w:val="21"/>
              </w:rPr>
              <w:t>——内审首末次会议签到（领导层、各部门负责人）；</w:t>
            </w:r>
          </w:p>
          <w:p>
            <w:pPr>
              <w:spacing w:line="360" w:lineRule="auto"/>
              <w:rPr>
                <w:rFonts w:hint="eastAsia"/>
                <w:sz w:val="21"/>
                <w:szCs w:val="21"/>
              </w:rPr>
            </w:pPr>
            <w:r>
              <w:rPr>
                <w:rFonts w:hint="eastAsia"/>
                <w:sz w:val="21"/>
                <w:szCs w:val="21"/>
              </w:rPr>
              <w:t>——内部审核检查表，审核按计划进行，没有遗漏标准条款及体系覆盖的部门和场所，内审员没有审核自己的工作。</w:t>
            </w:r>
          </w:p>
          <w:p>
            <w:pPr>
              <w:spacing w:line="360" w:lineRule="auto"/>
              <w:rPr>
                <w:rFonts w:hint="default" w:eastAsia="黑体"/>
                <w:sz w:val="21"/>
                <w:szCs w:val="21"/>
                <w:lang w:val="en-US" w:eastAsia="zh-CN"/>
              </w:rPr>
            </w:pPr>
            <w:r>
              <w:rPr>
                <w:rFonts w:hint="eastAsia"/>
                <w:sz w:val="21"/>
                <w:szCs w:val="21"/>
              </w:rPr>
              <w:t>——本次内审发现</w:t>
            </w:r>
            <w:r>
              <w:rPr>
                <w:rFonts w:hint="eastAsia"/>
                <w:sz w:val="21"/>
                <w:szCs w:val="21"/>
                <w:lang w:val="en-US" w:eastAsia="zh-CN"/>
              </w:rPr>
              <w:t>1</w:t>
            </w:r>
            <w:r>
              <w:rPr>
                <w:rFonts w:hint="eastAsia"/>
                <w:sz w:val="21"/>
                <w:szCs w:val="21"/>
              </w:rPr>
              <w:t>项不合格，为一般不符合项，查看《不符合报告》</w:t>
            </w:r>
            <w:r>
              <w:rPr>
                <w:rFonts w:hint="eastAsia"/>
                <w:sz w:val="21"/>
                <w:szCs w:val="21"/>
                <w:lang w:eastAsia="zh-CN"/>
              </w:rPr>
              <w:t>：</w:t>
            </w:r>
            <w:r>
              <w:rPr>
                <w:rFonts w:hint="eastAsia"/>
                <w:sz w:val="21"/>
                <w:szCs w:val="21"/>
              </w:rPr>
              <w:t>查202</w:t>
            </w:r>
            <w:r>
              <w:rPr>
                <w:rFonts w:hint="eastAsia"/>
                <w:sz w:val="21"/>
                <w:szCs w:val="21"/>
                <w:lang w:val="en-US" w:eastAsia="zh-CN"/>
              </w:rPr>
              <w:t>2</w:t>
            </w:r>
            <w:r>
              <w:rPr>
                <w:rFonts w:hint="eastAsia"/>
                <w:sz w:val="21"/>
                <w:szCs w:val="21"/>
              </w:rPr>
              <w:t>年3月</w:t>
            </w:r>
            <w:r>
              <w:rPr>
                <w:rFonts w:hint="eastAsia"/>
                <w:sz w:val="21"/>
                <w:szCs w:val="21"/>
                <w:lang w:val="en-US" w:eastAsia="zh-CN"/>
              </w:rPr>
              <w:t>1</w:t>
            </w:r>
            <w:r>
              <w:rPr>
                <w:rFonts w:hint="eastAsia"/>
                <w:sz w:val="21"/>
                <w:szCs w:val="21"/>
              </w:rPr>
              <w:t>4日销售部未对“陕西晨希齿轮有限公司”进行供应商评价。不符合GB/T 19001-2016标准中8.4.1条款的要求。不符合原因分析准确，并制定了纠正及纠正预防措施，且措施可行，并对其有效性进行了验证，验证人：</w:t>
            </w:r>
            <w:r>
              <w:rPr>
                <w:rFonts w:hint="eastAsia"/>
                <w:sz w:val="21"/>
                <w:szCs w:val="21"/>
                <w:lang w:eastAsia="zh-CN"/>
              </w:rPr>
              <w:t>杨秧秧</w:t>
            </w:r>
            <w:r>
              <w:rPr>
                <w:rFonts w:hint="eastAsia"/>
                <w:sz w:val="21"/>
                <w:szCs w:val="21"/>
              </w:rPr>
              <w:t>20</w:t>
            </w:r>
            <w:r>
              <w:rPr>
                <w:rFonts w:hint="eastAsia"/>
                <w:sz w:val="21"/>
                <w:szCs w:val="21"/>
                <w:lang w:val="en-US" w:eastAsia="zh-CN"/>
              </w:rPr>
              <w:t>22</w:t>
            </w:r>
            <w:r>
              <w:rPr>
                <w:rFonts w:hint="eastAsia"/>
                <w:sz w:val="21"/>
                <w:szCs w:val="21"/>
              </w:rPr>
              <w:t>.</w:t>
            </w:r>
            <w:r>
              <w:rPr>
                <w:rFonts w:hint="eastAsia"/>
                <w:sz w:val="21"/>
                <w:szCs w:val="21"/>
                <w:lang w:val="en-US" w:eastAsia="zh-CN"/>
              </w:rPr>
              <w:t>4.18</w:t>
            </w:r>
          </w:p>
          <w:p>
            <w:pPr>
              <w:spacing w:line="360" w:lineRule="auto"/>
              <w:rPr>
                <w:rFonts w:hint="eastAsia"/>
                <w:sz w:val="21"/>
                <w:szCs w:val="21"/>
              </w:rPr>
            </w:pPr>
            <w:r>
              <w:rPr>
                <w:rFonts w:hint="eastAsia"/>
                <w:sz w:val="21"/>
                <w:szCs w:val="21"/>
              </w:rPr>
              <w:t>——本次内审编制有《内部管理体系审核报告》，对内审进行了综述和体系运行情况的评价，对纠正措施提出整改的要求。</w:t>
            </w:r>
          </w:p>
          <w:p>
            <w:pPr>
              <w:spacing w:line="360" w:lineRule="auto"/>
              <w:rPr>
                <w:rFonts w:hint="eastAsia" w:ascii="Times New Roman" w:hAnsi="Times New Roman" w:eastAsia="宋体" w:cs="Times New Roman"/>
                <w:kern w:val="2"/>
                <w:sz w:val="21"/>
                <w:szCs w:val="21"/>
                <w:u w:val="none"/>
                <w:lang w:val="en-US" w:eastAsia="zh-CN" w:bidi="ar-SA"/>
              </w:rPr>
            </w:pPr>
            <w:r>
              <w:rPr>
                <w:rFonts w:hint="eastAsia"/>
                <w:sz w:val="21"/>
                <w:szCs w:val="21"/>
              </w:rPr>
              <w:t>结论：公司的质量、环境、职业健康安全管理体系基本符合标准要求，且适宜、有效。</w:t>
            </w:r>
          </w:p>
        </w:tc>
        <w:tc>
          <w:tcPr>
            <w:tcW w:w="1585" w:type="dxa"/>
            <w:vAlign w:val="top"/>
          </w:tcPr>
          <w:p>
            <w:pPr>
              <w:spacing w:line="360" w:lineRule="auto"/>
              <w:rPr>
                <w:rFonts w:hint="eastAsia" w:ascii="Times New Roman" w:hAnsi="Times New Roman" w:eastAsia="宋体" w:cs="Times New Roman"/>
                <w:kern w:val="2"/>
                <w:sz w:val="21"/>
                <w:u w:val="none"/>
                <w:lang w:val="en-US" w:eastAsia="zh-CN" w:bidi="ar-SA"/>
              </w:rPr>
            </w:pPr>
            <w:r>
              <w:rPr>
                <w:rFonts w:hint="eastAsia"/>
                <w:u w:val="none"/>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vAlign w:val="top"/>
          </w:tcPr>
          <w:p>
            <w:pPr>
              <w:spacing w:line="360" w:lineRule="auto"/>
              <w:rPr>
                <w:rFonts w:hint="eastAsia"/>
                <w:u w:val="none"/>
              </w:rPr>
            </w:pPr>
            <w:r>
              <w:rPr>
                <w:rFonts w:hint="eastAsia" w:ascii="宋体" w:hAnsi="宋体" w:cs="Arial"/>
                <w:sz w:val="21"/>
                <w:szCs w:val="21"/>
              </w:rPr>
              <w:t>不符合/事件和纠正措施</w:t>
            </w:r>
          </w:p>
        </w:tc>
        <w:tc>
          <w:tcPr>
            <w:tcW w:w="998" w:type="dxa"/>
            <w:vAlign w:val="top"/>
          </w:tcPr>
          <w:p>
            <w:pPr>
              <w:spacing w:line="360" w:lineRule="auto"/>
              <w:rPr>
                <w:rFonts w:hint="eastAsia"/>
                <w:u w:val="none"/>
              </w:rPr>
            </w:pPr>
            <w:r>
              <w:rPr>
                <w:rFonts w:hint="eastAsia"/>
                <w:u w:val="none"/>
              </w:rPr>
              <w:t>QE</w:t>
            </w:r>
            <w:r>
              <w:rPr>
                <w:u w:val="none"/>
              </w:rPr>
              <w:t>O</w:t>
            </w:r>
            <w:r>
              <w:rPr>
                <w:rFonts w:hint="eastAsia"/>
                <w:u w:val="none"/>
                <w:lang w:val="en-US" w:eastAsia="zh-CN"/>
              </w:rPr>
              <w:t>10</w:t>
            </w:r>
            <w:r>
              <w:rPr>
                <w:rFonts w:hint="eastAsia"/>
                <w:u w:val="none"/>
              </w:rPr>
              <w:t>.</w:t>
            </w:r>
            <w:r>
              <w:rPr>
                <w:u w:val="none"/>
              </w:rPr>
              <w:t>2</w:t>
            </w:r>
          </w:p>
        </w:tc>
        <w:tc>
          <w:tcPr>
            <w:tcW w:w="10004" w:type="dxa"/>
            <w:vAlign w:val="center"/>
          </w:tcPr>
          <w:p>
            <w:pPr>
              <w:spacing w:line="360" w:lineRule="auto"/>
              <w:ind w:firstLine="480" w:firstLineChars="0"/>
              <w:jc w:val="left"/>
              <w:rPr>
                <w:rFonts w:hint="default" w:ascii="Times New Roman" w:hAnsi="Times New Roman" w:eastAsia="宋体" w:cs="Times New Roman"/>
                <w:szCs w:val="21"/>
                <w:u w:val="none"/>
              </w:rPr>
            </w:pPr>
            <w:r>
              <w:rPr>
                <w:rFonts w:hint="eastAsia" w:ascii="Times New Roman" w:hAnsi="Times New Roman" w:eastAsia="宋体" w:cs="Times New Roman"/>
                <w:szCs w:val="21"/>
                <w:u w:val="none"/>
              </w:rPr>
              <w:t>查：公司编制有</w:t>
            </w:r>
            <w:r>
              <w:rPr>
                <w:rFonts w:hint="eastAsia" w:ascii="Times New Roman" w:hAnsi="Times New Roman" w:eastAsia="宋体" w:cs="Times New Roman"/>
                <w:szCs w:val="21"/>
                <w:u w:val="none"/>
                <w:lang w:eastAsia="zh-CN"/>
              </w:rPr>
              <w:t>《</w:t>
            </w:r>
            <w:r>
              <w:rPr>
                <w:rFonts w:hint="eastAsia" w:ascii="Times New Roman" w:hAnsi="Times New Roman" w:eastAsia="宋体" w:cs="Times New Roman"/>
                <w:szCs w:val="21"/>
                <w:u w:val="none"/>
              </w:rPr>
              <w:t>不符合控制程序</w:t>
            </w:r>
            <w:r>
              <w:rPr>
                <w:rFonts w:hint="eastAsia" w:ascii="Times New Roman" w:hAnsi="Times New Roman" w:eastAsia="宋体" w:cs="Times New Roman"/>
                <w:szCs w:val="21"/>
                <w:u w:val="none"/>
                <w:lang w:eastAsia="zh-CN"/>
              </w:rPr>
              <w:t>》</w:t>
            </w:r>
            <w:r>
              <w:rPr>
                <w:rFonts w:hint="eastAsia" w:ascii="Times New Roman" w:hAnsi="Times New Roman" w:eastAsia="宋体" w:cs="Times New Roman"/>
                <w:szCs w:val="21"/>
                <w:u w:val="none"/>
              </w:rPr>
              <w:t>《纠正措施控制程序》，规定了发现不合格应采取纠正措施的具体要求，并按要求进行了控制。</w:t>
            </w:r>
          </w:p>
          <w:p>
            <w:pPr>
              <w:spacing w:line="360" w:lineRule="auto"/>
              <w:ind w:firstLine="480" w:firstLineChars="0"/>
              <w:jc w:val="left"/>
              <w:rPr>
                <w:rFonts w:hint="default" w:ascii="Times New Roman" w:hAnsi="Times New Roman" w:eastAsia="宋体" w:cs="Times New Roman"/>
                <w:szCs w:val="21"/>
                <w:u w:val="none"/>
              </w:rPr>
            </w:pPr>
            <w:r>
              <w:rPr>
                <w:rFonts w:hint="eastAsia" w:ascii="Times New Roman" w:hAnsi="Times New Roman" w:eastAsia="宋体" w:cs="Times New Roman"/>
                <w:szCs w:val="21"/>
                <w:u w:val="none"/>
              </w:rPr>
              <w:t>抽查内审《不符合报告》，针对内审中发现的不合格事实，责任部门进行了原因分析，制定了纠正措施并实施，涉及</w:t>
            </w:r>
            <w:r>
              <w:rPr>
                <w:rFonts w:hint="eastAsia"/>
                <w:sz w:val="21"/>
                <w:szCs w:val="21"/>
                <w:lang w:val="en-US" w:eastAsia="zh-CN"/>
              </w:rPr>
              <w:t>销售部</w:t>
            </w:r>
            <w:r>
              <w:rPr>
                <w:rFonts w:hint="eastAsia" w:cs="Times New Roman"/>
                <w:szCs w:val="21"/>
                <w:u w:val="none"/>
                <w:lang w:val="en-US" w:eastAsia="zh-CN"/>
              </w:rPr>
              <w:t>8.4.1</w:t>
            </w:r>
            <w:r>
              <w:rPr>
                <w:rFonts w:hint="eastAsia" w:ascii="Times New Roman" w:hAnsi="Times New Roman" w:eastAsia="宋体" w:cs="Times New Roman"/>
                <w:szCs w:val="21"/>
                <w:u w:val="none"/>
                <w:lang w:val="en-US" w:eastAsia="zh-CN"/>
              </w:rPr>
              <w:t>条</w:t>
            </w:r>
            <w:r>
              <w:rPr>
                <w:rFonts w:hint="eastAsia" w:ascii="Times New Roman" w:hAnsi="Times New Roman" w:eastAsia="宋体" w:cs="Times New Roman"/>
                <w:szCs w:val="21"/>
                <w:u w:val="none"/>
              </w:rPr>
              <w:t>款的不符合项，经验证整改有效。</w:t>
            </w:r>
          </w:p>
          <w:p>
            <w:pPr>
              <w:spacing w:line="360" w:lineRule="auto"/>
              <w:ind w:firstLine="480" w:firstLineChars="0"/>
              <w:jc w:val="left"/>
              <w:rPr>
                <w:rFonts w:hint="eastAsia" w:ascii="Times New Roman" w:hAnsi="Times New Roman" w:eastAsia="宋体" w:cs="Times New Roman"/>
                <w:szCs w:val="21"/>
                <w:u w:val="none"/>
              </w:rPr>
            </w:pPr>
            <w:r>
              <w:rPr>
                <w:rFonts w:hint="eastAsia" w:ascii="Times New Roman" w:hAnsi="Times New Roman" w:eastAsia="宋体" w:cs="Times New Roman"/>
                <w:szCs w:val="21"/>
                <w:u w:val="none"/>
              </w:rPr>
              <w:t>体系运行的</w:t>
            </w:r>
            <w:r>
              <w:rPr>
                <w:rFonts w:hint="default" w:ascii="Times New Roman" w:hAnsi="Times New Roman" w:eastAsia="宋体" w:cs="Times New Roman"/>
                <w:szCs w:val="21"/>
                <w:u w:val="none"/>
              </w:rPr>
              <w:t>其他方面经过日常工作检查和数据分析，暂未发现应采取纠正和预防措施的机会。日后应进一步加大日常工作检查力度，及时发现不符合及潜在不符合并及时采取相应措施，持续改进体系的有效性。</w:t>
            </w:r>
          </w:p>
        </w:tc>
        <w:tc>
          <w:tcPr>
            <w:tcW w:w="1585" w:type="dxa"/>
            <w:vAlign w:val="top"/>
          </w:tcPr>
          <w:p>
            <w:pPr>
              <w:spacing w:line="360" w:lineRule="auto"/>
              <w:rPr>
                <w:rFonts w:hint="eastAsia"/>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4709" w:type="dxa"/>
            <w:gridSpan w:val="4"/>
          </w:tcPr>
          <w:p>
            <w:pPr>
              <w:spacing w:line="360" w:lineRule="auto"/>
              <w:rPr>
                <w:rFonts w:hint="eastAsia"/>
              </w:rPr>
            </w:pPr>
            <w:r>
              <w:rPr>
                <w:rFonts w:hint="eastAsia"/>
                <w:lang w:val="en-US" w:eastAsia="zh-CN"/>
              </w:rPr>
              <w:t>备注：</w:t>
            </w:r>
          </w:p>
        </w:tc>
      </w:tr>
    </w:tbl>
    <w:p>
      <w:r>
        <w:ptab w:relativeTo="margin" w:alignment="center" w:leader="none"/>
      </w:r>
    </w:p>
    <w:p>
      <w:pPr>
        <w:pStyle w:val="4"/>
        <w:rPr>
          <w:rFonts w:hint="eastAsia"/>
        </w:rPr>
      </w:pPr>
      <w:r>
        <w:rPr>
          <w:rFonts w:hint="eastAsia"/>
        </w:rPr>
        <w:t>说明：不符合标注N</w:t>
      </w:r>
    </w:p>
    <w:p>
      <w:pPr>
        <w:rPr>
          <w:rFonts w:hint="eastAsia"/>
        </w:rPr>
      </w:pPr>
      <w:r>
        <w:rPr>
          <w:rFonts w:hint="eastAsia"/>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98"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rFonts w:hint="eastAsia" w:eastAsia="宋体"/>
                <w:sz w:val="24"/>
                <w:szCs w:val="24"/>
                <w:lang w:eastAsia="zh-CN"/>
              </w:rPr>
            </w:pPr>
            <w:r>
              <w:rPr>
                <w:rFonts w:hint="eastAsia"/>
                <w:sz w:val="24"/>
                <w:szCs w:val="24"/>
              </w:rPr>
              <w:t>受审核部门：</w:t>
            </w:r>
            <w:r>
              <w:rPr>
                <w:rFonts w:hint="eastAsia"/>
                <w:sz w:val="24"/>
                <w:szCs w:val="24"/>
                <w:lang w:val="en-US" w:eastAsia="zh-CN"/>
              </w:rPr>
              <w:t>办公室/财务部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eastAsia="zh-CN"/>
              </w:rPr>
              <w:t>杨秧秧</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eastAsia="zh-CN"/>
              </w:rPr>
              <w:t>冯勇</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pPr>
              <w:spacing w:line="360" w:lineRule="auto"/>
            </w:pPr>
          </w:p>
        </w:tc>
        <w:tc>
          <w:tcPr>
            <w:tcW w:w="998" w:type="dxa"/>
            <w:vMerge w:val="continue"/>
            <w:vAlign w:val="center"/>
          </w:tcPr>
          <w:p>
            <w:pPr>
              <w:spacing w:line="360" w:lineRule="auto"/>
            </w:pPr>
          </w:p>
        </w:tc>
        <w:tc>
          <w:tcPr>
            <w:tcW w:w="10004" w:type="dxa"/>
            <w:vAlign w:val="center"/>
          </w:tcPr>
          <w:p>
            <w:pPr>
              <w:spacing w:before="120" w:line="360" w:lineRule="auto"/>
              <w:rPr>
                <w:rFonts w:hint="default" w:eastAsia="宋体"/>
                <w:sz w:val="24"/>
                <w:szCs w:val="24"/>
                <w:lang w:val="en-US" w:eastAsia="zh-CN"/>
              </w:rPr>
            </w:pPr>
            <w:r>
              <w:rPr>
                <w:rFonts w:hint="eastAsia"/>
                <w:sz w:val="24"/>
                <w:szCs w:val="24"/>
              </w:rPr>
              <w:t>审核员：</w:t>
            </w:r>
            <w:r>
              <w:rPr>
                <w:rFonts w:hint="eastAsia"/>
                <w:sz w:val="24"/>
                <w:szCs w:val="24"/>
                <w:lang w:val="en-US" w:eastAsia="zh-CN"/>
              </w:rPr>
              <w:t xml:space="preserve">郭力       </w:t>
            </w:r>
            <w:r>
              <w:rPr>
                <w:rFonts w:hint="eastAsia"/>
                <w:sz w:val="24"/>
                <w:szCs w:val="24"/>
              </w:rPr>
              <w:t>审核时间：202</w:t>
            </w:r>
            <w:r>
              <w:rPr>
                <w:rFonts w:hint="eastAsia"/>
                <w:sz w:val="24"/>
                <w:szCs w:val="24"/>
                <w:lang w:val="en-US" w:eastAsia="zh-CN"/>
              </w:rPr>
              <w:t>2</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31</w:t>
            </w:r>
            <w:r>
              <w:rPr>
                <w:rFonts w:hint="eastAsia"/>
                <w:sz w:val="24"/>
                <w:szCs w:val="24"/>
              </w:rPr>
              <w:t>日</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pPr>
              <w:spacing w:line="360" w:lineRule="auto"/>
            </w:pPr>
          </w:p>
        </w:tc>
        <w:tc>
          <w:tcPr>
            <w:tcW w:w="998" w:type="dxa"/>
            <w:vMerge w:val="continue"/>
            <w:vAlign w:val="center"/>
          </w:tcPr>
          <w:p>
            <w:pPr>
              <w:spacing w:line="360" w:lineRule="auto"/>
            </w:pPr>
          </w:p>
        </w:tc>
        <w:tc>
          <w:tcPr>
            <w:tcW w:w="10004" w:type="dxa"/>
            <w:vAlign w:val="center"/>
          </w:tcPr>
          <w:p>
            <w:pPr>
              <w:adjustRightInd w:val="0"/>
              <w:snapToGrid w:val="0"/>
              <w:spacing w:line="360" w:lineRule="auto"/>
              <w:ind w:right="105" w:rightChars="50"/>
              <w:textAlignment w:val="baseline"/>
              <w:rPr>
                <w:rFonts w:hint="default" w:ascii="宋体" w:hAnsi="宋体" w:eastAsia="宋体" w:cs="Arial"/>
                <w:color w:val="auto"/>
                <w:spacing w:val="-6"/>
                <w:sz w:val="21"/>
                <w:szCs w:val="21"/>
                <w:lang w:val="en-US" w:eastAsia="zh-CN"/>
              </w:rPr>
            </w:pPr>
            <w:r>
              <w:rPr>
                <w:rFonts w:hint="eastAsia"/>
                <w:sz w:val="24"/>
                <w:szCs w:val="24"/>
              </w:rPr>
              <w:t>审核条款</w:t>
            </w:r>
            <w:r>
              <w:rPr>
                <w:rFonts w:hint="eastAsia" w:ascii="宋体" w:hAnsi="宋体" w:cs="Arial"/>
                <w:color w:val="auto"/>
                <w:sz w:val="21"/>
                <w:szCs w:val="21"/>
                <w:lang w:val="en-US" w:eastAsia="zh-CN"/>
              </w:rPr>
              <w:t>QE:</w:t>
            </w:r>
            <w:r>
              <w:rPr>
                <w:rFonts w:hint="eastAsia" w:ascii="宋体" w:hAnsi="宋体" w:cs="Arial"/>
                <w:color w:val="auto"/>
                <w:sz w:val="21"/>
                <w:szCs w:val="21"/>
              </w:rPr>
              <w:t>7.1.2、7.1.6、7.2、7.3、</w:t>
            </w:r>
            <w:r>
              <w:rPr>
                <w:rFonts w:hint="eastAsia" w:ascii="宋体" w:hAnsi="宋体" w:cs="Arial"/>
                <w:color w:val="auto"/>
                <w:spacing w:val="-6"/>
                <w:sz w:val="21"/>
                <w:szCs w:val="21"/>
              </w:rPr>
              <w:t>7.4</w:t>
            </w:r>
            <w:r>
              <w:rPr>
                <w:rFonts w:hint="eastAsia" w:ascii="宋体" w:hAnsi="宋体" w:cs="Arial"/>
                <w:color w:val="auto"/>
                <w:spacing w:val="-6"/>
                <w:sz w:val="21"/>
                <w:szCs w:val="21"/>
                <w:lang w:eastAsia="zh-CN"/>
              </w:rPr>
              <w:t>、</w:t>
            </w:r>
            <w:r>
              <w:rPr>
                <w:rFonts w:hint="eastAsia" w:ascii="宋体" w:hAnsi="宋体" w:cs="Arial"/>
                <w:color w:val="auto"/>
                <w:sz w:val="21"/>
                <w:szCs w:val="21"/>
              </w:rPr>
              <w:t>7.5.1、7.5.2</w:t>
            </w:r>
            <w:r>
              <w:rPr>
                <w:rFonts w:hint="eastAsia" w:ascii="宋体" w:hAnsi="宋体" w:cs="Arial"/>
                <w:color w:val="auto"/>
                <w:spacing w:val="-6"/>
                <w:sz w:val="21"/>
                <w:szCs w:val="21"/>
              </w:rPr>
              <w:t>、7.5.3</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lang w:val="en-US" w:eastAsia="zh-CN"/>
              </w:rPr>
              <w:t>9.1.3</w:t>
            </w:r>
          </w:p>
          <w:p>
            <w:pPr>
              <w:adjustRightInd w:val="0"/>
              <w:snapToGrid w:val="0"/>
              <w:spacing w:line="360" w:lineRule="auto"/>
              <w:ind w:right="105" w:rightChars="50"/>
              <w:textAlignment w:val="baseline"/>
              <w:rPr>
                <w:sz w:val="24"/>
                <w:szCs w:val="24"/>
              </w:rPr>
            </w:pPr>
            <w:r>
              <w:rPr>
                <w:rFonts w:hint="eastAsia" w:ascii="宋体" w:hAnsi="宋体" w:cs="Arial"/>
                <w:color w:val="auto"/>
                <w:spacing w:val="-6"/>
                <w:sz w:val="21"/>
                <w:szCs w:val="21"/>
                <w:lang w:val="en-US" w:eastAsia="zh-CN"/>
              </w:rPr>
              <w:t xml:space="preserve">            E：</w:t>
            </w:r>
            <w:r>
              <w:rPr>
                <w:rFonts w:hint="eastAsia" w:asciiTheme="minorEastAsia" w:hAnsiTheme="minorEastAsia" w:eastAsiaTheme="minorEastAsia" w:cstheme="minorEastAsia"/>
                <w:b w:val="0"/>
                <w:bCs w:val="0"/>
                <w:color w:val="auto"/>
                <w:sz w:val="21"/>
                <w:szCs w:val="21"/>
                <w:lang w:val="en-US" w:eastAsia="zh-CN"/>
              </w:rPr>
              <w:t>6.1.3、6.1.4、6.2.1、6.2.2</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spacing w:line="360" w:lineRule="auto"/>
              <w:rPr>
                <w:rFonts w:ascii="Times New Roman" w:hAnsi="Times New Roman" w:eastAsia="宋体" w:cs="Times New Roman"/>
                <w:kern w:val="2"/>
                <w:sz w:val="21"/>
                <w:lang w:val="en-US" w:eastAsia="zh-CN" w:bidi="ar-SA"/>
              </w:rPr>
            </w:pPr>
            <w:r>
              <w:rPr>
                <w:rFonts w:hint="eastAsia" w:asciiTheme="minorEastAsia" w:hAnsiTheme="minorEastAsia" w:eastAsiaTheme="minorEastAsia" w:cstheme="minorEastAsia"/>
                <w:sz w:val="21"/>
                <w:szCs w:val="21"/>
                <w:highlight w:val="none"/>
                <w:lang w:val="en-US" w:eastAsia="zh-CN"/>
              </w:rPr>
              <w:t>环境因素识别及控制措施</w:t>
            </w:r>
          </w:p>
        </w:tc>
        <w:tc>
          <w:tcPr>
            <w:tcW w:w="998" w:type="dxa"/>
            <w:vAlign w:val="top"/>
          </w:tcPr>
          <w:p>
            <w:pPr>
              <w:spacing w:line="360" w:lineRule="auto"/>
              <w:rPr>
                <w:rFonts w:ascii="Times New Roman" w:hAnsi="Times New Roman" w:eastAsia="宋体" w:cs="Times New Roman"/>
                <w:kern w:val="2"/>
                <w:sz w:val="21"/>
                <w:lang w:val="en-US" w:eastAsia="zh-CN" w:bidi="ar-SA"/>
              </w:rPr>
            </w:pPr>
            <w:r>
              <w:rPr>
                <w:rFonts w:hint="eastAsia" w:asciiTheme="minorEastAsia" w:hAnsiTheme="minorEastAsia" w:eastAsiaTheme="minorEastAsia" w:cstheme="minorEastAsia"/>
                <w:sz w:val="21"/>
                <w:szCs w:val="21"/>
                <w:highlight w:val="none"/>
                <w:lang w:val="en-US" w:eastAsia="zh-CN"/>
              </w:rPr>
              <w:t>E:6.1.4</w:t>
            </w:r>
          </w:p>
        </w:tc>
        <w:tc>
          <w:tcPr>
            <w:tcW w:w="10004" w:type="dxa"/>
            <w:vAlign w:val="top"/>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编制《</w:t>
            </w:r>
            <w:r>
              <w:rPr>
                <w:rFonts w:hint="eastAsia" w:ascii="宋体" w:hAnsi="宋体" w:cs="宋体"/>
                <w:szCs w:val="21"/>
              </w:rPr>
              <w:t>环境因素识别和评价控制程序</w:t>
            </w:r>
            <w:r>
              <w:rPr>
                <w:rFonts w:hint="eastAsia" w:ascii="宋体" w:hAnsi="宋体" w:cs="宋体"/>
                <w:szCs w:val="21"/>
                <w:lang w:val="en-US" w:eastAsia="zh-CN"/>
              </w:rPr>
              <w:t>》、《风险和机遇的应对措施控制程序》等程序，按照相关程序执行。</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提供《环境因素识别排查表》识别了办公区、</w:t>
            </w:r>
            <w:r>
              <w:rPr>
                <w:rFonts w:hint="eastAsia" w:ascii="宋体" w:hAnsi="宋体" w:cs="宋体"/>
                <w:szCs w:val="21"/>
                <w:lang w:eastAsia="zh-CN"/>
              </w:rPr>
              <w:t>螺旋（双）转子流量计、普通电磁流量计、楔形流量计、三转子流量计、指示型转子流量计、螺旋单转子流量计、智能控制注水仪、金属刮板流量计、旋进漩涡气体流量计、质量流量计的生产及销售</w:t>
            </w:r>
            <w:r>
              <w:rPr>
                <w:rFonts w:hint="eastAsia" w:ascii="宋体" w:hAnsi="宋体" w:cs="宋体"/>
                <w:szCs w:val="21"/>
              </w:rPr>
              <w:t>过程</w:t>
            </w:r>
            <w:r>
              <w:rPr>
                <w:rFonts w:hint="eastAsia" w:ascii="宋体" w:hAnsi="宋体" w:cs="宋体"/>
                <w:szCs w:val="21"/>
                <w:lang w:val="en-US" w:eastAsia="zh-CN"/>
              </w:rPr>
              <w:t>等环境因素包括：水的消耗、电的消耗、办公用</w:t>
            </w:r>
            <w:r>
              <w:rPr>
                <w:rFonts w:hint="eastAsia" w:ascii="宋体" w:hAnsi="宋体" w:eastAsia="宋体" w:cs="宋体"/>
                <w:szCs w:val="21"/>
                <w:lang w:val="en-US" w:eastAsia="zh-CN"/>
              </w:rPr>
              <w:t>品的消耗、汽车尾气的排放、</w:t>
            </w:r>
            <w:r>
              <w:rPr>
                <w:rFonts w:hint="eastAsia" w:ascii="宋体" w:hAnsi="宋体" w:cs="宋体"/>
                <w:szCs w:val="21"/>
                <w:lang w:val="en-US" w:eastAsia="zh-CN"/>
              </w:rPr>
              <w:t>生活垃圾的排放、纸箱、包装物的废弃物、电灯产生的废弃物等；</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提供《重要环境因素清</w:t>
            </w:r>
            <w:r>
              <w:rPr>
                <w:rFonts w:hint="eastAsia" w:ascii="宋体" w:hAnsi="宋体" w:eastAsia="宋体" w:cs="宋体"/>
                <w:szCs w:val="21"/>
                <w:lang w:val="en-US" w:eastAsia="zh-CN"/>
              </w:rPr>
              <w:t>单》</w:t>
            </w:r>
            <w:r>
              <w:rPr>
                <w:rFonts w:hint="eastAsia" w:ascii="宋体" w:hAnsi="宋体" w:cs="宋体"/>
                <w:szCs w:val="21"/>
                <w:lang w:val="en-US" w:eastAsia="zh-CN"/>
              </w:rPr>
              <w:t>2</w:t>
            </w:r>
            <w:r>
              <w:rPr>
                <w:rFonts w:hint="eastAsia" w:ascii="宋体" w:hAnsi="宋体" w:eastAsia="宋体" w:cs="宋体"/>
                <w:szCs w:val="21"/>
                <w:lang w:val="en-US" w:eastAsia="zh-CN"/>
              </w:rPr>
              <w:t>项，包括</w:t>
            </w:r>
            <w:r>
              <w:rPr>
                <w:rFonts w:hint="eastAsia"/>
                <w:sz w:val="21"/>
                <w:szCs w:val="21"/>
              </w:rPr>
              <w:t>资源能源消耗、固体废弃物排放、噪声排放、火灾的发生，评价准确。</w:t>
            </w:r>
          </w:p>
          <w:p>
            <w:pPr>
              <w:pStyle w:val="8"/>
              <w:spacing w:line="360" w:lineRule="auto"/>
              <w:rPr>
                <w:rFonts w:ascii="宋体" w:hAnsi="宋体" w:cs="宋体"/>
                <w:szCs w:val="21"/>
              </w:rPr>
            </w:pPr>
            <w:r>
              <w:rPr>
                <w:rFonts w:hint="eastAsia" w:asciiTheme="minorEastAsia" w:hAnsiTheme="minorEastAsia" w:eastAsiaTheme="minorEastAsia" w:cstheme="minorEastAsia"/>
                <w:bCs w:val="0"/>
                <w:spacing w:val="0"/>
                <w:kern w:val="2"/>
                <w:sz w:val="21"/>
                <w:szCs w:val="21"/>
                <w:highlight w:val="none"/>
                <w:lang w:val="en-US" w:eastAsia="zh-CN" w:bidi="ar-SA"/>
              </w:rPr>
              <w:t>以上重要环境因素清单中制定了针对性控制措施，措施基本有效。</w:t>
            </w:r>
          </w:p>
        </w:tc>
        <w:tc>
          <w:tcPr>
            <w:tcW w:w="1585" w:type="dxa"/>
            <w:vAlign w:val="top"/>
          </w:tcPr>
          <w:p>
            <w:pPr>
              <w:spacing w:line="360" w:lineRule="auto"/>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法律法规和其他要求和合规性评价</w:t>
            </w:r>
          </w:p>
        </w:tc>
        <w:tc>
          <w:tcPr>
            <w:tcW w:w="998" w:type="dxa"/>
            <w:vAlign w:val="top"/>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E</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6.1.3</w:t>
            </w:r>
          </w:p>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E</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9.1.2</w:t>
            </w:r>
          </w:p>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p>
        </w:tc>
        <w:tc>
          <w:tcPr>
            <w:tcW w:w="10004" w:type="dxa"/>
            <w:vAlign w:val="top"/>
          </w:tcPr>
          <w:p>
            <w:pPr>
              <w:spacing w:line="360" w:lineRule="auto"/>
              <w:rPr>
                <w:rFonts w:hint="eastAsia"/>
                <w:lang w:val="en-US" w:eastAsia="zh-CN"/>
              </w:rPr>
            </w:pPr>
            <w:r>
              <w:rPr>
                <w:rFonts w:hint="eastAsia"/>
              </w:rPr>
              <w:t>有</w:t>
            </w:r>
            <w:r>
              <w:rPr>
                <w:rFonts w:hint="eastAsia"/>
                <w:lang w:eastAsia="zh-CN"/>
              </w:rPr>
              <w:t>《</w:t>
            </w:r>
            <w:r>
              <w:rPr>
                <w:rFonts w:hint="eastAsia"/>
              </w:rPr>
              <w:t>法律法规及其他要求控制程序</w:t>
            </w:r>
            <w:r>
              <w:rPr>
                <w:rFonts w:hint="eastAsia"/>
                <w:lang w:eastAsia="zh-CN"/>
              </w:rPr>
              <w:t>》</w:t>
            </w:r>
            <w:r>
              <w:rPr>
                <w:rFonts w:hint="eastAsia"/>
              </w:rPr>
              <w:t>、</w:t>
            </w:r>
            <w:r>
              <w:rPr>
                <w:rFonts w:hint="eastAsia"/>
                <w:lang w:eastAsia="zh-CN"/>
              </w:rPr>
              <w:t>《</w:t>
            </w:r>
            <w:r>
              <w:rPr>
                <w:rFonts w:hint="eastAsia"/>
              </w:rPr>
              <w:t>合规性评价控制程序</w:t>
            </w:r>
            <w:r>
              <w:rPr>
                <w:rFonts w:hint="eastAsia"/>
                <w:lang w:eastAsia="zh-CN"/>
              </w:rPr>
              <w:t>》</w:t>
            </w:r>
            <w:r>
              <w:rPr>
                <w:rFonts w:hint="eastAsia"/>
                <w:lang w:val="en-US" w:eastAsia="zh-CN"/>
              </w:rPr>
              <w:t>等，</w:t>
            </w:r>
          </w:p>
          <w:p>
            <w:pPr>
              <w:spacing w:line="360" w:lineRule="auto"/>
              <w:rPr>
                <w:rFonts w:hint="eastAsia"/>
              </w:rPr>
            </w:pPr>
            <w:r>
              <w:rPr>
                <w:rFonts w:hint="eastAsia"/>
              </w:rPr>
              <w:t>提供公司适用的法律法规及要求清单，主要有质量法、合同法、环境保护法、环境噪声污染防治法、劳动法、消防法、环境空气质量标准、固体废弃物环境防治法、仓库防火安全管理规则、劳动保护用品管理规定、GB12348-2008《工业企业厂界环境噪声排放标准》、GB3095-2012《环境空气质量标准》、GBZ2-2007《工作场所有害因素职业接触限值》、GB/T19001-2016《质量管理体系 要求》、GB/T24001-2016《环境管理体系 要求及使用指南》、GB/T28001-2011《职业健康安全管理体系 要求》及相关产品标准</w:t>
            </w:r>
          </w:p>
          <w:p>
            <w:pPr>
              <w:spacing w:line="360" w:lineRule="auto"/>
              <w:rPr>
                <w:rFonts w:hint="eastAsia"/>
              </w:rPr>
            </w:pPr>
            <w:r>
              <w:rPr>
                <w:rFonts w:hint="eastAsia"/>
              </w:rPr>
              <w:t>产品执行的标准：</w:t>
            </w:r>
          </w:p>
          <w:p>
            <w:pPr>
              <w:spacing w:line="360" w:lineRule="auto"/>
              <w:jc w:val="left"/>
              <w:rPr>
                <w:rFonts w:hint="eastAsia"/>
              </w:rPr>
            </w:pPr>
            <w:r>
              <w:rPr>
                <w:rFonts w:hint="eastAsia"/>
              </w:rPr>
              <w:t>管道式电磁流量计在线校准要求CJ/T 364-2011、湿式气体流量计DB50/T 541-2014、封闭管道中气体流量的测量 涡轮流量计GB/T 18940-2003、封闭管道中流体流量的测量 热式质量流量计GB/T 20727-2006、流体流量测量 流量计性能表述方法GB/T 22133-2008、智能气体流量计GB/T 28848-2012、基于HART协议的电磁流量计通用技术条件GB/T 29815-2013、基于HART协议的质量流量计通用技术条件GB/T 29818-2013、科里奥利质量流量计GB/T 31130-2014、气体流量计GB/T 32201-2015、气体旋进旋涡流量计GB/T 36241-2018、螺旋双转子流量计JB/T 13391-2018、涡街流量计JB/T 9249-2015、流量计量名词术语及定义JJF 1004-2004、质量流量计检定规程JJG (石化) 001-1995、涡轮流量计检定规程JJG 1037-2008、三转子流量计Q/SXXL007-2015、双转子流量计Q/SXXL005-2015</w:t>
            </w:r>
            <w:r>
              <w:rPr>
                <w:rFonts w:hint="eastAsia"/>
                <w:lang w:eastAsia="zh-CN"/>
              </w:rPr>
              <w:t>、</w:t>
            </w:r>
            <w:r>
              <w:rPr>
                <w:rFonts w:hint="eastAsia"/>
              </w:rPr>
              <w:t>《商品经营服务质量管理规范》GB/T16868-2009等；</w:t>
            </w:r>
          </w:p>
          <w:p>
            <w:pPr>
              <w:spacing w:line="360" w:lineRule="auto"/>
              <w:ind w:left="360"/>
              <w:rPr>
                <w:rFonts w:hint="eastAsia"/>
              </w:rPr>
            </w:pPr>
            <w:r>
              <w:rPr>
                <w:rFonts w:hint="eastAsia"/>
              </w:rPr>
              <w:t>获取方式：网上查录或购买，经查阅为现行有效版本，目前满足体系运行需要。</w:t>
            </w:r>
          </w:p>
          <w:p>
            <w:pPr>
              <w:spacing w:line="360" w:lineRule="auto"/>
              <w:rPr>
                <w:rFonts w:hint="eastAsia"/>
                <w:sz w:val="21"/>
                <w:szCs w:val="21"/>
              </w:rPr>
            </w:pPr>
            <w:r>
              <w:rPr>
                <w:rFonts w:hint="eastAsia"/>
                <w:sz w:val="21"/>
                <w:szCs w:val="21"/>
              </w:rPr>
              <w:t>查合规性评价：20</w:t>
            </w:r>
            <w:r>
              <w:rPr>
                <w:rFonts w:hint="eastAsia"/>
                <w:sz w:val="21"/>
                <w:szCs w:val="21"/>
                <w:lang w:val="en-US" w:eastAsia="zh-CN"/>
              </w:rPr>
              <w:t>20</w:t>
            </w:r>
            <w:r>
              <w:rPr>
                <w:rFonts w:hint="eastAsia"/>
                <w:sz w:val="21"/>
                <w:szCs w:val="21"/>
              </w:rPr>
              <w:t>年</w:t>
            </w:r>
            <w:r>
              <w:rPr>
                <w:rFonts w:hint="eastAsia"/>
                <w:sz w:val="21"/>
                <w:szCs w:val="21"/>
                <w:lang w:val="en-US" w:eastAsia="zh-CN"/>
              </w:rPr>
              <w:t>6</w:t>
            </w:r>
            <w:r>
              <w:rPr>
                <w:rFonts w:hint="eastAsia"/>
                <w:sz w:val="21"/>
                <w:szCs w:val="21"/>
              </w:rPr>
              <w:t>月</w:t>
            </w:r>
            <w:r>
              <w:rPr>
                <w:rFonts w:hint="eastAsia"/>
                <w:sz w:val="21"/>
                <w:szCs w:val="21"/>
                <w:lang w:val="en-US" w:eastAsia="zh-CN"/>
              </w:rPr>
              <w:t>5</w:t>
            </w:r>
            <w:r>
              <w:rPr>
                <w:rFonts w:hint="eastAsia"/>
                <w:sz w:val="21"/>
                <w:szCs w:val="21"/>
              </w:rPr>
              <w:t>日进行合规性评价，提供了《合规性评价表》，内容包括：活动场所/产品/服务、重要环境因素、不可接受风险、现有控制措施、适用的法律法规及其对应条款、符合性评价等。</w:t>
            </w:r>
          </w:p>
          <w:p>
            <w:pPr>
              <w:spacing w:line="360" w:lineRule="auto"/>
              <w:rPr>
                <w:rFonts w:hint="eastAsia"/>
                <w:sz w:val="21"/>
                <w:szCs w:val="21"/>
              </w:rPr>
            </w:pPr>
            <w:r>
              <w:rPr>
                <w:rFonts w:hint="eastAsia"/>
                <w:sz w:val="21"/>
                <w:szCs w:val="21"/>
              </w:rPr>
              <w:t>评价了相关的法律法规，涉及火灾、固废排放、资源消耗、机械伤害、触电等</w:t>
            </w:r>
          </w:p>
          <w:p>
            <w:pPr>
              <w:spacing w:line="360" w:lineRule="auto"/>
              <w:rPr>
                <w:rFonts w:hint="eastAsia"/>
                <w:sz w:val="21"/>
                <w:szCs w:val="21"/>
              </w:rPr>
            </w:pPr>
            <w:r>
              <w:rPr>
                <w:rFonts w:hint="eastAsia"/>
                <w:sz w:val="21"/>
                <w:szCs w:val="21"/>
              </w:rPr>
              <w:t>评价结果：公司能够按照有关法律法规、公司文件进行控制、检查，能够遵守国家、地方的法律法规，合规性评价符合要求。</w:t>
            </w:r>
          </w:p>
          <w:p>
            <w:pPr>
              <w:spacing w:line="360" w:lineRule="auto"/>
            </w:pPr>
            <w:r>
              <w:rPr>
                <w:rFonts w:hint="eastAsia"/>
                <w:sz w:val="21"/>
                <w:szCs w:val="21"/>
              </w:rPr>
              <w:t>批准/日期：</w:t>
            </w:r>
            <w:r>
              <w:rPr>
                <w:rFonts w:hint="eastAsia"/>
                <w:sz w:val="21"/>
                <w:szCs w:val="21"/>
                <w:lang w:eastAsia="zh-CN"/>
              </w:rPr>
              <w:t>赵新时</w:t>
            </w:r>
            <w:r>
              <w:rPr>
                <w:rFonts w:hint="eastAsia"/>
                <w:sz w:val="21"/>
                <w:szCs w:val="21"/>
              </w:rPr>
              <w:t xml:space="preserve"> 20</w:t>
            </w:r>
            <w:r>
              <w:rPr>
                <w:rFonts w:hint="eastAsia"/>
                <w:sz w:val="21"/>
                <w:szCs w:val="21"/>
                <w:lang w:val="en-US" w:eastAsia="zh-CN"/>
              </w:rPr>
              <w:t>20</w:t>
            </w:r>
            <w:r>
              <w:rPr>
                <w:rFonts w:hint="eastAsia"/>
                <w:sz w:val="21"/>
                <w:szCs w:val="21"/>
              </w:rPr>
              <w:t>.</w:t>
            </w:r>
            <w:r>
              <w:rPr>
                <w:rFonts w:hint="eastAsia"/>
                <w:sz w:val="21"/>
                <w:szCs w:val="21"/>
                <w:lang w:val="en-US" w:eastAsia="zh-CN"/>
              </w:rPr>
              <w:t>6</w:t>
            </w:r>
            <w:r>
              <w:rPr>
                <w:rFonts w:hint="eastAsia"/>
                <w:sz w:val="21"/>
                <w:szCs w:val="21"/>
              </w:rPr>
              <w:t>.</w:t>
            </w:r>
            <w:r>
              <w:rPr>
                <w:rFonts w:hint="eastAsia"/>
                <w:sz w:val="21"/>
                <w:szCs w:val="21"/>
                <w:lang w:val="en-US" w:eastAsia="zh-CN"/>
              </w:rPr>
              <w:t>5</w:t>
            </w:r>
          </w:p>
        </w:tc>
        <w:tc>
          <w:tcPr>
            <w:tcW w:w="1585" w:type="dxa"/>
            <w:vAlign w:val="top"/>
          </w:tcPr>
          <w:p>
            <w:pPr>
              <w:spacing w:line="360" w:lineRule="auto"/>
              <w:rPr>
                <w:rFonts w:hint="eastAsia"/>
              </w:rPr>
            </w:pPr>
            <w:r>
              <w:rPr>
                <w:rFonts w:hint="eastAsia"/>
              </w:rPr>
              <w:t>Y</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360" w:lineRule="auto"/>
              <w:rPr>
                <w:rFonts w:ascii="宋体" w:hAnsi="宋体" w:cs="宋体"/>
                <w:szCs w:val="21"/>
              </w:rPr>
            </w:pPr>
            <w:r>
              <w:rPr>
                <w:rFonts w:hint="eastAsia" w:ascii="宋体" w:hAnsi="宋体" w:cs="宋体"/>
                <w:szCs w:val="21"/>
              </w:rPr>
              <w:t>管理目标及其实现的策划</w:t>
            </w:r>
          </w:p>
          <w:p>
            <w:pPr>
              <w:spacing w:line="360" w:lineRule="auto"/>
              <w:rPr>
                <w:rFonts w:ascii="宋体" w:hAnsi="宋体" w:cs="宋体"/>
                <w:szCs w:val="21"/>
              </w:rPr>
            </w:pPr>
          </w:p>
        </w:tc>
        <w:tc>
          <w:tcPr>
            <w:tcW w:w="998" w:type="dxa"/>
          </w:tcPr>
          <w:p>
            <w:pPr>
              <w:spacing w:line="360" w:lineRule="auto"/>
              <w:rPr>
                <w:szCs w:val="21"/>
              </w:rPr>
            </w:pPr>
            <w:r>
              <w:rPr>
                <w:rFonts w:hint="eastAsia"/>
                <w:szCs w:val="21"/>
              </w:rPr>
              <w:t>Q6.2</w:t>
            </w:r>
          </w:p>
          <w:p>
            <w:pPr>
              <w:spacing w:line="360" w:lineRule="auto"/>
              <w:rPr>
                <w:szCs w:val="21"/>
              </w:rPr>
            </w:pPr>
            <w:r>
              <w:rPr>
                <w:rFonts w:hint="eastAsia"/>
                <w:szCs w:val="21"/>
              </w:rPr>
              <w:t>E6.2.1</w:t>
            </w:r>
          </w:p>
        </w:tc>
        <w:tc>
          <w:tcPr>
            <w:tcW w:w="10004" w:type="dxa"/>
            <w:vAlign w:val="center"/>
          </w:tcPr>
          <w:p>
            <w:pPr>
              <w:spacing w:line="360" w:lineRule="auto"/>
              <w:rPr>
                <w:rFonts w:hint="eastAsia"/>
                <w:sz w:val="21"/>
                <w:szCs w:val="21"/>
              </w:rPr>
            </w:pPr>
            <w:r>
              <w:rPr>
                <w:rFonts w:hint="eastAsia"/>
                <w:sz w:val="21"/>
                <w:szCs w:val="21"/>
              </w:rPr>
              <w:t>出示了20</w:t>
            </w:r>
            <w:r>
              <w:rPr>
                <w:rFonts w:hint="eastAsia"/>
                <w:sz w:val="21"/>
                <w:szCs w:val="21"/>
                <w:lang w:val="en-US" w:eastAsia="zh-CN"/>
              </w:rPr>
              <w:t>22</w:t>
            </w:r>
            <w:r>
              <w:rPr>
                <w:rFonts w:hint="eastAsia"/>
                <w:sz w:val="21"/>
                <w:szCs w:val="21"/>
              </w:rPr>
              <w:t>年</w:t>
            </w:r>
            <w:r>
              <w:rPr>
                <w:rFonts w:hint="eastAsia"/>
                <w:sz w:val="21"/>
                <w:szCs w:val="21"/>
                <w:lang w:val="en-US" w:eastAsia="zh-CN"/>
              </w:rPr>
              <w:t>1、2季</w:t>
            </w:r>
            <w:r>
              <w:rPr>
                <w:rFonts w:hint="eastAsia"/>
                <w:sz w:val="21"/>
                <w:szCs w:val="21"/>
              </w:rPr>
              <w:t>度目标完成情况如下：</w:t>
            </w:r>
          </w:p>
          <w:p>
            <w:pPr>
              <w:spacing w:line="360" w:lineRule="auto"/>
              <w:rPr>
                <w:rFonts w:hint="eastAsia"/>
                <w:sz w:val="21"/>
                <w:szCs w:val="21"/>
              </w:rPr>
            </w:pPr>
            <w:r>
              <w:rPr>
                <w:rFonts w:hint="eastAsia"/>
                <w:sz w:val="21"/>
                <w:szCs w:val="21"/>
              </w:rPr>
              <w:t>部门目标：               考核情况</w:t>
            </w:r>
          </w:p>
          <w:p>
            <w:pPr>
              <w:spacing w:line="360" w:lineRule="auto"/>
              <w:rPr>
                <w:rFonts w:hint="eastAsia"/>
                <w:sz w:val="21"/>
                <w:szCs w:val="21"/>
              </w:rPr>
            </w:pPr>
            <w:r>
              <w:rPr>
                <w:rFonts w:hint="eastAsia"/>
                <w:sz w:val="21"/>
                <w:szCs w:val="21"/>
              </w:rPr>
              <w:t>文件发放有效率100%；     100%</w:t>
            </w:r>
          </w:p>
          <w:p>
            <w:pPr>
              <w:spacing w:line="360" w:lineRule="auto"/>
              <w:rPr>
                <w:rFonts w:hint="eastAsia"/>
                <w:sz w:val="21"/>
                <w:szCs w:val="21"/>
              </w:rPr>
            </w:pPr>
            <w:r>
              <w:rPr>
                <w:rFonts w:hint="eastAsia"/>
                <w:sz w:val="21"/>
                <w:szCs w:val="21"/>
              </w:rPr>
              <w:t>培训计划完成率98%；      100%</w:t>
            </w:r>
          </w:p>
          <w:p>
            <w:pPr>
              <w:spacing w:line="360" w:lineRule="auto"/>
              <w:rPr>
                <w:rFonts w:hint="eastAsia"/>
                <w:sz w:val="21"/>
                <w:szCs w:val="21"/>
              </w:rPr>
            </w:pPr>
            <w:r>
              <w:rPr>
                <w:rFonts w:hint="eastAsia"/>
                <w:sz w:val="21"/>
                <w:szCs w:val="21"/>
              </w:rPr>
              <w:t>固废分类处置率100%；      100%</w:t>
            </w:r>
          </w:p>
          <w:p>
            <w:pPr>
              <w:spacing w:line="360" w:lineRule="auto"/>
              <w:rPr>
                <w:rFonts w:hint="eastAsia"/>
                <w:sz w:val="21"/>
                <w:szCs w:val="21"/>
              </w:rPr>
            </w:pPr>
            <w:r>
              <w:rPr>
                <w:rFonts w:hint="eastAsia"/>
                <w:sz w:val="21"/>
                <w:szCs w:val="21"/>
              </w:rPr>
              <w:t>安全及火灾事故为0；         0</w:t>
            </w:r>
          </w:p>
          <w:p>
            <w:pPr>
              <w:spacing w:line="360" w:lineRule="auto"/>
              <w:rPr>
                <w:rFonts w:hint="eastAsia"/>
                <w:sz w:val="21"/>
                <w:szCs w:val="21"/>
              </w:rPr>
            </w:pPr>
            <w:r>
              <w:rPr>
                <w:rFonts w:hint="eastAsia"/>
                <w:sz w:val="21"/>
                <w:szCs w:val="21"/>
              </w:rPr>
              <w:t>环保安全资金落实率100%    100%</w:t>
            </w:r>
          </w:p>
          <w:p>
            <w:pPr>
              <w:spacing w:line="360" w:lineRule="auto"/>
              <w:rPr>
                <w:rFonts w:hint="eastAsia"/>
                <w:sz w:val="21"/>
                <w:szCs w:val="21"/>
              </w:rPr>
            </w:pPr>
            <w:r>
              <w:rPr>
                <w:rFonts w:hint="eastAsia"/>
                <w:sz w:val="21"/>
                <w:szCs w:val="21"/>
              </w:rPr>
              <w:t>每3个月进行一次考核，目标基本实现。</w:t>
            </w:r>
          </w:p>
          <w:p>
            <w:pPr>
              <w:spacing w:line="360" w:lineRule="auto"/>
              <w:rPr>
                <w:rFonts w:hint="eastAsia" w:eastAsia="宋体"/>
                <w:sz w:val="21"/>
                <w:szCs w:val="21"/>
                <w:lang w:eastAsia="zh-CN"/>
              </w:rPr>
            </w:pPr>
            <w:r>
              <w:rPr>
                <w:rFonts w:hint="eastAsia"/>
                <w:sz w:val="21"/>
                <w:szCs w:val="21"/>
              </w:rPr>
              <w:t xml:space="preserve">考核人： </w:t>
            </w:r>
            <w:r>
              <w:rPr>
                <w:rFonts w:hint="eastAsia"/>
                <w:sz w:val="21"/>
                <w:szCs w:val="21"/>
                <w:lang w:eastAsia="zh-CN"/>
              </w:rPr>
              <w:t>杨秧秧</w:t>
            </w:r>
            <w:r>
              <w:rPr>
                <w:rFonts w:hint="eastAsia"/>
                <w:sz w:val="21"/>
                <w:szCs w:val="21"/>
              </w:rPr>
              <w:t xml:space="preserve">    20</w:t>
            </w:r>
            <w:r>
              <w:rPr>
                <w:rFonts w:hint="eastAsia"/>
                <w:sz w:val="21"/>
                <w:szCs w:val="21"/>
                <w:lang w:val="en-US" w:eastAsia="zh-CN"/>
              </w:rPr>
              <w:t>22</w:t>
            </w:r>
            <w:r>
              <w:rPr>
                <w:rFonts w:hint="eastAsia"/>
                <w:sz w:val="21"/>
                <w:szCs w:val="21"/>
              </w:rPr>
              <w:t>.</w:t>
            </w:r>
            <w:r>
              <w:rPr>
                <w:rFonts w:hint="eastAsia"/>
                <w:sz w:val="21"/>
                <w:szCs w:val="21"/>
                <w:lang w:val="en-US" w:eastAsia="zh-CN"/>
              </w:rPr>
              <w:t>5</w:t>
            </w:r>
            <w:r>
              <w:rPr>
                <w:rFonts w:hint="eastAsia"/>
                <w:sz w:val="21"/>
                <w:szCs w:val="21"/>
              </w:rPr>
              <w:t>.</w:t>
            </w:r>
            <w:r>
              <w:rPr>
                <w:rFonts w:hint="eastAsia"/>
                <w:sz w:val="21"/>
                <w:szCs w:val="21"/>
                <w:lang w:val="en-US" w:eastAsia="zh-CN"/>
              </w:rPr>
              <w:t>28</w:t>
            </w:r>
          </w:p>
          <w:p>
            <w:pPr>
              <w:spacing w:line="360" w:lineRule="auto"/>
              <w:rPr>
                <w:rFonts w:hint="eastAsia"/>
                <w:sz w:val="21"/>
                <w:szCs w:val="21"/>
              </w:rPr>
            </w:pPr>
            <w:r>
              <w:rPr>
                <w:rFonts w:hint="eastAsia"/>
                <w:sz w:val="21"/>
                <w:szCs w:val="21"/>
              </w:rPr>
              <w:t>抽查管理方案情况</w:t>
            </w:r>
          </w:p>
          <w:p>
            <w:pPr>
              <w:spacing w:line="360" w:lineRule="auto"/>
              <w:rPr>
                <w:rFonts w:hint="eastAsia"/>
                <w:sz w:val="21"/>
                <w:szCs w:val="21"/>
              </w:rPr>
            </w:pPr>
            <w:r>
              <w:rPr>
                <w:rFonts w:hint="eastAsia"/>
                <w:sz w:val="21"/>
                <w:szCs w:val="21"/>
              </w:rPr>
              <w:t>环境目标指标：废弃物100%分类堆放处置</w:t>
            </w:r>
          </w:p>
          <w:p>
            <w:pPr>
              <w:spacing w:line="360" w:lineRule="auto"/>
              <w:rPr>
                <w:rFonts w:hint="eastAsia"/>
                <w:sz w:val="21"/>
                <w:szCs w:val="21"/>
              </w:rPr>
            </w:pPr>
            <w:r>
              <w:rPr>
                <w:rFonts w:hint="eastAsia"/>
                <w:sz w:val="21"/>
                <w:szCs w:val="21"/>
              </w:rPr>
              <w:t>管理方案：1.对员工进行相应的培训；并加强日常的宣传、教育，确保固废集中收存；2.加强过程控制，工序改善、工艺改进、操作规范、实现固体废弃物最小化要求；3.设定专门的垃圾存入场所，做好防雨、防风、防渗漏，杜绝二次污染。</w:t>
            </w:r>
          </w:p>
          <w:p>
            <w:pPr>
              <w:spacing w:line="360" w:lineRule="auto"/>
              <w:rPr>
                <w:rFonts w:hint="eastAsia"/>
                <w:sz w:val="21"/>
                <w:szCs w:val="21"/>
              </w:rPr>
            </w:pPr>
            <w:r>
              <w:rPr>
                <w:rFonts w:hint="eastAsia"/>
                <w:sz w:val="21"/>
                <w:szCs w:val="21"/>
              </w:rPr>
              <w:t>完成时间：20</w:t>
            </w:r>
            <w:r>
              <w:rPr>
                <w:rFonts w:hint="eastAsia"/>
                <w:sz w:val="21"/>
                <w:szCs w:val="21"/>
                <w:lang w:val="en-US" w:eastAsia="zh-CN"/>
              </w:rPr>
              <w:t>21</w:t>
            </w:r>
            <w:r>
              <w:rPr>
                <w:rFonts w:hint="eastAsia"/>
                <w:sz w:val="21"/>
                <w:szCs w:val="21"/>
              </w:rPr>
              <w:t>.</w:t>
            </w:r>
            <w:r>
              <w:rPr>
                <w:rFonts w:hint="eastAsia"/>
                <w:sz w:val="21"/>
                <w:szCs w:val="21"/>
                <w:lang w:val="en-US" w:eastAsia="zh-CN"/>
              </w:rPr>
              <w:t>5</w:t>
            </w:r>
            <w:r>
              <w:rPr>
                <w:rFonts w:hint="eastAsia"/>
                <w:sz w:val="21"/>
                <w:szCs w:val="21"/>
              </w:rPr>
              <w:t>-</w:t>
            </w:r>
            <w:r>
              <w:rPr>
                <w:rFonts w:hint="eastAsia"/>
                <w:sz w:val="21"/>
                <w:szCs w:val="21"/>
                <w:lang w:val="en-US" w:eastAsia="zh-CN"/>
              </w:rPr>
              <w:t>2022.5</w:t>
            </w:r>
            <w:r>
              <w:rPr>
                <w:rFonts w:hint="eastAsia"/>
                <w:sz w:val="21"/>
                <w:szCs w:val="21"/>
              </w:rPr>
              <w:t xml:space="preserve">费用5000元 </w:t>
            </w:r>
          </w:p>
          <w:p>
            <w:pPr>
              <w:spacing w:line="360" w:lineRule="auto"/>
              <w:rPr>
                <w:rFonts w:hint="eastAsia"/>
                <w:sz w:val="21"/>
                <w:szCs w:val="21"/>
              </w:rPr>
            </w:pPr>
            <w:r>
              <w:rPr>
                <w:rFonts w:hint="eastAsia"/>
                <w:sz w:val="21"/>
                <w:szCs w:val="21"/>
              </w:rPr>
              <w:t>责任部门：各部门，监控部门：办公室</w:t>
            </w:r>
          </w:p>
          <w:p>
            <w:pPr>
              <w:spacing w:line="360" w:lineRule="auto"/>
              <w:ind w:firstLine="420" w:firstLineChars="200"/>
              <w:rPr>
                <w:rFonts w:ascii="宋体" w:hAnsi="宋体" w:cs="宋体"/>
                <w:szCs w:val="21"/>
              </w:rPr>
            </w:pPr>
            <w:r>
              <w:rPr>
                <w:rFonts w:hint="eastAsia"/>
                <w:sz w:val="21"/>
                <w:szCs w:val="21"/>
              </w:rPr>
              <w:t>另抽杜绝火灾事故管理方案以上类似，措施基本可行。</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360" w:lineRule="auto"/>
              <w:rPr>
                <w:rFonts w:ascii="宋体" w:hAnsi="宋体" w:cs="宋体"/>
                <w:szCs w:val="21"/>
              </w:rPr>
            </w:pPr>
            <w:r>
              <w:rPr>
                <w:rFonts w:hint="eastAsia" w:ascii="宋体" w:hAnsi="宋体" w:cs="宋体"/>
                <w:szCs w:val="21"/>
              </w:rPr>
              <w:t>环境目标实现措施策划</w:t>
            </w:r>
          </w:p>
        </w:tc>
        <w:tc>
          <w:tcPr>
            <w:tcW w:w="998" w:type="dxa"/>
          </w:tcPr>
          <w:p>
            <w:pPr>
              <w:spacing w:line="360" w:lineRule="auto"/>
              <w:rPr>
                <w:szCs w:val="21"/>
              </w:rPr>
            </w:pPr>
            <w:r>
              <w:rPr>
                <w:rFonts w:hint="eastAsia"/>
                <w:szCs w:val="21"/>
              </w:rPr>
              <w:t>E6.2.2</w:t>
            </w:r>
          </w:p>
        </w:tc>
        <w:tc>
          <w:tcPr>
            <w:tcW w:w="10004" w:type="dxa"/>
            <w:vAlign w:val="center"/>
          </w:tcPr>
          <w:p>
            <w:pPr>
              <w:spacing w:line="360" w:lineRule="auto"/>
              <w:ind w:firstLine="420" w:firstLineChars="200"/>
              <w:rPr>
                <w:rFonts w:hint="eastAsia" w:ascii="Times New Roman" w:hAnsi="Times New Roman" w:eastAsia="宋体" w:cs="Times New Roman"/>
                <w:szCs w:val="22"/>
              </w:rPr>
            </w:pPr>
            <w:r>
              <w:rPr>
                <w:rFonts w:hint="eastAsia"/>
              </w:rPr>
              <w:t>按《危险源辨识、风险评价和控制措施的确定》识别的重大危险制定管理措施，制定《相关方控制程序》等文件；由</w:t>
            </w:r>
            <w:r>
              <w:rPr>
                <w:rFonts w:hint="eastAsia"/>
                <w:lang w:eastAsia="zh-CN"/>
              </w:rPr>
              <w:t>办公室</w:t>
            </w:r>
            <w:r>
              <w:rPr>
                <w:rFonts w:hint="eastAsia"/>
              </w:rPr>
              <w:t>统一管理。基本不涉及重大法规要求的不可接受的</w:t>
            </w:r>
            <w:r>
              <w:rPr>
                <w:rFonts w:hint="eastAsia" w:ascii="Times New Roman" w:hAnsi="Times New Roman" w:eastAsia="宋体" w:cs="Times New Roman"/>
                <w:szCs w:val="22"/>
              </w:rPr>
              <w:t>环境和安全风险</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安全目标、指标：火灾事故发生率为0</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措施：强化安全思想教育培训，认真学习安全规程；配备符合要求的安全工器具；电源电线与化学品易燃物分开.....。</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完成时间20</w:t>
            </w:r>
            <w:r>
              <w:rPr>
                <w:rFonts w:hint="eastAsia" w:ascii="Times New Roman" w:hAnsi="Times New Roman" w:eastAsia="宋体" w:cs="Times New Roman"/>
                <w:sz w:val="21"/>
                <w:szCs w:val="21"/>
                <w:lang w:val="en-US" w:eastAsia="zh-CN"/>
              </w:rPr>
              <w:t>2</w:t>
            </w:r>
            <w:r>
              <w:rPr>
                <w:rFonts w:hint="eastAsia" w:cs="Times New Roman"/>
                <w:sz w:val="21"/>
                <w:szCs w:val="21"/>
                <w:lang w:val="en-US" w:eastAsia="zh-CN"/>
              </w:rPr>
              <w:t>1</w:t>
            </w:r>
            <w:r>
              <w:rPr>
                <w:rFonts w:hint="default" w:ascii="Times New Roman" w:hAnsi="Times New Roman" w:eastAsia="宋体" w:cs="Times New Roman"/>
                <w:sz w:val="21"/>
                <w:szCs w:val="21"/>
              </w:rPr>
              <w:t>.</w:t>
            </w:r>
            <w:r>
              <w:rPr>
                <w:rFonts w:hint="eastAsia" w:cs="Times New Roman"/>
                <w:sz w:val="21"/>
                <w:szCs w:val="21"/>
                <w:lang w:val="en-US" w:eastAsia="zh-CN"/>
              </w:rPr>
              <w:t>5</w:t>
            </w:r>
            <w:r>
              <w:rPr>
                <w:rFonts w:hint="default" w:ascii="Times New Roman" w:hAnsi="Times New Roman" w:eastAsia="宋体" w:cs="Times New Roman"/>
                <w:sz w:val="21"/>
                <w:szCs w:val="21"/>
              </w:rPr>
              <w:t>~</w:t>
            </w:r>
            <w:r>
              <w:rPr>
                <w:rFonts w:hint="eastAsia" w:cs="Times New Roman"/>
                <w:sz w:val="21"/>
                <w:szCs w:val="21"/>
                <w:lang w:val="en-US" w:eastAsia="zh-CN"/>
              </w:rPr>
              <w:t>2022.5</w:t>
            </w:r>
            <w:r>
              <w:rPr>
                <w:rFonts w:hint="default" w:ascii="Times New Roman" w:hAnsi="Times New Roman" w:eastAsia="宋体" w:cs="Times New Roman"/>
                <w:sz w:val="21"/>
                <w:szCs w:val="21"/>
              </w:rPr>
              <w:t>费用：3000元 责任部门：</w:t>
            </w:r>
            <w:r>
              <w:rPr>
                <w:rFonts w:hint="eastAsia" w:cs="Times New Roman"/>
                <w:sz w:val="21"/>
                <w:szCs w:val="21"/>
                <w:lang w:eastAsia="zh-CN"/>
              </w:rPr>
              <w:t>生产部</w:t>
            </w:r>
            <w:r>
              <w:rPr>
                <w:rFonts w:hint="default" w:ascii="Times New Roman" w:hAnsi="Times New Roman" w:eastAsia="宋体" w:cs="Times New Roman"/>
                <w:sz w:val="21"/>
                <w:szCs w:val="21"/>
              </w:rPr>
              <w:t>/办公室等</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•安全目标、指标：职业病发生率为0，员工按计划体检率100%</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管理方案：为操作人员配备劳保用品，每年按计划为员工进行体检.....</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完成时间：20</w:t>
            </w:r>
            <w:r>
              <w:rPr>
                <w:rFonts w:hint="eastAsia" w:ascii="Times New Roman" w:hAnsi="Times New Roman" w:eastAsia="宋体" w:cs="Times New Roman"/>
                <w:sz w:val="21"/>
                <w:szCs w:val="21"/>
                <w:lang w:val="en-US" w:eastAsia="zh-CN"/>
              </w:rPr>
              <w:t>2</w:t>
            </w:r>
            <w:r>
              <w:rPr>
                <w:rFonts w:hint="eastAsia" w:cs="Times New Roman"/>
                <w:sz w:val="21"/>
                <w:szCs w:val="21"/>
                <w:lang w:val="en-US" w:eastAsia="zh-CN"/>
              </w:rPr>
              <w:t>1</w:t>
            </w:r>
            <w:r>
              <w:rPr>
                <w:rFonts w:hint="default" w:ascii="Times New Roman" w:hAnsi="Times New Roman" w:eastAsia="宋体" w:cs="Times New Roman"/>
                <w:sz w:val="21"/>
                <w:szCs w:val="21"/>
              </w:rPr>
              <w:t>.</w:t>
            </w:r>
            <w:r>
              <w:rPr>
                <w:rFonts w:hint="eastAsia" w:cs="Times New Roman"/>
                <w:sz w:val="21"/>
                <w:szCs w:val="21"/>
                <w:lang w:val="en-US" w:eastAsia="zh-CN"/>
              </w:rPr>
              <w:t>5</w:t>
            </w:r>
            <w:r>
              <w:rPr>
                <w:rFonts w:hint="default" w:ascii="Times New Roman" w:hAnsi="Times New Roman" w:eastAsia="宋体" w:cs="Times New Roman"/>
                <w:sz w:val="21"/>
                <w:szCs w:val="21"/>
              </w:rPr>
              <w:t>~</w:t>
            </w:r>
            <w:r>
              <w:rPr>
                <w:rFonts w:hint="eastAsia" w:cs="Times New Roman"/>
                <w:sz w:val="21"/>
                <w:szCs w:val="21"/>
                <w:lang w:val="en-US" w:eastAsia="zh-CN"/>
              </w:rPr>
              <w:t>2022.5</w:t>
            </w:r>
            <w:r>
              <w:rPr>
                <w:rFonts w:hint="default" w:ascii="Times New Roman" w:hAnsi="Times New Roman" w:eastAsia="宋体" w:cs="Times New Roman"/>
                <w:sz w:val="21"/>
                <w:szCs w:val="21"/>
              </w:rPr>
              <w:t>费用：5000元 责任部门：办公室</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另查看重大安全事故为0，轻伤事故≤3起/年的管理方案以上类似，措施基本可行。</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每季度组织一次对目标、指标管理方案进行程度、完成情况的考核，提供安全目标、指标考核记录，20</w:t>
            </w:r>
            <w:r>
              <w:rPr>
                <w:rFonts w:hint="eastAsia" w:ascii="Times New Roman" w:hAnsi="Times New Roman" w:eastAsia="宋体" w:cs="Times New Roman"/>
                <w:sz w:val="21"/>
                <w:szCs w:val="21"/>
                <w:lang w:val="en-US" w:eastAsia="zh-CN"/>
              </w:rPr>
              <w:t>2</w:t>
            </w:r>
            <w:r>
              <w:rPr>
                <w:rFonts w:hint="eastAsia" w:cs="Times New Roman"/>
                <w:sz w:val="21"/>
                <w:szCs w:val="21"/>
                <w:lang w:val="en-US" w:eastAsia="zh-CN"/>
              </w:rPr>
              <w:t>1.5</w:t>
            </w:r>
            <w:r>
              <w:rPr>
                <w:rFonts w:hint="default" w:ascii="Times New Roman" w:hAnsi="Times New Roman" w:eastAsia="宋体" w:cs="Times New Roman"/>
                <w:sz w:val="21"/>
                <w:szCs w:val="21"/>
              </w:rPr>
              <w:t>年</w:t>
            </w:r>
            <w:r>
              <w:rPr>
                <w:rFonts w:hint="eastAsia" w:cs="Times New Roman"/>
                <w:sz w:val="21"/>
                <w:szCs w:val="21"/>
                <w:lang w:val="en-US" w:eastAsia="zh-CN"/>
              </w:rPr>
              <w:t>-2022.5</w:t>
            </w:r>
            <w:r>
              <w:rPr>
                <w:rFonts w:hint="default" w:ascii="Times New Roman" w:hAnsi="Times New Roman" w:eastAsia="宋体" w:cs="Times New Roman"/>
                <w:sz w:val="21"/>
                <w:szCs w:val="21"/>
              </w:rPr>
              <w:t>的目标、指标管理方案完成情况考核，达到了阶段性的目标要求。</w:t>
            </w:r>
          </w:p>
          <w:p>
            <w:pPr>
              <w:spacing w:line="360" w:lineRule="auto"/>
            </w:pPr>
            <w:r>
              <w:rPr>
                <w:rFonts w:hint="default" w:ascii="Times New Roman" w:hAnsi="Times New Roman" w:eastAsia="宋体" w:cs="Times New Roman"/>
                <w:sz w:val="21"/>
                <w:szCs w:val="21"/>
              </w:rPr>
              <w:t>制定的指标和管理方案基本可行。</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22" w:type="dxa"/>
          </w:tcPr>
          <w:p>
            <w:pPr>
              <w:spacing w:line="360" w:lineRule="auto"/>
              <w:rPr>
                <w:rFonts w:ascii="宋体" w:hAnsi="宋体" w:cs="宋体"/>
                <w:color w:val="000000"/>
                <w:kern w:val="0"/>
                <w:szCs w:val="21"/>
              </w:rPr>
            </w:pPr>
            <w:r>
              <w:rPr>
                <w:rFonts w:hint="eastAsia" w:ascii="宋体" w:hAnsi="宋体" w:cs="宋体"/>
                <w:color w:val="000000"/>
                <w:kern w:val="0"/>
                <w:szCs w:val="21"/>
              </w:rPr>
              <w:t>人员</w:t>
            </w:r>
          </w:p>
          <w:p>
            <w:pPr>
              <w:spacing w:line="360" w:lineRule="auto"/>
              <w:rPr>
                <w:b/>
                <w:szCs w:val="21"/>
              </w:rPr>
            </w:pPr>
          </w:p>
        </w:tc>
        <w:tc>
          <w:tcPr>
            <w:tcW w:w="998" w:type="dxa"/>
          </w:tcPr>
          <w:p>
            <w:pPr>
              <w:spacing w:line="360" w:lineRule="auto"/>
              <w:rPr>
                <w:rFonts w:ascii="宋体" w:hAnsi="宋体" w:cs="宋体"/>
                <w:color w:val="000000"/>
                <w:kern w:val="0"/>
                <w:szCs w:val="21"/>
              </w:rPr>
            </w:pPr>
            <w:r>
              <w:rPr>
                <w:rFonts w:hint="eastAsia" w:ascii="宋体" w:hAnsi="宋体" w:cs="宋体"/>
                <w:color w:val="000000"/>
                <w:kern w:val="0"/>
                <w:szCs w:val="21"/>
              </w:rPr>
              <w:t>Q7.1.2</w:t>
            </w:r>
          </w:p>
          <w:p>
            <w:pPr>
              <w:spacing w:line="360" w:lineRule="auto"/>
              <w:rPr>
                <w:b/>
                <w:szCs w:val="21"/>
              </w:rPr>
            </w:pPr>
          </w:p>
        </w:tc>
        <w:tc>
          <w:tcPr>
            <w:tcW w:w="10004" w:type="dxa"/>
            <w:vAlign w:val="center"/>
          </w:tcPr>
          <w:p>
            <w:pPr>
              <w:spacing w:line="360" w:lineRule="auto"/>
              <w:ind w:firstLine="420" w:firstLineChars="200"/>
            </w:pPr>
            <w:r>
              <w:rPr>
                <w:rFonts w:hint="eastAsia"/>
                <w:lang w:eastAsia="zh-CN"/>
              </w:rPr>
              <w:t>办公室</w:t>
            </w:r>
            <w:r>
              <w:rPr>
                <w:rFonts w:hint="eastAsia"/>
              </w:rPr>
              <w:t>根据各部门的需要配备管理体系运行所需的人员，任命内审员</w:t>
            </w:r>
            <w:r>
              <w:rPr>
                <w:rFonts w:hint="eastAsia"/>
                <w:lang w:val="en-US" w:eastAsia="zh-CN"/>
              </w:rPr>
              <w:t>3</w:t>
            </w:r>
            <w:r>
              <w:rPr>
                <w:rFonts w:hint="eastAsia"/>
              </w:rPr>
              <w:t>名，均经过相关培训，有公司任命证书。查有《人力资源控制程序》并制定有相关人员的职责和权限相关文件化信息确定并对配备所需的人员资源，各级各层人员能力、意识、岗位定员、部门人员职责、权限、相互关系等进行了清晰要求并做了沟通，以有效实施体系并运行和控制其过程。</w:t>
            </w:r>
          </w:p>
          <w:p>
            <w:pPr>
              <w:spacing w:line="360" w:lineRule="auto"/>
              <w:rPr>
                <w:rFonts w:hint="default" w:cs="Times New Roman"/>
                <w:kern w:val="2"/>
                <w:sz w:val="21"/>
                <w:szCs w:val="22"/>
                <w:lang w:val="en-US" w:eastAsia="zh-CN" w:bidi="ar-SA"/>
              </w:rPr>
            </w:pPr>
            <w:r>
              <w:rPr>
                <w:rFonts w:hint="eastAsia"/>
              </w:rPr>
              <w:t>提供有员工花名册，目前公司共有员工</w:t>
            </w:r>
            <w:r>
              <w:rPr>
                <w:rFonts w:hint="eastAsia"/>
                <w:lang w:val="en-US" w:eastAsia="zh-CN"/>
              </w:rPr>
              <w:t>20</w:t>
            </w:r>
            <w:r>
              <w:rPr>
                <w:rFonts w:hint="eastAsia"/>
              </w:rPr>
              <w:t>人，各部门人员配备基本充分，基本符合要求。</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360" w:lineRule="auto"/>
              <w:rPr>
                <w:rFonts w:ascii="宋体" w:hAnsi="宋体" w:cs="宋体"/>
                <w:color w:val="000000"/>
                <w:kern w:val="0"/>
                <w:szCs w:val="21"/>
              </w:rPr>
            </w:pPr>
            <w:r>
              <w:rPr>
                <w:rFonts w:hint="eastAsia" w:ascii="宋体" w:hAnsi="宋体" w:cs="宋体"/>
                <w:color w:val="000000"/>
                <w:kern w:val="0"/>
                <w:szCs w:val="21"/>
              </w:rPr>
              <w:t>组织的知识</w:t>
            </w:r>
          </w:p>
          <w:p>
            <w:pPr>
              <w:spacing w:line="360" w:lineRule="auto"/>
              <w:rPr>
                <w:b/>
                <w:szCs w:val="21"/>
              </w:rPr>
            </w:pPr>
          </w:p>
        </w:tc>
        <w:tc>
          <w:tcPr>
            <w:tcW w:w="998" w:type="dxa"/>
          </w:tcPr>
          <w:p>
            <w:pPr>
              <w:spacing w:line="360" w:lineRule="auto"/>
              <w:rPr>
                <w:rFonts w:ascii="宋体" w:hAnsi="宋体" w:cs="宋体"/>
                <w:color w:val="000000"/>
                <w:kern w:val="0"/>
                <w:szCs w:val="21"/>
              </w:rPr>
            </w:pPr>
            <w:r>
              <w:rPr>
                <w:rFonts w:hint="eastAsia" w:ascii="宋体" w:hAnsi="宋体" w:cs="宋体"/>
                <w:color w:val="000000"/>
                <w:kern w:val="0"/>
                <w:szCs w:val="21"/>
              </w:rPr>
              <w:t>Q7.1.6</w:t>
            </w:r>
          </w:p>
          <w:p>
            <w:pPr>
              <w:spacing w:line="360" w:lineRule="auto"/>
              <w:rPr>
                <w:b/>
                <w:szCs w:val="21"/>
              </w:rPr>
            </w:pPr>
          </w:p>
        </w:tc>
        <w:tc>
          <w:tcPr>
            <w:tcW w:w="10004" w:type="dxa"/>
            <w:vAlign w:val="center"/>
          </w:tcPr>
          <w:p>
            <w:pPr>
              <w:spacing w:line="360" w:lineRule="auto"/>
              <w:rPr>
                <w:rFonts w:ascii="宋体" w:hAnsi="宋体" w:cs="宋体"/>
                <w:color w:val="000000"/>
                <w:kern w:val="0"/>
                <w:szCs w:val="21"/>
              </w:rPr>
            </w:pPr>
            <w:r>
              <w:rPr>
                <w:rFonts w:hint="eastAsia" w:ascii="宋体" w:hAnsi="宋体" w:cs="宋体"/>
                <w:color w:val="000000"/>
                <w:kern w:val="0"/>
                <w:szCs w:val="21"/>
              </w:rPr>
              <w:t xml:space="preserve">  公司确定运行过程所需的知识。内部来源包括：公司信息（管理手册、程序文件、管理制度等）、专业技术知识等；外部来源包括：外来资料（如供应商、用户和竞争对手等利益相关者的动向报告、专家、顾客意见的采集、技术动态的跟踪）、市场信息等。</w:t>
            </w:r>
          </w:p>
          <w:p>
            <w:pPr>
              <w:spacing w:line="360" w:lineRule="auto"/>
              <w:ind w:firstLine="420" w:firstLineChars="200"/>
              <w:rPr>
                <w:b/>
                <w:szCs w:val="21"/>
              </w:rPr>
            </w:pPr>
            <w:r>
              <w:rPr>
                <w:rFonts w:hint="eastAsia" w:ascii="宋体" w:hAnsi="宋体" w:cs="宋体"/>
                <w:color w:val="000000"/>
                <w:kern w:val="0"/>
                <w:szCs w:val="21"/>
              </w:rPr>
              <w:t xml:space="preserve">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 </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22" w:type="dxa"/>
          </w:tcPr>
          <w:p>
            <w:pPr>
              <w:spacing w:line="360" w:lineRule="auto"/>
              <w:rPr>
                <w:rFonts w:ascii="宋体" w:hAnsi="宋体" w:cs="宋体"/>
                <w:color w:val="000000"/>
                <w:kern w:val="0"/>
                <w:szCs w:val="21"/>
              </w:rPr>
            </w:pPr>
            <w:r>
              <w:rPr>
                <w:rFonts w:hint="eastAsia" w:ascii="宋体" w:hAnsi="宋体" w:cs="宋体"/>
                <w:color w:val="000000"/>
                <w:kern w:val="0"/>
                <w:szCs w:val="21"/>
              </w:rPr>
              <w:t>能力</w:t>
            </w:r>
          </w:p>
          <w:p>
            <w:pPr>
              <w:spacing w:line="360" w:lineRule="auto"/>
              <w:rPr>
                <w:b/>
                <w:szCs w:val="21"/>
              </w:rPr>
            </w:pPr>
          </w:p>
        </w:tc>
        <w:tc>
          <w:tcPr>
            <w:tcW w:w="998" w:type="dxa"/>
          </w:tcPr>
          <w:p>
            <w:pPr>
              <w:spacing w:line="360" w:lineRule="auto"/>
              <w:rPr>
                <w:b/>
                <w:szCs w:val="21"/>
              </w:rPr>
            </w:pPr>
            <w:r>
              <w:rPr>
                <w:rFonts w:hint="eastAsia" w:ascii="宋体" w:hAnsi="宋体" w:cs="宋体"/>
                <w:color w:val="000000"/>
                <w:kern w:val="0"/>
                <w:szCs w:val="21"/>
              </w:rPr>
              <w:t>QE7.2</w:t>
            </w:r>
          </w:p>
        </w:tc>
        <w:tc>
          <w:tcPr>
            <w:tcW w:w="10004" w:type="dxa"/>
            <w:vAlign w:val="center"/>
          </w:tcPr>
          <w:p>
            <w:pPr>
              <w:spacing w:line="360" w:lineRule="auto"/>
              <w:rPr>
                <w:rFonts w:hint="eastAsia" w:ascii="宋体" w:hAnsi="宋体" w:cs="宋体"/>
                <w:color w:val="000000"/>
                <w:kern w:val="0"/>
                <w:szCs w:val="21"/>
              </w:rPr>
            </w:pPr>
            <w:r>
              <w:rPr>
                <w:rFonts w:hint="eastAsia" w:ascii="宋体" w:hAnsi="宋体" w:cs="宋体"/>
                <w:color w:val="000000"/>
                <w:kern w:val="0"/>
                <w:szCs w:val="21"/>
              </w:rPr>
              <w:t>公司对各岗位能力规定的要求包括了专业技能、岗位资格、能力、工作经验等。对人员素质必须满足任职要求，确定受其控制的工作人员所需具备的能力，岗位全过程操作人员的能力确定，主要是经培训、合格上岗，基于适当的教育、培训或经历，确保这些人员是胜任。查有：人员能力要求资格确认表，公司经识别，</w:t>
            </w:r>
            <w:r>
              <w:rPr>
                <w:rFonts w:hint="eastAsia" w:ascii="宋体" w:hAnsi="宋体" w:cs="宋体"/>
                <w:color w:val="000000"/>
                <w:kern w:val="0"/>
                <w:szCs w:val="21"/>
                <w:lang w:val="en-US" w:eastAsia="zh-CN"/>
              </w:rPr>
              <w:t>检定、校准</w:t>
            </w:r>
            <w:r>
              <w:rPr>
                <w:rFonts w:hint="eastAsia" w:ascii="宋体" w:hAnsi="宋体" w:cs="宋体"/>
                <w:color w:val="000000"/>
                <w:kern w:val="0"/>
                <w:szCs w:val="21"/>
              </w:rPr>
              <w:t>过程为关键过程，对人员岗位人员能力进行了资格确认，均有评审结果，基本符合要求。</w:t>
            </w:r>
          </w:p>
          <w:p>
            <w:pPr>
              <w:spacing w:line="360" w:lineRule="auto"/>
              <w:rPr>
                <w:rFonts w:ascii="宋体" w:hAnsi="宋体" w:cs="宋体"/>
                <w:color w:val="000000"/>
                <w:kern w:val="0"/>
                <w:szCs w:val="21"/>
              </w:rPr>
            </w:pPr>
            <w:r>
              <w:rPr>
                <w:rFonts w:hint="eastAsia" w:ascii="宋体" w:hAnsi="宋体" w:cs="宋体"/>
                <w:color w:val="000000"/>
                <w:kern w:val="0"/>
                <w:szCs w:val="21"/>
              </w:rPr>
              <w:t>查看“</w:t>
            </w:r>
            <w:r>
              <w:rPr>
                <w:rFonts w:hint="eastAsia" w:ascii="宋体" w:hAnsi="宋体" w:cs="宋体"/>
                <w:color w:val="000000"/>
                <w:kern w:val="0"/>
                <w:szCs w:val="21"/>
                <w:lang w:val="en-US" w:eastAsia="zh-CN"/>
              </w:rPr>
              <w:t>2021-</w:t>
            </w:r>
            <w:r>
              <w:rPr>
                <w:rFonts w:hint="eastAsia" w:ascii="宋体" w:hAnsi="宋体" w:cs="宋体"/>
                <w:color w:val="000000"/>
                <w:kern w:val="0"/>
                <w:szCs w:val="21"/>
              </w:rPr>
              <w:t>20</w:t>
            </w:r>
            <w:r>
              <w:rPr>
                <w:rFonts w:ascii="宋体" w:hAnsi="宋体" w:cs="宋体"/>
                <w:color w:val="000000"/>
                <w:kern w:val="0"/>
                <w:szCs w:val="21"/>
              </w:rPr>
              <w:t>2</w:t>
            </w:r>
            <w:r>
              <w:rPr>
                <w:rFonts w:hint="eastAsia" w:ascii="宋体" w:hAnsi="宋体" w:cs="宋体"/>
                <w:color w:val="000000"/>
                <w:kern w:val="0"/>
                <w:szCs w:val="21"/>
                <w:lang w:val="en-US" w:eastAsia="zh-CN"/>
              </w:rPr>
              <w:t>2</w:t>
            </w:r>
            <w:r>
              <w:rPr>
                <w:rFonts w:hint="eastAsia" w:ascii="宋体" w:hAnsi="宋体" w:cs="宋体"/>
                <w:color w:val="000000"/>
                <w:kern w:val="0"/>
                <w:szCs w:val="21"/>
              </w:rPr>
              <w:t>年培训计划”，内容包括质量、环境、安全基础知识培训。列入了培训计划内容如：管理评审知识、管理体系文件培训、安全知识等。查有：培训记录/评价表、培训试题等。</w:t>
            </w:r>
          </w:p>
          <w:p>
            <w:pPr>
              <w:spacing w:line="360" w:lineRule="auto"/>
              <w:rPr>
                <w:rFonts w:ascii="宋体" w:hAnsi="宋体" w:cs="宋体"/>
                <w:color w:val="000000"/>
                <w:kern w:val="0"/>
                <w:szCs w:val="21"/>
              </w:rPr>
            </w:pPr>
            <w:r>
              <w:rPr>
                <w:rFonts w:hint="eastAsia" w:ascii="宋体" w:hAnsi="宋体" w:cs="宋体"/>
                <w:color w:val="000000"/>
                <w:kern w:val="0"/>
                <w:szCs w:val="21"/>
              </w:rPr>
              <w:t>抽查《培训记录/评价表》：</w:t>
            </w:r>
          </w:p>
          <w:p>
            <w:pPr>
              <w:spacing w:line="360" w:lineRule="auto"/>
              <w:rPr>
                <w:rFonts w:ascii="宋体" w:hAnsi="宋体" w:cs="宋体"/>
                <w:color w:val="000000"/>
                <w:kern w:val="0"/>
                <w:szCs w:val="21"/>
              </w:rPr>
            </w:pPr>
            <w:r>
              <w:rPr>
                <w:rFonts w:hint="eastAsia" w:ascii="宋体" w:hAnsi="宋体" w:cs="宋体"/>
                <w:color w:val="000000"/>
                <w:kern w:val="0"/>
                <w:szCs w:val="21"/>
              </w:rPr>
              <w:t>1、20</w:t>
            </w:r>
            <w:r>
              <w:rPr>
                <w:rFonts w:hint="eastAsia" w:ascii="宋体" w:hAnsi="宋体" w:cs="宋体"/>
                <w:color w:val="000000"/>
                <w:kern w:val="0"/>
                <w:szCs w:val="21"/>
                <w:lang w:val="en-US" w:eastAsia="zh-CN"/>
              </w:rPr>
              <w:t>21</w:t>
            </w:r>
            <w:r>
              <w:rPr>
                <w:rFonts w:hint="eastAsia" w:ascii="宋体" w:hAnsi="宋体" w:cs="宋体"/>
                <w:color w:val="000000"/>
                <w:kern w:val="0"/>
                <w:szCs w:val="21"/>
              </w:rPr>
              <w:t>-</w:t>
            </w:r>
            <w:r>
              <w:rPr>
                <w:rFonts w:hint="eastAsia" w:ascii="宋体" w:hAnsi="宋体" w:cs="宋体"/>
                <w:color w:val="000000"/>
                <w:kern w:val="0"/>
                <w:szCs w:val="21"/>
                <w:lang w:val="en-US" w:eastAsia="zh-CN"/>
              </w:rPr>
              <w:t>12/5-7</w:t>
            </w:r>
            <w:r>
              <w:rPr>
                <w:rFonts w:hint="eastAsia" w:ascii="宋体" w:hAnsi="宋体" w:cs="宋体"/>
                <w:color w:val="000000"/>
                <w:kern w:val="0"/>
                <w:szCs w:val="21"/>
              </w:rPr>
              <w:t>：对管理体系文件进行了培训。培训老师：</w:t>
            </w:r>
            <w:r>
              <w:rPr>
                <w:rFonts w:hint="eastAsia" w:ascii="宋体" w:hAnsi="宋体" w:cs="宋体"/>
                <w:color w:val="000000"/>
                <w:kern w:val="0"/>
                <w:szCs w:val="21"/>
                <w:lang w:val="en-US" w:eastAsia="zh-CN"/>
              </w:rPr>
              <w:t>方晓静</w:t>
            </w:r>
            <w:r>
              <w:rPr>
                <w:rFonts w:hint="eastAsia" w:ascii="宋体" w:hAnsi="宋体" w:cs="宋体"/>
                <w:color w:val="000000"/>
                <w:kern w:val="0"/>
                <w:szCs w:val="21"/>
              </w:rPr>
              <w:t>，参加人员：各部门人员等。通过口试对理解情况进行考核，考核结果：全部通过。验证人：</w:t>
            </w:r>
            <w:r>
              <w:rPr>
                <w:rFonts w:hint="eastAsia" w:ascii="宋体" w:hAnsi="宋体" w:cs="宋体"/>
                <w:color w:val="000000"/>
                <w:kern w:val="0"/>
                <w:szCs w:val="21"/>
                <w:lang w:val="en-US" w:eastAsia="zh-CN"/>
              </w:rPr>
              <w:t>方晓静</w:t>
            </w:r>
            <w:r>
              <w:rPr>
                <w:rFonts w:hint="eastAsia" w:ascii="宋体" w:hAnsi="宋体" w:cs="宋体"/>
                <w:color w:val="000000"/>
                <w:kern w:val="0"/>
                <w:szCs w:val="21"/>
              </w:rPr>
              <w:t>。</w:t>
            </w:r>
          </w:p>
          <w:p>
            <w:pPr>
              <w:spacing w:line="360" w:lineRule="auto"/>
              <w:rPr>
                <w:rFonts w:ascii="宋体" w:hAnsi="宋体" w:cs="宋体"/>
                <w:color w:val="000000"/>
                <w:kern w:val="0"/>
                <w:szCs w:val="21"/>
              </w:rPr>
            </w:pPr>
            <w:r>
              <w:rPr>
                <w:rFonts w:hint="eastAsia" w:ascii="宋体" w:hAnsi="宋体" w:cs="宋体"/>
                <w:color w:val="000000"/>
                <w:kern w:val="0"/>
                <w:szCs w:val="21"/>
              </w:rPr>
              <w:t>2、20</w:t>
            </w:r>
            <w:r>
              <w:rPr>
                <w:rFonts w:ascii="宋体" w:hAnsi="宋体" w:cs="宋体"/>
                <w:color w:val="000000"/>
                <w:kern w:val="0"/>
                <w:szCs w:val="21"/>
              </w:rPr>
              <w:t>2</w:t>
            </w:r>
            <w:r>
              <w:rPr>
                <w:rFonts w:hint="eastAsia" w:ascii="宋体" w:hAnsi="宋体" w:cs="宋体"/>
                <w:color w:val="000000"/>
                <w:kern w:val="0"/>
                <w:szCs w:val="21"/>
                <w:lang w:val="en-US" w:eastAsia="zh-CN"/>
              </w:rPr>
              <w:t>2</w:t>
            </w:r>
            <w:r>
              <w:rPr>
                <w:rFonts w:hint="eastAsia" w:ascii="宋体" w:hAnsi="宋体" w:cs="宋体"/>
                <w:color w:val="000000"/>
                <w:kern w:val="0"/>
                <w:szCs w:val="21"/>
              </w:rPr>
              <w:t>-</w:t>
            </w:r>
            <w:r>
              <w:rPr>
                <w:rFonts w:hint="eastAsia" w:ascii="宋体" w:hAnsi="宋体" w:cs="宋体"/>
                <w:color w:val="000000"/>
                <w:kern w:val="0"/>
                <w:szCs w:val="21"/>
                <w:lang w:val="en-US" w:eastAsia="zh-CN"/>
              </w:rPr>
              <w:t>3</w:t>
            </w:r>
            <w:r>
              <w:rPr>
                <w:rFonts w:hint="eastAsia" w:ascii="宋体" w:hAnsi="宋体" w:cs="宋体"/>
                <w:color w:val="000000"/>
                <w:kern w:val="0"/>
                <w:szCs w:val="21"/>
              </w:rPr>
              <w:t>-</w:t>
            </w:r>
            <w:r>
              <w:rPr>
                <w:rFonts w:hint="eastAsia" w:ascii="宋体" w:hAnsi="宋体" w:cs="宋体"/>
                <w:color w:val="000000"/>
                <w:kern w:val="0"/>
                <w:szCs w:val="21"/>
                <w:lang w:val="en-US" w:eastAsia="zh-CN"/>
              </w:rPr>
              <w:t>15</w:t>
            </w:r>
            <w:r>
              <w:rPr>
                <w:rFonts w:hint="eastAsia" w:ascii="宋体" w:hAnsi="宋体" w:cs="宋体"/>
                <w:color w:val="000000"/>
                <w:kern w:val="0"/>
                <w:szCs w:val="21"/>
              </w:rPr>
              <w:t>：对环境及安全防护知识进行培训，培训老师：</w:t>
            </w:r>
            <w:r>
              <w:rPr>
                <w:rFonts w:hint="eastAsia" w:ascii="宋体" w:hAnsi="宋体" w:cs="宋体"/>
                <w:color w:val="000000"/>
                <w:kern w:val="0"/>
                <w:szCs w:val="21"/>
                <w:lang w:val="en-US" w:eastAsia="zh-CN"/>
              </w:rPr>
              <w:t>方晓静</w:t>
            </w:r>
            <w:r>
              <w:rPr>
                <w:rFonts w:hint="eastAsia" w:ascii="宋体" w:hAnsi="宋体" w:cs="宋体"/>
                <w:color w:val="000000"/>
                <w:kern w:val="0"/>
                <w:szCs w:val="21"/>
              </w:rPr>
              <w:t>。参加人：各部门人员等。通过口试对理解情况进行考核，考核结果：全部通过。验证人：</w:t>
            </w:r>
            <w:r>
              <w:rPr>
                <w:rFonts w:hint="eastAsia" w:ascii="宋体" w:hAnsi="宋体" w:cs="宋体"/>
                <w:color w:val="000000"/>
                <w:kern w:val="0"/>
                <w:szCs w:val="21"/>
                <w:lang w:val="en-US" w:eastAsia="zh-CN"/>
              </w:rPr>
              <w:t>方晓静</w:t>
            </w:r>
            <w:r>
              <w:rPr>
                <w:rFonts w:hint="eastAsia" w:ascii="宋体" w:hAnsi="宋体" w:cs="宋体"/>
                <w:color w:val="000000"/>
                <w:kern w:val="0"/>
                <w:szCs w:val="21"/>
              </w:rPr>
              <w:t>。</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spacing w:line="360" w:lineRule="auto"/>
              <w:rPr>
                <w:rFonts w:ascii="宋体" w:hAnsi="宋体" w:cs="宋体"/>
                <w:color w:val="000000"/>
                <w:kern w:val="0"/>
                <w:szCs w:val="21"/>
              </w:rPr>
            </w:pPr>
            <w:r>
              <w:rPr>
                <w:rFonts w:hint="eastAsia" w:ascii="宋体" w:hAnsi="宋体" w:cs="宋体"/>
                <w:color w:val="000000"/>
                <w:kern w:val="0"/>
                <w:szCs w:val="21"/>
              </w:rPr>
              <w:t>意识</w:t>
            </w:r>
          </w:p>
          <w:p>
            <w:pPr>
              <w:spacing w:line="360" w:lineRule="auto"/>
              <w:rPr>
                <w:b/>
                <w:szCs w:val="21"/>
              </w:rPr>
            </w:pPr>
          </w:p>
        </w:tc>
        <w:tc>
          <w:tcPr>
            <w:tcW w:w="998" w:type="dxa"/>
          </w:tcPr>
          <w:p>
            <w:pPr>
              <w:spacing w:line="360" w:lineRule="auto"/>
              <w:rPr>
                <w:rFonts w:ascii="宋体" w:hAnsi="宋体" w:cs="宋体"/>
                <w:color w:val="000000"/>
                <w:kern w:val="0"/>
                <w:szCs w:val="21"/>
              </w:rPr>
            </w:pPr>
            <w:r>
              <w:rPr>
                <w:rFonts w:hint="eastAsia" w:ascii="宋体" w:hAnsi="宋体" w:cs="宋体"/>
                <w:color w:val="000000"/>
                <w:kern w:val="0"/>
                <w:szCs w:val="21"/>
              </w:rPr>
              <w:t>QE7.3</w:t>
            </w:r>
          </w:p>
          <w:p>
            <w:pPr>
              <w:spacing w:line="360" w:lineRule="auto"/>
              <w:rPr>
                <w:b/>
                <w:szCs w:val="21"/>
              </w:rPr>
            </w:pPr>
          </w:p>
        </w:tc>
        <w:tc>
          <w:tcPr>
            <w:tcW w:w="10004" w:type="dxa"/>
            <w:vAlign w:val="center"/>
          </w:tcPr>
          <w:p>
            <w:pPr>
              <w:spacing w:line="360" w:lineRule="auto"/>
              <w:ind w:firstLine="420" w:firstLineChars="200"/>
            </w:pPr>
            <w:r>
              <w:rPr>
                <w:rFonts w:hint="eastAsia"/>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360" w:lineRule="auto"/>
              <w:ind w:firstLine="420" w:firstLineChars="200"/>
              <w:rPr>
                <w:rFonts w:hint="default"/>
                <w:szCs w:val="21"/>
                <w:lang w:val="en-US" w:eastAsia="zh-CN"/>
              </w:rPr>
            </w:pPr>
            <w:r>
              <w:rPr>
                <w:rFonts w:hint="eastAsia"/>
              </w:rPr>
              <w:t>询问</w:t>
            </w:r>
            <w:r>
              <w:rPr>
                <w:rFonts w:hint="eastAsia"/>
                <w:lang w:eastAsia="zh-CN"/>
              </w:rPr>
              <w:t>办公室冯勇</w:t>
            </w:r>
            <w:r>
              <w:rPr>
                <w:rFonts w:hint="eastAsia"/>
              </w:rPr>
              <w:t>知道公司方针，知道所在的工作岗位的质量、环境、职业健康安全目标，也了解自己的工作好坏会影响组织资质量、环境、职业健康安全管理体系的有效运行。</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vAlign w:val="top"/>
          </w:tcPr>
          <w:p>
            <w:pPr>
              <w:spacing w:line="360" w:lineRule="auto"/>
              <w:rPr>
                <w:u w:val="none"/>
              </w:rPr>
            </w:pPr>
            <w:r>
              <w:rPr>
                <w:rFonts w:hint="eastAsia"/>
                <w:u w:val="none"/>
              </w:rPr>
              <w:t>沟通</w:t>
            </w:r>
          </w:p>
          <w:p>
            <w:pPr>
              <w:spacing w:line="360" w:lineRule="auto"/>
              <w:rPr>
                <w:rFonts w:ascii="Times New Roman" w:hAnsi="Times New Roman" w:eastAsia="宋体" w:cs="Times New Roman"/>
                <w:kern w:val="2"/>
                <w:sz w:val="21"/>
                <w:u w:val="none"/>
                <w:lang w:val="en-US" w:eastAsia="zh-CN" w:bidi="ar-SA"/>
              </w:rPr>
            </w:pPr>
          </w:p>
        </w:tc>
        <w:tc>
          <w:tcPr>
            <w:tcW w:w="998" w:type="dxa"/>
            <w:vAlign w:val="top"/>
          </w:tcPr>
          <w:p>
            <w:pPr>
              <w:spacing w:line="360" w:lineRule="auto"/>
              <w:rPr>
                <w:rFonts w:ascii="Times New Roman" w:hAnsi="Times New Roman" w:eastAsia="宋体" w:cs="Times New Roman"/>
                <w:kern w:val="2"/>
                <w:sz w:val="21"/>
                <w:u w:val="none"/>
                <w:lang w:val="en-US" w:eastAsia="zh-CN" w:bidi="ar-SA"/>
              </w:rPr>
            </w:pPr>
            <w:r>
              <w:rPr>
                <w:rFonts w:hint="eastAsia"/>
                <w:u w:val="none"/>
              </w:rPr>
              <w:t>QE7.4</w:t>
            </w:r>
          </w:p>
        </w:tc>
        <w:tc>
          <w:tcPr>
            <w:tcW w:w="10004" w:type="dxa"/>
            <w:vAlign w:val="center"/>
          </w:tcPr>
          <w:p>
            <w:pPr>
              <w:spacing w:line="360" w:lineRule="auto"/>
              <w:ind w:firstLine="420" w:firstLineChars="200"/>
              <w:rPr>
                <w:szCs w:val="21"/>
                <w:u w:val="none"/>
              </w:rPr>
            </w:pPr>
            <w:r>
              <w:rPr>
                <w:rFonts w:hint="eastAsia"/>
                <w:szCs w:val="21"/>
                <w:u w:val="none"/>
              </w:rPr>
              <w:t>公司编制并实施了《</w:t>
            </w:r>
            <w:r>
              <w:rPr>
                <w:rFonts w:hint="eastAsia"/>
                <w:szCs w:val="21"/>
                <w:u w:val="none"/>
                <w:lang w:eastAsia="zh-CN"/>
              </w:rPr>
              <w:t>信息沟通、参与和协商控制程序</w:t>
            </w:r>
            <w:r>
              <w:rPr>
                <w:rFonts w:hint="eastAsia"/>
                <w:szCs w:val="21"/>
                <w:u w:val="none"/>
              </w:rPr>
              <w:t>》，规定了职责、工作流程，包括内部沟通和外部沟通的方法和要求。</w:t>
            </w:r>
          </w:p>
          <w:p>
            <w:pPr>
              <w:spacing w:line="360" w:lineRule="auto"/>
              <w:ind w:firstLine="420" w:firstLineChars="200"/>
              <w:rPr>
                <w:szCs w:val="21"/>
                <w:u w:val="none"/>
              </w:rPr>
            </w:pPr>
            <w:r>
              <w:rPr>
                <w:rFonts w:hint="eastAsia"/>
                <w:szCs w:val="21"/>
                <w:u w:val="none"/>
              </w:rPr>
              <w:t>公司确定了质量、环境、职业健康安全管理体系相关的内部和外部沟通，包括：沟通什么；何时沟通；与谁沟通；如何沟通；由谁负责，公司内部以口头、会议、电话、微信、QQ等形式沟通；会议有年度、季度和月度会议；沟通相关服务要求、环境和职业健康安全事项。对外沟通由</w:t>
            </w:r>
            <w:r>
              <w:rPr>
                <w:rFonts w:hint="eastAsia"/>
                <w:szCs w:val="21"/>
                <w:u w:val="none"/>
                <w:lang w:eastAsia="zh-CN"/>
              </w:rPr>
              <w:t>办公室</w:t>
            </w:r>
            <w:r>
              <w:rPr>
                <w:rFonts w:hint="eastAsia"/>
                <w:szCs w:val="21"/>
                <w:u w:val="none"/>
              </w:rPr>
              <w:t>统一负责。</w:t>
            </w:r>
          </w:p>
          <w:p>
            <w:pPr>
              <w:spacing w:line="360" w:lineRule="auto"/>
              <w:ind w:firstLine="420" w:firstLineChars="200"/>
              <w:rPr>
                <w:szCs w:val="21"/>
                <w:u w:val="none"/>
              </w:rPr>
            </w:pPr>
            <w:r>
              <w:rPr>
                <w:rFonts w:hint="eastAsia"/>
                <w:szCs w:val="21"/>
                <w:u w:val="none"/>
              </w:rPr>
              <w:t>现场查阅内部交流：方针、目标完成情况、内审和管理评审报告、不符合信息等。</w:t>
            </w:r>
          </w:p>
          <w:p>
            <w:pPr>
              <w:spacing w:line="360" w:lineRule="auto"/>
              <w:ind w:firstLine="420" w:firstLineChars="200"/>
              <w:rPr>
                <w:szCs w:val="21"/>
                <w:u w:val="none"/>
              </w:rPr>
            </w:pPr>
            <w:r>
              <w:rPr>
                <w:rFonts w:hint="eastAsia"/>
                <w:szCs w:val="21"/>
                <w:u w:val="none"/>
              </w:rPr>
              <w:t>外部交流：通过发放《相关方环境及职业健康安全告知书》与相关方就相关环境、职业健康安全信息进行相互沟通。</w:t>
            </w:r>
          </w:p>
          <w:p>
            <w:pPr>
              <w:spacing w:line="360" w:lineRule="auto"/>
              <w:ind w:firstLine="420" w:firstLineChars="200"/>
              <w:rPr>
                <w:szCs w:val="21"/>
                <w:u w:val="none"/>
              </w:rPr>
            </w:pPr>
            <w:r>
              <w:rPr>
                <w:rFonts w:hint="eastAsia"/>
                <w:szCs w:val="21"/>
                <w:u w:val="none"/>
              </w:rPr>
              <w:t>和员工</w:t>
            </w:r>
            <w:r>
              <w:rPr>
                <w:rFonts w:hint="eastAsia"/>
                <w:szCs w:val="21"/>
                <w:u w:val="none"/>
                <w:lang w:eastAsia="zh-CN"/>
              </w:rPr>
              <w:t>冯勇</w:t>
            </w:r>
            <w:r>
              <w:rPr>
                <w:rFonts w:hint="eastAsia"/>
                <w:szCs w:val="21"/>
                <w:u w:val="none"/>
              </w:rPr>
              <w:t>面谈，知道公司的管理者代表及职业健康安全事务代表。</w:t>
            </w:r>
          </w:p>
          <w:p>
            <w:pPr>
              <w:spacing w:line="360" w:lineRule="auto"/>
              <w:ind w:firstLine="420" w:firstLineChars="200"/>
              <w:rPr>
                <w:rFonts w:hint="eastAsia" w:ascii="Times New Roman" w:hAnsi="Times New Roman" w:eastAsia="宋体" w:cs="Times New Roman"/>
                <w:kern w:val="2"/>
                <w:sz w:val="21"/>
                <w:szCs w:val="21"/>
                <w:u w:val="none"/>
                <w:lang w:val="en-US" w:eastAsia="zh-CN" w:bidi="ar-SA"/>
              </w:rPr>
            </w:pPr>
            <w:r>
              <w:rPr>
                <w:rFonts w:hint="eastAsia"/>
                <w:szCs w:val="21"/>
                <w:u w:val="none"/>
              </w:rPr>
              <w:t>审核周期内未发生因沟通不善造成的的问题。</w:t>
            </w:r>
          </w:p>
        </w:tc>
        <w:tc>
          <w:tcPr>
            <w:tcW w:w="1585" w:type="dxa"/>
          </w:tcPr>
          <w:p>
            <w:pPr>
              <w:spacing w:line="360" w:lineRule="auto"/>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tcPr>
          <w:p>
            <w:pPr>
              <w:spacing w:line="360" w:lineRule="auto"/>
              <w:rPr>
                <w:rFonts w:ascii="宋体" w:hAnsi="宋体" w:cs="宋体"/>
                <w:color w:val="000000"/>
                <w:kern w:val="0"/>
                <w:szCs w:val="21"/>
              </w:rPr>
            </w:pPr>
            <w:r>
              <w:rPr>
                <w:rFonts w:hint="eastAsia" w:ascii="宋体" w:hAnsi="宋体" w:cs="宋体"/>
                <w:color w:val="000000"/>
                <w:kern w:val="0"/>
                <w:szCs w:val="21"/>
              </w:rPr>
              <w:t>成文信息</w:t>
            </w:r>
          </w:p>
          <w:p>
            <w:pPr>
              <w:spacing w:line="360" w:lineRule="auto"/>
              <w:rPr>
                <w:rFonts w:ascii="宋体" w:hAnsi="宋体" w:cs="宋体"/>
                <w:szCs w:val="21"/>
              </w:rPr>
            </w:pPr>
          </w:p>
        </w:tc>
        <w:tc>
          <w:tcPr>
            <w:tcW w:w="998" w:type="dxa"/>
          </w:tcPr>
          <w:p>
            <w:pPr>
              <w:spacing w:line="360" w:lineRule="auto"/>
              <w:rPr>
                <w:rFonts w:ascii="宋体" w:hAnsi="宋体" w:cs="宋体"/>
                <w:color w:val="000000"/>
                <w:kern w:val="0"/>
                <w:szCs w:val="21"/>
              </w:rPr>
            </w:pPr>
            <w:r>
              <w:rPr>
                <w:rFonts w:hint="eastAsia" w:ascii="宋体" w:hAnsi="宋体" w:cs="宋体"/>
                <w:color w:val="000000"/>
                <w:kern w:val="0"/>
                <w:szCs w:val="21"/>
              </w:rPr>
              <w:t>QE7.5</w:t>
            </w:r>
          </w:p>
          <w:p>
            <w:pPr>
              <w:spacing w:line="360" w:lineRule="auto"/>
              <w:rPr>
                <w:rFonts w:ascii="宋体" w:hAnsi="宋体" w:cs="宋体"/>
                <w:color w:val="000000"/>
                <w:kern w:val="0"/>
                <w:szCs w:val="21"/>
              </w:rPr>
            </w:pPr>
          </w:p>
        </w:tc>
        <w:tc>
          <w:tcPr>
            <w:tcW w:w="10004" w:type="dxa"/>
            <w:vAlign w:val="center"/>
          </w:tcPr>
          <w:p>
            <w:pPr>
              <w:spacing w:line="360" w:lineRule="auto"/>
              <w:ind w:firstLine="420" w:firstLineChars="200"/>
              <w:rPr>
                <w:szCs w:val="21"/>
              </w:rPr>
            </w:pPr>
            <w:r>
              <w:rPr>
                <w:rFonts w:hint="eastAsia"/>
                <w:szCs w:val="21"/>
              </w:rPr>
              <w:t>公司形成了文件化的管理手册、程序文件、管理制度以及所要求的记录。公司编制的程序文件基本符合标准要求的所有程序文件，对体系及其相互关系在手册中做了描述，记录表单满足公司目前的质量体系运行的需要。</w:t>
            </w:r>
          </w:p>
          <w:p>
            <w:pPr>
              <w:spacing w:line="360" w:lineRule="auto"/>
              <w:ind w:firstLine="420" w:firstLineChars="200"/>
              <w:rPr>
                <w:szCs w:val="21"/>
              </w:rPr>
            </w:pPr>
            <w:r>
              <w:rPr>
                <w:rFonts w:hint="eastAsia"/>
                <w:szCs w:val="21"/>
              </w:rPr>
              <w:t>公司文件分类：一级文件：管理手册。</w:t>
            </w:r>
          </w:p>
          <w:p>
            <w:pPr>
              <w:spacing w:line="360" w:lineRule="auto"/>
              <w:ind w:firstLine="420" w:firstLineChars="200"/>
              <w:rPr>
                <w:szCs w:val="21"/>
              </w:rPr>
            </w:pPr>
            <w:r>
              <w:rPr>
                <w:rFonts w:hint="eastAsia"/>
                <w:szCs w:val="21"/>
              </w:rPr>
              <w:t>二级文件：公司编制了程序文件，包括质量、环境、职业健康安全标准要求的所有程序。</w:t>
            </w:r>
          </w:p>
          <w:p>
            <w:pPr>
              <w:spacing w:line="360" w:lineRule="auto"/>
              <w:ind w:firstLine="420" w:firstLineChars="200"/>
              <w:rPr>
                <w:szCs w:val="21"/>
              </w:rPr>
            </w:pPr>
            <w:r>
              <w:rPr>
                <w:rFonts w:hint="eastAsia"/>
                <w:szCs w:val="21"/>
              </w:rPr>
              <w:t>三层次文件：管理制度，外来文件：包括</w:t>
            </w:r>
            <w:r>
              <w:rPr>
                <w:rFonts w:hint="eastAsia"/>
                <w:szCs w:val="21"/>
                <w:lang w:val="en-US" w:eastAsia="zh-CN"/>
              </w:rPr>
              <w:t>螺旋（双）转子流量计、普通电磁流量计、楔形流量计、三转子流量计、指示型转子流量计、螺旋单转子流量计、智能控制注水仪、金属刮板流量计、旋进漩涡气体流量计、质量流量计的生产及销售管理实施细则等</w:t>
            </w:r>
            <w:r>
              <w:rPr>
                <w:rFonts w:hint="eastAsia"/>
                <w:szCs w:val="21"/>
              </w:rPr>
              <w:t>，环境、职业健康安全及运行记录，满足公司目前的管理体系运行的需要。体系文件基本能保证有效性和效率的要求。</w:t>
            </w:r>
          </w:p>
          <w:p>
            <w:pPr>
              <w:spacing w:line="360" w:lineRule="auto"/>
              <w:ind w:firstLine="420" w:firstLineChars="200"/>
              <w:rPr>
                <w:szCs w:val="21"/>
              </w:rPr>
            </w:pPr>
            <w:r>
              <w:rPr>
                <w:rFonts w:hint="eastAsia"/>
                <w:szCs w:val="21"/>
              </w:rPr>
              <w:t>查公司按照文审要求对管理手册进行了修改，符合要求。</w:t>
            </w:r>
          </w:p>
          <w:p>
            <w:pPr>
              <w:spacing w:line="360" w:lineRule="auto"/>
              <w:ind w:firstLine="420" w:firstLineChars="200"/>
              <w:rPr>
                <w:rFonts w:hint="eastAsia" w:ascii="Times New Roman" w:hAnsi="Times New Roman" w:eastAsia="宋体" w:cs="Times New Roman"/>
                <w:szCs w:val="21"/>
              </w:rPr>
            </w:pPr>
            <w:r>
              <w:rPr>
                <w:rFonts w:hint="eastAsia"/>
                <w:szCs w:val="21"/>
              </w:rPr>
              <w:t>公司编</w:t>
            </w:r>
            <w:r>
              <w:rPr>
                <w:rFonts w:hint="eastAsia" w:ascii="Times New Roman" w:hAnsi="Times New Roman" w:eastAsia="宋体" w:cs="Times New Roman"/>
                <w:szCs w:val="21"/>
              </w:rPr>
              <w:t>制并实施了《文件控制程序》，文件包括：管理手册、程序文件、各种管理制度等。</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无企业标准。</w:t>
            </w:r>
          </w:p>
          <w:p>
            <w:pPr>
              <w:spacing w:line="360" w:lineRule="auto"/>
              <w:ind w:firstLine="420" w:firstLineChars="200"/>
              <w:rPr>
                <w:szCs w:val="21"/>
              </w:rPr>
            </w:pPr>
            <w:r>
              <w:rPr>
                <w:rFonts w:hint="eastAsia"/>
                <w:szCs w:val="21"/>
              </w:rPr>
              <w:t>查管理手册、程序文</w:t>
            </w:r>
            <w:r>
              <w:rPr>
                <w:rFonts w:hint="eastAsia" w:ascii="Times New Roman" w:hAnsi="Times New Roman" w:eastAsia="宋体" w:cs="Times New Roman"/>
                <w:szCs w:val="21"/>
              </w:rPr>
              <w:t>件等文件，编制：文件编制小组，审核：</w:t>
            </w:r>
            <w:r>
              <w:rPr>
                <w:rFonts w:hint="eastAsia" w:cs="Times New Roman"/>
                <w:szCs w:val="21"/>
                <w:lang w:eastAsia="zh-CN"/>
              </w:rPr>
              <w:t>方晓静</w:t>
            </w:r>
            <w:r>
              <w:rPr>
                <w:rFonts w:hint="eastAsia"/>
                <w:szCs w:val="21"/>
              </w:rPr>
              <w:t>，批准：</w:t>
            </w:r>
            <w:r>
              <w:rPr>
                <w:rFonts w:hint="eastAsia"/>
                <w:szCs w:val="21"/>
                <w:lang w:eastAsia="zh-CN"/>
              </w:rPr>
              <w:t>赵新时</w:t>
            </w:r>
            <w:r>
              <w:rPr>
                <w:rFonts w:hint="eastAsia"/>
                <w:szCs w:val="21"/>
              </w:rPr>
              <w:t>，20</w:t>
            </w:r>
            <w:r>
              <w:rPr>
                <w:rFonts w:hint="eastAsia"/>
                <w:szCs w:val="21"/>
                <w:lang w:val="en-US" w:eastAsia="zh-CN"/>
              </w:rPr>
              <w:t>20</w:t>
            </w:r>
            <w:r>
              <w:rPr>
                <w:rFonts w:hint="eastAsia"/>
                <w:szCs w:val="21"/>
              </w:rPr>
              <w:t>年</w:t>
            </w:r>
            <w:r>
              <w:rPr>
                <w:rFonts w:hint="eastAsia"/>
                <w:szCs w:val="21"/>
                <w:lang w:val="en-US" w:eastAsia="zh-CN"/>
              </w:rPr>
              <w:t>3</w:t>
            </w:r>
            <w:r>
              <w:rPr>
                <w:rFonts w:hint="eastAsia"/>
                <w:szCs w:val="21"/>
              </w:rPr>
              <w:t>月</w:t>
            </w:r>
            <w:r>
              <w:rPr>
                <w:rFonts w:hint="eastAsia"/>
                <w:szCs w:val="21"/>
                <w:lang w:val="en-US" w:eastAsia="zh-CN"/>
              </w:rPr>
              <w:t>10</w:t>
            </w:r>
            <w:r>
              <w:rPr>
                <w:rFonts w:hint="eastAsia"/>
                <w:szCs w:val="21"/>
              </w:rPr>
              <w:t>日，查文件编审批手续齐全、文件清晰、编号符合文件控制程序要求。查</w:t>
            </w:r>
            <w:r>
              <w:rPr>
                <w:rFonts w:hint="eastAsia"/>
                <w:szCs w:val="21"/>
                <w:lang w:eastAsia="zh-CN"/>
              </w:rPr>
              <w:t>办公室</w:t>
            </w:r>
            <w:r>
              <w:rPr>
                <w:rFonts w:hint="eastAsia"/>
                <w:szCs w:val="21"/>
              </w:rPr>
              <w:t>文件，都有受控标识，有效版本。</w:t>
            </w:r>
          </w:p>
          <w:p>
            <w:pPr>
              <w:spacing w:line="360" w:lineRule="auto"/>
              <w:ind w:firstLine="420" w:firstLineChars="200"/>
              <w:rPr>
                <w:b/>
                <w:bCs/>
                <w:color w:val="FF0000"/>
                <w:szCs w:val="21"/>
              </w:rPr>
            </w:pPr>
            <w:r>
              <w:rPr>
                <w:rFonts w:hint="eastAsia"/>
                <w:szCs w:val="21"/>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w:t>
            </w:r>
          </w:p>
          <w:p>
            <w:pPr>
              <w:spacing w:line="360" w:lineRule="auto"/>
              <w:ind w:firstLine="420" w:firstLineChars="200"/>
              <w:rPr>
                <w:szCs w:val="21"/>
              </w:rPr>
            </w:pPr>
            <w:r>
              <w:rPr>
                <w:rFonts w:hint="eastAsia"/>
                <w:szCs w:val="21"/>
              </w:rPr>
              <w:t>查文件发放：</w:t>
            </w:r>
            <w:r>
              <w:rPr>
                <w:rFonts w:hint="eastAsia"/>
                <w:szCs w:val="21"/>
                <w:lang w:eastAsia="zh-CN"/>
              </w:rPr>
              <w:t>办公室</w:t>
            </w:r>
            <w:r>
              <w:rPr>
                <w:rFonts w:hint="eastAsia"/>
                <w:szCs w:val="21"/>
              </w:rPr>
              <w:t>20</w:t>
            </w:r>
            <w:r>
              <w:rPr>
                <w:rFonts w:hint="eastAsia"/>
                <w:szCs w:val="21"/>
                <w:lang w:val="en-US" w:eastAsia="zh-CN"/>
              </w:rPr>
              <w:t>22</w:t>
            </w:r>
            <w:r>
              <w:rPr>
                <w:rFonts w:hint="eastAsia"/>
                <w:szCs w:val="21"/>
              </w:rPr>
              <w:t>年</w:t>
            </w:r>
            <w:r>
              <w:rPr>
                <w:rFonts w:hint="eastAsia"/>
                <w:szCs w:val="21"/>
                <w:lang w:val="en-US" w:eastAsia="zh-CN"/>
              </w:rPr>
              <w:t>4</w:t>
            </w:r>
            <w:r>
              <w:rPr>
                <w:rFonts w:hint="eastAsia"/>
                <w:szCs w:val="21"/>
              </w:rPr>
              <w:t>月</w:t>
            </w:r>
            <w:r>
              <w:rPr>
                <w:rFonts w:hint="eastAsia"/>
                <w:szCs w:val="21"/>
                <w:lang w:val="en-US" w:eastAsia="zh-CN"/>
              </w:rPr>
              <w:t>1</w:t>
            </w:r>
            <w:r>
              <w:rPr>
                <w:rFonts w:hint="eastAsia"/>
                <w:szCs w:val="21"/>
              </w:rPr>
              <w:t>日下发了</w:t>
            </w:r>
            <w:r>
              <w:rPr>
                <w:rFonts w:hint="eastAsia"/>
                <w:szCs w:val="21"/>
                <w:lang w:val="en-US" w:eastAsia="zh-CN"/>
              </w:rPr>
              <w:t>C/1版的</w:t>
            </w:r>
            <w:r>
              <w:rPr>
                <w:rFonts w:hint="eastAsia"/>
                <w:szCs w:val="21"/>
              </w:rPr>
              <w:t>管理手册、程序文件、管理制度汇编等文件</w:t>
            </w:r>
            <w:r>
              <w:rPr>
                <w:rFonts w:hint="eastAsia"/>
                <w:szCs w:val="21"/>
                <w:lang w:eastAsia="zh-CN"/>
              </w:rPr>
              <w:t>，</w:t>
            </w:r>
            <w:r>
              <w:rPr>
                <w:rFonts w:hint="eastAsia"/>
                <w:szCs w:val="21"/>
                <w:lang w:val="en-US" w:eastAsia="zh-CN"/>
              </w:rPr>
              <w:t>并回收了旧版文件</w:t>
            </w:r>
            <w:r>
              <w:rPr>
                <w:rFonts w:hint="eastAsia"/>
                <w:szCs w:val="21"/>
              </w:rPr>
              <w:t>。</w:t>
            </w:r>
          </w:p>
          <w:p>
            <w:pPr>
              <w:spacing w:line="360" w:lineRule="auto"/>
              <w:ind w:firstLine="420" w:firstLineChars="200"/>
              <w:rPr>
                <w:szCs w:val="21"/>
              </w:rPr>
            </w:pPr>
            <w:r>
              <w:rPr>
                <w:rFonts w:hint="eastAsia"/>
                <w:szCs w:val="21"/>
              </w:rPr>
              <w:t>查</w:t>
            </w:r>
            <w:r>
              <w:rPr>
                <w:rFonts w:hint="eastAsia"/>
                <w:szCs w:val="21"/>
                <w:lang w:eastAsia="zh-CN"/>
              </w:rPr>
              <w:t>办公室</w:t>
            </w:r>
            <w:r>
              <w:rPr>
                <w:rFonts w:hint="eastAsia"/>
                <w:szCs w:val="21"/>
              </w:rPr>
              <w:t>文件有标识，检索方便，文件夹存放于文件柜内，防护符合要求。</w:t>
            </w:r>
          </w:p>
          <w:p>
            <w:pPr>
              <w:spacing w:line="360" w:lineRule="auto"/>
              <w:ind w:firstLine="420" w:firstLineChars="200"/>
              <w:rPr>
                <w:szCs w:val="21"/>
              </w:rPr>
            </w:pPr>
            <w:r>
              <w:rPr>
                <w:rFonts w:hint="eastAsia"/>
                <w:szCs w:val="21"/>
              </w:rPr>
              <w:t>公司编制并实施了《记录控制程序》对管理体系记录的标识、贮存、保护、检索、保存期限和处置等作了明确规定，符合要求。公司提供《记录一览表》—有内审报告、供方评价表、采购清单、管理评审报告等记录。明确了记录名称、编号、使用保存部门、保存期限等，并经审核后使用。公司各种记录由各使用部门保存，查阅</w:t>
            </w:r>
            <w:r>
              <w:rPr>
                <w:rFonts w:hint="eastAsia"/>
                <w:szCs w:val="21"/>
                <w:lang w:eastAsia="zh-CN"/>
              </w:rPr>
              <w:t>办公室</w:t>
            </w:r>
            <w:r>
              <w:rPr>
                <w:rFonts w:hint="eastAsia"/>
                <w:szCs w:val="21"/>
              </w:rPr>
              <w:t>保存的记录环境情况，归档文件、记录存放于通风、干燥、防蛀的文件柜内，环境干燥、通风，符合文件归档的要求。</w:t>
            </w:r>
          </w:p>
          <w:p>
            <w:pPr>
              <w:spacing w:line="360" w:lineRule="auto"/>
              <w:ind w:firstLine="420" w:firstLineChars="200"/>
              <w:rPr>
                <w:szCs w:val="21"/>
              </w:rPr>
            </w:pPr>
            <w:r>
              <w:rPr>
                <w:rFonts w:hint="eastAsia"/>
                <w:szCs w:val="21"/>
              </w:rPr>
              <w:t>抽查归档文件整理情况，</w:t>
            </w:r>
            <w:r>
              <w:rPr>
                <w:rFonts w:hint="eastAsia"/>
                <w:szCs w:val="21"/>
                <w:lang w:eastAsia="zh-CN"/>
              </w:rPr>
              <w:t>办公室</w:t>
            </w:r>
            <w:r>
              <w:rPr>
                <w:rFonts w:hint="eastAsia"/>
                <w:szCs w:val="21"/>
              </w:rPr>
              <w:t>已将文件进行了分类，按文件的名称、编号及时间装文件袋进行归档，文件较清洁，字迹清晰，检索方便，抽查有内部审核资料、管理评审资料等，均已装订成册。</w:t>
            </w:r>
          </w:p>
          <w:p>
            <w:pPr>
              <w:spacing w:line="360" w:lineRule="auto"/>
              <w:ind w:firstLine="420" w:firstLineChars="200"/>
              <w:rPr>
                <w:szCs w:val="21"/>
              </w:rPr>
            </w:pPr>
            <w:r>
              <w:rPr>
                <w:rFonts w:hint="eastAsia"/>
                <w:szCs w:val="21"/>
              </w:rPr>
              <w:t>外来记录（如顾客投诉记录等）由相关部门负责保管、归档。</w:t>
            </w:r>
          </w:p>
          <w:p>
            <w:pPr>
              <w:spacing w:line="360" w:lineRule="auto"/>
              <w:ind w:firstLine="420" w:firstLineChars="200"/>
              <w:rPr>
                <w:szCs w:val="21"/>
              </w:rPr>
            </w:pPr>
            <w:r>
              <w:rPr>
                <w:rFonts w:hint="eastAsia"/>
                <w:szCs w:val="21"/>
              </w:rPr>
              <w:t>原件记录原则上不外借，其它记录查阅时须有关部门同意后，方可查阅。</w:t>
            </w:r>
          </w:p>
          <w:p>
            <w:pPr>
              <w:spacing w:line="360" w:lineRule="auto"/>
              <w:ind w:firstLine="420" w:firstLineChars="200"/>
              <w:rPr>
                <w:szCs w:val="21"/>
              </w:rPr>
            </w:pPr>
            <w:r>
              <w:rPr>
                <w:rFonts w:hint="eastAsia"/>
                <w:szCs w:val="21"/>
              </w:rPr>
              <w:t>记录控制基本有效。</w:t>
            </w:r>
          </w:p>
        </w:tc>
        <w:tc>
          <w:tcPr>
            <w:tcW w:w="1585" w:type="dxa"/>
          </w:tcPr>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360" w:lineRule="auto"/>
              <w:rPr>
                <w:rFonts w:hint="eastAsia" w:ascii="宋体" w:hAnsi="宋体" w:eastAsia="宋体" w:cs="宋体"/>
                <w:szCs w:val="21"/>
                <w:lang w:eastAsia="zh-CN"/>
              </w:rPr>
            </w:pPr>
            <w:r>
              <w:rPr>
                <w:rFonts w:hint="eastAsia" w:ascii="宋体" w:hAnsi="宋体" w:cs="Arial"/>
                <w:sz w:val="21"/>
                <w:szCs w:val="21"/>
              </w:rPr>
              <w:t>分析与评价</w:t>
            </w:r>
          </w:p>
        </w:tc>
        <w:tc>
          <w:tcPr>
            <w:tcW w:w="998" w:type="dxa"/>
          </w:tcPr>
          <w:p>
            <w:pPr>
              <w:spacing w:line="360" w:lineRule="auto"/>
              <w:rPr>
                <w:rFonts w:hint="default" w:ascii="宋体" w:hAnsi="宋体" w:eastAsia="宋体" w:cs="宋体"/>
                <w:szCs w:val="21"/>
                <w:lang w:val="en-US" w:eastAsia="zh-CN"/>
              </w:rPr>
            </w:pPr>
            <w:r>
              <w:rPr>
                <w:rFonts w:hint="eastAsia" w:ascii="宋体" w:hAnsi="宋体" w:eastAsia="宋体" w:cs="宋体"/>
                <w:szCs w:val="21"/>
                <w:lang w:eastAsia="zh-CN"/>
              </w:rPr>
              <w:t>Q9.1.</w:t>
            </w:r>
            <w:r>
              <w:rPr>
                <w:rFonts w:hint="eastAsia" w:ascii="宋体" w:hAnsi="宋体" w:eastAsia="宋体" w:cs="宋体"/>
                <w:szCs w:val="21"/>
                <w:lang w:val="en-US" w:eastAsia="zh-CN"/>
              </w:rPr>
              <w:t>3</w:t>
            </w:r>
          </w:p>
        </w:tc>
        <w:tc>
          <w:tcPr>
            <w:tcW w:w="10004" w:type="dxa"/>
            <w:vAlign w:val="center"/>
          </w:tcPr>
          <w:p>
            <w:pPr>
              <w:keepNext w:val="0"/>
              <w:keepLines w:val="0"/>
              <w:suppressLineNumbers w:val="0"/>
              <w:spacing w:before="0" w:beforeAutospacing="0" w:after="0" w:afterAutospacing="0" w:line="360" w:lineRule="auto"/>
              <w:ind w:left="0" w:right="0" w:firstLine="420" w:firstLineChars="200"/>
              <w:rPr>
                <w:rFonts w:hint="eastAsia" w:ascii="宋体" w:hAnsi="宋体"/>
                <w:sz w:val="21"/>
                <w:szCs w:val="21"/>
              </w:rPr>
            </w:pPr>
            <w:r>
              <w:rPr>
                <w:rFonts w:hint="eastAsia" w:ascii="宋体" w:hAnsi="宋体"/>
                <w:sz w:val="21"/>
                <w:szCs w:val="21"/>
              </w:rPr>
              <w:t>经查：部门根据监视和测量获得的数据和信息，组织相关部门进行了分析评价。包括：对公司及各部门质量目标完成情见进行分析，确定</w:t>
            </w:r>
            <w:r>
              <w:rPr>
                <w:rFonts w:hint="eastAsia" w:ascii="宋体" w:hAnsi="宋体"/>
                <w:sz w:val="21"/>
                <w:szCs w:val="21"/>
                <w:lang w:val="en-US" w:eastAsia="zh-CN"/>
              </w:rPr>
              <w:t>管理</w:t>
            </w:r>
            <w:r>
              <w:rPr>
                <w:rFonts w:hint="eastAsia" w:ascii="宋体" w:hAnsi="宋体"/>
                <w:sz w:val="21"/>
                <w:szCs w:val="21"/>
              </w:rPr>
              <w:t>体系运行状况（见管理评审输入）；对顾客满意有关的信息进行了分析，以确定顾客满意程度（见</w:t>
            </w:r>
            <w:r>
              <w:rPr>
                <w:rFonts w:hint="eastAsia" w:ascii="宋体" w:hAnsi="宋体"/>
                <w:sz w:val="21"/>
                <w:szCs w:val="21"/>
                <w:lang w:val="en-US" w:eastAsia="zh-CN"/>
              </w:rPr>
              <w:t>供销部</w:t>
            </w:r>
            <w:r>
              <w:rPr>
                <w:rFonts w:hint="eastAsia" w:ascii="宋体" w:hAnsi="宋体"/>
                <w:sz w:val="21"/>
                <w:szCs w:val="21"/>
              </w:rPr>
              <w:t>9.1.2）；</w:t>
            </w:r>
          </w:p>
          <w:p>
            <w:pPr>
              <w:keepNext w:val="0"/>
              <w:keepLines w:val="0"/>
              <w:suppressLineNumbers w:val="0"/>
              <w:spacing w:before="0" w:beforeAutospacing="0" w:after="0" w:afterAutospacing="0" w:line="360" w:lineRule="auto"/>
              <w:ind w:left="0" w:right="0" w:firstLine="420" w:firstLineChars="200"/>
              <w:rPr>
                <w:rFonts w:hint="eastAsia" w:ascii="宋体" w:hAnsi="宋体"/>
                <w:sz w:val="21"/>
                <w:szCs w:val="21"/>
              </w:rPr>
            </w:pPr>
            <w:r>
              <w:rPr>
                <w:rFonts w:hint="eastAsia" w:ascii="宋体" w:hAnsi="宋体"/>
                <w:sz w:val="21"/>
                <w:szCs w:val="21"/>
              </w:rPr>
              <w:t>对内部审核的有关信息和应对风险措施的有效性进行分析，以确定</w:t>
            </w:r>
            <w:r>
              <w:rPr>
                <w:rFonts w:hint="eastAsia" w:ascii="宋体" w:hAnsi="宋体"/>
                <w:sz w:val="21"/>
                <w:szCs w:val="21"/>
                <w:lang w:val="en-US" w:eastAsia="zh-CN"/>
              </w:rPr>
              <w:t>管理</w:t>
            </w:r>
            <w:r>
              <w:rPr>
                <w:rFonts w:hint="eastAsia" w:ascii="宋体" w:hAnsi="宋体"/>
                <w:sz w:val="21"/>
                <w:szCs w:val="21"/>
              </w:rPr>
              <w:t>管理体系的有效性（见</w:t>
            </w:r>
            <w:r>
              <w:rPr>
                <w:rFonts w:hint="eastAsia" w:ascii="宋体" w:hAnsi="宋体"/>
                <w:sz w:val="21"/>
                <w:szCs w:val="21"/>
                <w:lang w:val="en-US" w:eastAsia="zh-CN"/>
              </w:rPr>
              <w:t>办公室</w:t>
            </w:r>
            <w:r>
              <w:rPr>
                <w:rFonts w:hint="eastAsia" w:ascii="宋体" w:hAnsi="宋体"/>
                <w:sz w:val="21"/>
                <w:szCs w:val="21"/>
              </w:rPr>
              <w:t>9.2）。</w:t>
            </w:r>
          </w:p>
          <w:p>
            <w:pPr>
              <w:spacing w:line="360" w:lineRule="auto"/>
              <w:ind w:firstLine="420" w:firstLineChars="200"/>
              <w:rPr>
                <w:rFonts w:hint="eastAsia" w:ascii="宋体" w:hAnsi="宋体" w:cs="宋体"/>
                <w:sz w:val="21"/>
                <w:szCs w:val="21"/>
                <w:lang w:eastAsia="zh-CN"/>
              </w:rPr>
            </w:pPr>
            <w:r>
              <w:rPr>
                <w:rFonts w:hint="eastAsia" w:ascii="宋体" w:hAnsi="宋体"/>
                <w:sz w:val="21"/>
                <w:szCs w:val="21"/>
              </w:rPr>
              <w:t>部门在汇总以上分析结果的基础上，分析针对风险和机遇所采取措施的有效性，积极寻找</w:t>
            </w:r>
            <w:r>
              <w:rPr>
                <w:rFonts w:hint="eastAsia" w:ascii="宋体" w:hAnsi="宋体"/>
                <w:sz w:val="21"/>
                <w:szCs w:val="21"/>
                <w:lang w:val="en-US" w:eastAsia="zh-CN"/>
              </w:rPr>
              <w:t>管理</w:t>
            </w:r>
            <w:r>
              <w:rPr>
                <w:rFonts w:hint="eastAsia" w:ascii="宋体" w:hAnsi="宋体"/>
                <w:sz w:val="21"/>
                <w:szCs w:val="21"/>
              </w:rPr>
              <w:t>管理体系持续改进的机会，通过管理评审会议的改进决策进行</w:t>
            </w:r>
            <w:r>
              <w:rPr>
                <w:rFonts w:hint="eastAsia" w:ascii="宋体" w:hAnsi="宋体"/>
                <w:sz w:val="21"/>
                <w:szCs w:val="21"/>
                <w:lang w:val="en-US" w:eastAsia="zh-CN"/>
              </w:rPr>
              <w:t>管理</w:t>
            </w:r>
            <w:r>
              <w:rPr>
                <w:rFonts w:hint="eastAsia" w:ascii="宋体" w:hAnsi="宋体"/>
                <w:sz w:val="21"/>
                <w:szCs w:val="21"/>
              </w:rPr>
              <w:t>管理体系的持续改进（见相关部门检查表）。</w:t>
            </w:r>
          </w:p>
        </w:tc>
        <w:tc>
          <w:tcPr>
            <w:tcW w:w="1585" w:type="dxa"/>
          </w:tcPr>
          <w:p>
            <w:pPr>
              <w:spacing w:line="360" w:lineRule="auto"/>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4709" w:type="dxa"/>
            <w:gridSpan w:val="4"/>
          </w:tcPr>
          <w:p>
            <w:pPr>
              <w:spacing w:line="360" w:lineRule="auto"/>
              <w:rPr>
                <w:rFonts w:hint="eastAsia"/>
              </w:rPr>
            </w:pPr>
            <w:r>
              <w:rPr>
                <w:rFonts w:hint="eastAsia"/>
                <w:lang w:val="en-US" w:eastAsia="zh-CN"/>
              </w:rPr>
              <w:t>备注：</w:t>
            </w:r>
          </w:p>
        </w:tc>
      </w:tr>
    </w:tbl>
    <w:p>
      <w:r>
        <w:ptab w:relativeTo="margin" w:alignment="center" w:leader="none"/>
      </w:r>
    </w:p>
    <w:p>
      <w:pPr>
        <w:pStyle w:val="4"/>
      </w:pPr>
      <w:r>
        <w:rPr>
          <w:rFonts w:hint="eastAsia"/>
        </w:rPr>
        <w:t>说明：不符合标注N</w:t>
      </w:r>
    </w:p>
    <w:p>
      <w:pPr>
        <w:pStyle w:val="4"/>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bookmarkStart w:id="0" w:name="_GoBack"/>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bookmarkEnd w:id="0"/>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path/>
              <v:fill focussize="0,0"/>
              <v:stroke on="f" joinstyle="miter"/>
              <v:imagedata o:title=""/>
              <o:lock v:ext="edit"/>
              <v:textbox>
                <w:txbxContent>
                  <w:p>
                    <w:pPr>
                      <w:rPr>
                        <w:sz w:val="18"/>
                        <w:szCs w:val="18"/>
                      </w:rPr>
                    </w:pPr>
                    <w:r>
                      <w:rPr>
                        <w:rFonts w:hint="eastAsia"/>
                        <w:sz w:val="18"/>
                        <w:szCs w:val="18"/>
                      </w:rPr>
                      <w:t>ISC-B-II-12(05版）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56" w:firstLineChars="400"/>
      <w:jc w:val="left"/>
    </w:pPr>
    <w:r>
      <w:rPr>
        <w:rStyle w:val="12"/>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hMzVmMjRhOTI3NTFjNmRlYmM5YzA2NWZhNjBiZTEifQ=="/>
  </w:docVars>
  <w:rsids>
    <w:rsidRoot w:val="00814B16"/>
    <w:rsid w:val="00011ABE"/>
    <w:rsid w:val="00076C21"/>
    <w:rsid w:val="00077C88"/>
    <w:rsid w:val="000A75BA"/>
    <w:rsid w:val="000B0CD5"/>
    <w:rsid w:val="000B6409"/>
    <w:rsid w:val="000F14E3"/>
    <w:rsid w:val="00115E0C"/>
    <w:rsid w:val="00121BF2"/>
    <w:rsid w:val="001311B9"/>
    <w:rsid w:val="00133E72"/>
    <w:rsid w:val="00140940"/>
    <w:rsid w:val="00140A69"/>
    <w:rsid w:val="0016036E"/>
    <w:rsid w:val="001937C7"/>
    <w:rsid w:val="001945D7"/>
    <w:rsid w:val="001A05B6"/>
    <w:rsid w:val="001A3B63"/>
    <w:rsid w:val="001B19FF"/>
    <w:rsid w:val="001C57A3"/>
    <w:rsid w:val="001F0E7B"/>
    <w:rsid w:val="001F37CF"/>
    <w:rsid w:val="001F77E0"/>
    <w:rsid w:val="002533F4"/>
    <w:rsid w:val="00273847"/>
    <w:rsid w:val="002871F4"/>
    <w:rsid w:val="00287457"/>
    <w:rsid w:val="002B36EC"/>
    <w:rsid w:val="002C22A6"/>
    <w:rsid w:val="002E29A0"/>
    <w:rsid w:val="002E55EA"/>
    <w:rsid w:val="002F05BD"/>
    <w:rsid w:val="003015FB"/>
    <w:rsid w:val="003273C2"/>
    <w:rsid w:val="003445A0"/>
    <w:rsid w:val="003541E0"/>
    <w:rsid w:val="00364D71"/>
    <w:rsid w:val="00382525"/>
    <w:rsid w:val="00384FEF"/>
    <w:rsid w:val="00397D3F"/>
    <w:rsid w:val="003C254E"/>
    <w:rsid w:val="003E434A"/>
    <w:rsid w:val="0042030E"/>
    <w:rsid w:val="0043712F"/>
    <w:rsid w:val="004450A7"/>
    <w:rsid w:val="0047490C"/>
    <w:rsid w:val="004819AB"/>
    <w:rsid w:val="004832CA"/>
    <w:rsid w:val="00497971"/>
    <w:rsid w:val="004B20B2"/>
    <w:rsid w:val="004B4B24"/>
    <w:rsid w:val="004D14C1"/>
    <w:rsid w:val="004D6FC5"/>
    <w:rsid w:val="004E6448"/>
    <w:rsid w:val="004E7665"/>
    <w:rsid w:val="004E7D7E"/>
    <w:rsid w:val="004F4E79"/>
    <w:rsid w:val="00503F34"/>
    <w:rsid w:val="005074C4"/>
    <w:rsid w:val="00507E17"/>
    <w:rsid w:val="00516205"/>
    <w:rsid w:val="00532DE5"/>
    <w:rsid w:val="00551E35"/>
    <w:rsid w:val="0056074B"/>
    <w:rsid w:val="00567182"/>
    <w:rsid w:val="005676DC"/>
    <w:rsid w:val="005A2330"/>
    <w:rsid w:val="005A23B2"/>
    <w:rsid w:val="005B6C34"/>
    <w:rsid w:val="005D2531"/>
    <w:rsid w:val="005F04E5"/>
    <w:rsid w:val="00621578"/>
    <w:rsid w:val="00621EA2"/>
    <w:rsid w:val="006256EF"/>
    <w:rsid w:val="00646303"/>
    <w:rsid w:val="0066353B"/>
    <w:rsid w:val="00663A52"/>
    <w:rsid w:val="00665E60"/>
    <w:rsid w:val="00672093"/>
    <w:rsid w:val="00672CC5"/>
    <w:rsid w:val="00680222"/>
    <w:rsid w:val="006842EC"/>
    <w:rsid w:val="006E4E1C"/>
    <w:rsid w:val="006F2650"/>
    <w:rsid w:val="006F2C8A"/>
    <w:rsid w:val="00713C1D"/>
    <w:rsid w:val="00715292"/>
    <w:rsid w:val="007469D5"/>
    <w:rsid w:val="0075560B"/>
    <w:rsid w:val="00756C63"/>
    <w:rsid w:val="00761387"/>
    <w:rsid w:val="00774749"/>
    <w:rsid w:val="007861D2"/>
    <w:rsid w:val="00797BA7"/>
    <w:rsid w:val="007B4E33"/>
    <w:rsid w:val="007C5A7D"/>
    <w:rsid w:val="007C6A31"/>
    <w:rsid w:val="007D3A58"/>
    <w:rsid w:val="007E6050"/>
    <w:rsid w:val="00814B16"/>
    <w:rsid w:val="008242EA"/>
    <w:rsid w:val="008265BB"/>
    <w:rsid w:val="00834CE8"/>
    <w:rsid w:val="0085042B"/>
    <w:rsid w:val="008631F9"/>
    <w:rsid w:val="008667F0"/>
    <w:rsid w:val="008A1509"/>
    <w:rsid w:val="008B3B2F"/>
    <w:rsid w:val="008C01A2"/>
    <w:rsid w:val="008D2E87"/>
    <w:rsid w:val="008D3475"/>
    <w:rsid w:val="00911D5E"/>
    <w:rsid w:val="0092791F"/>
    <w:rsid w:val="00954D65"/>
    <w:rsid w:val="00955C0E"/>
    <w:rsid w:val="00976860"/>
    <w:rsid w:val="00991AEB"/>
    <w:rsid w:val="00992529"/>
    <w:rsid w:val="009977CF"/>
    <w:rsid w:val="009B1072"/>
    <w:rsid w:val="00A01526"/>
    <w:rsid w:val="00A23D1B"/>
    <w:rsid w:val="00A30F85"/>
    <w:rsid w:val="00A52229"/>
    <w:rsid w:val="00A76F84"/>
    <w:rsid w:val="00A86196"/>
    <w:rsid w:val="00A94706"/>
    <w:rsid w:val="00AB5CFD"/>
    <w:rsid w:val="00AE6698"/>
    <w:rsid w:val="00B007F3"/>
    <w:rsid w:val="00B03AA7"/>
    <w:rsid w:val="00B119B7"/>
    <w:rsid w:val="00B361C1"/>
    <w:rsid w:val="00B531A8"/>
    <w:rsid w:val="00B53B05"/>
    <w:rsid w:val="00B6239E"/>
    <w:rsid w:val="00B6507C"/>
    <w:rsid w:val="00C277AC"/>
    <w:rsid w:val="00C41F32"/>
    <w:rsid w:val="00C4272D"/>
    <w:rsid w:val="00C44388"/>
    <w:rsid w:val="00C60EB8"/>
    <w:rsid w:val="00C827AA"/>
    <w:rsid w:val="00C856E9"/>
    <w:rsid w:val="00C94573"/>
    <w:rsid w:val="00CA1BE3"/>
    <w:rsid w:val="00CD1E5C"/>
    <w:rsid w:val="00CD4ED7"/>
    <w:rsid w:val="00CD58BC"/>
    <w:rsid w:val="00D05DB2"/>
    <w:rsid w:val="00D6037A"/>
    <w:rsid w:val="00D937E0"/>
    <w:rsid w:val="00DA22FF"/>
    <w:rsid w:val="00DE1A2C"/>
    <w:rsid w:val="00DE2FCE"/>
    <w:rsid w:val="00DF19AB"/>
    <w:rsid w:val="00E0114F"/>
    <w:rsid w:val="00E11BD3"/>
    <w:rsid w:val="00E17655"/>
    <w:rsid w:val="00E219A3"/>
    <w:rsid w:val="00E41911"/>
    <w:rsid w:val="00E556FE"/>
    <w:rsid w:val="00E707CA"/>
    <w:rsid w:val="00E944DC"/>
    <w:rsid w:val="00E97080"/>
    <w:rsid w:val="00E97654"/>
    <w:rsid w:val="00EA2EA2"/>
    <w:rsid w:val="00EB1A5C"/>
    <w:rsid w:val="00EB6AAC"/>
    <w:rsid w:val="00ED41DC"/>
    <w:rsid w:val="00EE43A0"/>
    <w:rsid w:val="00EE6BAB"/>
    <w:rsid w:val="00F01F3E"/>
    <w:rsid w:val="00F05246"/>
    <w:rsid w:val="00F11424"/>
    <w:rsid w:val="00F13731"/>
    <w:rsid w:val="00F43CC1"/>
    <w:rsid w:val="00F5455B"/>
    <w:rsid w:val="00F62C59"/>
    <w:rsid w:val="00FB5026"/>
    <w:rsid w:val="00FB6FAA"/>
    <w:rsid w:val="00FF01F3"/>
    <w:rsid w:val="00FF0A51"/>
    <w:rsid w:val="00FF1D21"/>
    <w:rsid w:val="00FF5E6D"/>
    <w:rsid w:val="020129FE"/>
    <w:rsid w:val="021522E9"/>
    <w:rsid w:val="024F7BCF"/>
    <w:rsid w:val="032B7C93"/>
    <w:rsid w:val="047D4E9D"/>
    <w:rsid w:val="04B03A25"/>
    <w:rsid w:val="056D41CE"/>
    <w:rsid w:val="07377923"/>
    <w:rsid w:val="078522A3"/>
    <w:rsid w:val="081310A2"/>
    <w:rsid w:val="092F489E"/>
    <w:rsid w:val="098A2598"/>
    <w:rsid w:val="0A7418F7"/>
    <w:rsid w:val="0A755CD1"/>
    <w:rsid w:val="0B5E05CB"/>
    <w:rsid w:val="0C625E1B"/>
    <w:rsid w:val="0DE3632D"/>
    <w:rsid w:val="0EC6526F"/>
    <w:rsid w:val="10CC15C0"/>
    <w:rsid w:val="113D29BF"/>
    <w:rsid w:val="116E4D89"/>
    <w:rsid w:val="118604CA"/>
    <w:rsid w:val="119344B6"/>
    <w:rsid w:val="11B844E6"/>
    <w:rsid w:val="129057E6"/>
    <w:rsid w:val="12FD2E93"/>
    <w:rsid w:val="158E45BA"/>
    <w:rsid w:val="163E2E11"/>
    <w:rsid w:val="167769A9"/>
    <w:rsid w:val="17A60298"/>
    <w:rsid w:val="1A37556F"/>
    <w:rsid w:val="1A822FA7"/>
    <w:rsid w:val="1B3936B3"/>
    <w:rsid w:val="1BE846E9"/>
    <w:rsid w:val="1DC40F3E"/>
    <w:rsid w:val="1E17525C"/>
    <w:rsid w:val="1EC7308C"/>
    <w:rsid w:val="1EED5939"/>
    <w:rsid w:val="1F591E4B"/>
    <w:rsid w:val="20784D0C"/>
    <w:rsid w:val="2149754D"/>
    <w:rsid w:val="227B4D7D"/>
    <w:rsid w:val="22E81A15"/>
    <w:rsid w:val="24EE4865"/>
    <w:rsid w:val="257A46A2"/>
    <w:rsid w:val="26EB66E8"/>
    <w:rsid w:val="2EBF1259"/>
    <w:rsid w:val="2FC21785"/>
    <w:rsid w:val="315A769F"/>
    <w:rsid w:val="328D0D90"/>
    <w:rsid w:val="332F6E2E"/>
    <w:rsid w:val="33EC0E30"/>
    <w:rsid w:val="35655683"/>
    <w:rsid w:val="357462AA"/>
    <w:rsid w:val="36106290"/>
    <w:rsid w:val="366131A6"/>
    <w:rsid w:val="36BE5965"/>
    <w:rsid w:val="37203C8D"/>
    <w:rsid w:val="37E42671"/>
    <w:rsid w:val="38B77B12"/>
    <w:rsid w:val="38CE76F2"/>
    <w:rsid w:val="38E44796"/>
    <w:rsid w:val="391D226E"/>
    <w:rsid w:val="395F4350"/>
    <w:rsid w:val="39DF646A"/>
    <w:rsid w:val="3B7924D0"/>
    <w:rsid w:val="3D2B29BB"/>
    <w:rsid w:val="3E676E01"/>
    <w:rsid w:val="3ED56DC4"/>
    <w:rsid w:val="3F1E1F7C"/>
    <w:rsid w:val="4074648A"/>
    <w:rsid w:val="418C5867"/>
    <w:rsid w:val="42684491"/>
    <w:rsid w:val="435A28E4"/>
    <w:rsid w:val="43FB2AF0"/>
    <w:rsid w:val="45060F3E"/>
    <w:rsid w:val="47432516"/>
    <w:rsid w:val="47580731"/>
    <w:rsid w:val="47AB2FC0"/>
    <w:rsid w:val="47D469F7"/>
    <w:rsid w:val="47EC179A"/>
    <w:rsid w:val="48012986"/>
    <w:rsid w:val="4913714F"/>
    <w:rsid w:val="4A95487A"/>
    <w:rsid w:val="4C7E4A49"/>
    <w:rsid w:val="4DED56EF"/>
    <w:rsid w:val="4EF0704D"/>
    <w:rsid w:val="4EFE3272"/>
    <w:rsid w:val="4F3B0425"/>
    <w:rsid w:val="4FD138C7"/>
    <w:rsid w:val="51816C5F"/>
    <w:rsid w:val="52630829"/>
    <w:rsid w:val="52C15ED1"/>
    <w:rsid w:val="539532BF"/>
    <w:rsid w:val="5493123C"/>
    <w:rsid w:val="5827195E"/>
    <w:rsid w:val="5C2C00F8"/>
    <w:rsid w:val="5E407D9F"/>
    <w:rsid w:val="5E8414C5"/>
    <w:rsid w:val="60EE010F"/>
    <w:rsid w:val="62C20DB6"/>
    <w:rsid w:val="62E8549C"/>
    <w:rsid w:val="639A03A2"/>
    <w:rsid w:val="641807B5"/>
    <w:rsid w:val="67500C85"/>
    <w:rsid w:val="689D56E8"/>
    <w:rsid w:val="690E7415"/>
    <w:rsid w:val="693E7AF0"/>
    <w:rsid w:val="69F51D33"/>
    <w:rsid w:val="6B8122DC"/>
    <w:rsid w:val="6C0A5707"/>
    <w:rsid w:val="6E3312F4"/>
    <w:rsid w:val="6EA44CFD"/>
    <w:rsid w:val="6FC67861"/>
    <w:rsid w:val="723164F6"/>
    <w:rsid w:val="729B5296"/>
    <w:rsid w:val="72DA6CFE"/>
    <w:rsid w:val="73371E1F"/>
    <w:rsid w:val="7367290E"/>
    <w:rsid w:val="73C01D14"/>
    <w:rsid w:val="746D0F84"/>
    <w:rsid w:val="747D06DB"/>
    <w:rsid w:val="752D00F5"/>
    <w:rsid w:val="76B43CA8"/>
    <w:rsid w:val="789B5077"/>
    <w:rsid w:val="7A172C96"/>
    <w:rsid w:val="7A3F072B"/>
    <w:rsid w:val="7A695463"/>
    <w:rsid w:val="7AD237C2"/>
    <w:rsid w:val="7BC807EB"/>
    <w:rsid w:val="7C1F2EA3"/>
    <w:rsid w:val="7EE530FF"/>
    <w:rsid w:val="7F68387A"/>
    <w:rsid w:val="7F974D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ucida Sans" w:hAnsi="Lucida Sans"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表格文字"/>
    <w:basedOn w:val="1"/>
    <w:qFormat/>
    <w:uiPriority w:val="99"/>
    <w:pPr>
      <w:spacing w:before="25" w:after="25"/>
    </w:pPr>
    <w:rPr>
      <w:bCs/>
      <w:spacing w:val="10"/>
    </w:rPr>
  </w:style>
  <w:style w:type="character" w:customStyle="1" w:styleId="9">
    <w:name w:val="页眉 字符"/>
    <w:basedOn w:val="7"/>
    <w:link w:val="5"/>
    <w:qFormat/>
    <w:uiPriority w:val="99"/>
    <w:rPr>
      <w:rFonts w:ascii="Times New Roman" w:hAnsi="Times New Roman" w:eastAsia="宋体" w:cs="Times New Roman"/>
      <w:sz w:val="18"/>
      <w:szCs w:val="18"/>
    </w:rPr>
  </w:style>
  <w:style w:type="character" w:customStyle="1" w:styleId="10">
    <w:name w:val="页脚 字符"/>
    <w:basedOn w:val="7"/>
    <w:link w:val="4"/>
    <w:qFormat/>
    <w:uiPriority w:val="99"/>
    <w:rPr>
      <w:rFonts w:ascii="Times New Roman" w:hAnsi="Times New Roman" w:eastAsia="宋体" w:cs="Times New Roman"/>
      <w:sz w:val="18"/>
      <w:szCs w:val="18"/>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Char"/>
    <w:basedOn w:val="1"/>
    <w:qFormat/>
    <w:uiPriority w:val="0"/>
    <w:rPr>
      <w:rFonts w:ascii="仿宋_GB2312" w:eastAsia="仿宋_GB2312"/>
      <w:b/>
      <w:sz w:val="32"/>
      <w:szCs w:val="32"/>
    </w:rPr>
  </w:style>
  <w:style w:type="paragraph" w:customStyle="1" w:styleId="14">
    <w:name w:val="_Style 2"/>
    <w:basedOn w:val="1"/>
    <w:qFormat/>
    <w:uiPriority w:val="34"/>
    <w:pPr>
      <w:ind w:firstLine="420" w:firstLineChars="200"/>
    </w:pPr>
    <w:rPr>
      <w:rFonts w:ascii="Calibri" w:hAnsi="Calibri"/>
      <w:sz w:val="24"/>
      <w:szCs w:val="22"/>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9658</Words>
  <Characters>10901</Characters>
  <Lines>37</Lines>
  <Paragraphs>10</Paragraphs>
  <TotalTime>0</TotalTime>
  <ScaleCrop>false</ScaleCrop>
  <LinksUpToDate>false</LinksUpToDate>
  <CharactersWithSpaces>11135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郭力</cp:lastModifiedBy>
  <dcterms:modified xsi:type="dcterms:W3CDTF">2022-06-15T07:45:48Z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F4B502BF0F4043C1B51B44234B02DAD2</vt:lpwstr>
  </property>
</Properties>
</file>