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河北</w:t>
            </w:r>
            <w:r>
              <w:rPr>
                <w:rFonts w:hint="eastAsia"/>
                <w:b/>
                <w:sz w:val="20"/>
                <w:lang w:val="en-US" w:eastAsia="zh-CN"/>
              </w:rPr>
              <w:t>江德商砼</w:t>
            </w:r>
            <w:r>
              <w:rPr>
                <w:b/>
                <w:sz w:val="20"/>
              </w:rPr>
              <w:t>有限公司</w:t>
            </w:r>
            <w:bookmarkEnd w:id="0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2.4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144145</wp:posOffset>
                  </wp:positionV>
                  <wp:extent cx="1054735" cy="236220"/>
                  <wp:effectExtent l="0" t="0" r="12065" b="5080"/>
                  <wp:wrapSquare wrapText="bothSides"/>
                  <wp:docPr id="12" name="图片 1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-7620</wp:posOffset>
                  </wp:positionV>
                  <wp:extent cx="1389380" cy="300990"/>
                  <wp:effectExtent l="0" t="0" r="7620" b="3810"/>
                  <wp:wrapSquare wrapText="bothSides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原材料（骨料、粉料）--上料（骨料上料、粉料上料）--配料（骨料配料、粉料配料）--水称量--外加剂称量--搅拌--抽测</w:t>
            </w:r>
          </w:p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主要能源使用：生产用电和水；产品运输和厂内运输用柴油；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主要能源绩效参数：综合能耗tce，生产综合能耗kgce/m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>，运输综合能耗kgce/m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节约能源法、合同法、计量法、能源管理体系、建筑材料企业能源管理体系认证要求、商品混凝土生产能源消耗限额标准、综合能耗计算通则等。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-4819015</wp:posOffset>
                  </wp:positionV>
                  <wp:extent cx="1054735" cy="236220"/>
                  <wp:effectExtent l="0" t="0" r="12065" b="5080"/>
                  <wp:wrapSquare wrapText="bothSides"/>
                  <wp:docPr id="3" name="图片 3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-4913630</wp:posOffset>
                  </wp:positionV>
                  <wp:extent cx="1389380" cy="300990"/>
                  <wp:effectExtent l="0" t="0" r="7620" b="3810"/>
                  <wp:wrapSquare wrapText="bothSides"/>
                  <wp:docPr id="4" name="图片 4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2022.5.27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FC935F8"/>
    <w:rsid w:val="66836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2022-05-28T06:53:14Z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