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0637-2019-Q-2022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北京联隆宏德机械加工有限公司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北京联隆宏德机械加工有限公司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北京市海淀区温泉镇太舟坞村东工业小区2号院110室（村委会平房）</w:t>
            </w:r>
            <w:bookmarkEnd w:id="6"/>
          </w:p>
        </w:tc>
        <w:tc>
          <w:tcPr>
            <w:tcW w:w="1242" w:type="dxa"/>
            <w:vMerge w:val="restart"/>
            <w:vAlign w:val="center"/>
          </w:tcPr>
          <w:p>
            <w:r>
              <w:rPr>
                <w:rFonts w:hint="eastAsia"/>
              </w:rPr>
              <w:t>邮编</w:t>
            </w:r>
          </w:p>
        </w:tc>
        <w:tc>
          <w:tcPr>
            <w:tcW w:w="1771" w:type="dxa"/>
          </w:tcPr>
          <w:p>
            <w:bookmarkStart w:id="7" w:name="注册邮编"/>
            <w:r>
              <w:t>100095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北京市昌平区南口镇西大桥汽修厂院内</w:t>
            </w:r>
            <w:bookmarkEnd w:id="8"/>
          </w:p>
        </w:tc>
        <w:tc>
          <w:tcPr>
            <w:tcW w:w="1242" w:type="dxa"/>
            <w:vMerge w:val="continue"/>
            <w:vAlign w:val="center"/>
          </w:tcPr>
          <w:p/>
        </w:tc>
        <w:tc>
          <w:tcPr>
            <w:tcW w:w="1771" w:type="dxa"/>
          </w:tcPr>
          <w:p>
            <w:bookmarkStart w:id="9" w:name="办公邮编"/>
            <w:r>
              <w:t>102202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董凤全</w:t>
            </w:r>
            <w:bookmarkEnd w:id="10"/>
          </w:p>
        </w:tc>
        <w:tc>
          <w:tcPr>
            <w:tcW w:w="1313" w:type="dxa"/>
            <w:vAlign w:val="center"/>
          </w:tcPr>
          <w:p>
            <w:r>
              <w:rPr>
                <w:rFonts w:hint="eastAsia"/>
              </w:rPr>
              <w:t>电话.</w:t>
            </w:r>
          </w:p>
        </w:tc>
        <w:tc>
          <w:tcPr>
            <w:tcW w:w="2180" w:type="dxa"/>
            <w:vAlign w:val="center"/>
          </w:tcPr>
          <w:p>
            <w:bookmarkStart w:id="11" w:name="联系人电话"/>
            <w:r>
              <w:t>15901286839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董凤全</w:t>
            </w:r>
            <w:bookmarkEnd w:id="13"/>
          </w:p>
        </w:tc>
        <w:tc>
          <w:tcPr>
            <w:tcW w:w="1313" w:type="dxa"/>
            <w:vAlign w:val="center"/>
          </w:tcPr>
          <w:p>
            <w:r>
              <w:rPr>
                <w:rFonts w:hint="eastAsia"/>
              </w:rPr>
              <w:t>管理者代表</w:t>
            </w:r>
          </w:p>
        </w:tc>
        <w:tc>
          <w:tcPr>
            <w:tcW w:w="2180" w:type="dxa"/>
          </w:tcPr>
          <w:p>
            <w:bookmarkStart w:id="14" w:name="管理者代表"/>
            <w:r>
              <w:t>董彬</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bookmarkStart w:id="34" w:name="_GoBack"/>
            <w:bookmarkEnd w:id="34"/>
          </w:p>
          <w:p/>
        </w:tc>
        <w:tc>
          <w:tcPr>
            <w:tcW w:w="8058" w:type="dxa"/>
            <w:gridSpan w:val="5"/>
            <w:shd w:val="clear" w:color="auto" w:fill="auto"/>
          </w:tcPr>
          <w:p>
            <w:pPr>
              <w:rPr>
                <w:rFonts w:hint="eastAsia"/>
              </w:rPr>
            </w:pPr>
            <w:r>
              <w:rPr>
                <w:rFonts w:hint="eastAsia"/>
              </w:rPr>
              <w:t>加工：下料--普铣粗铣外形—加工中心半精铣--加工中心精铣—钳工去毛刺--检验—包装--出库</w:t>
            </w:r>
          </w:p>
          <w:p>
            <w:pPr>
              <w:rPr>
                <w:rFonts w:hint="eastAsia"/>
              </w:rPr>
            </w:pPr>
          </w:p>
          <w:p>
            <w:r>
              <w:rPr>
                <w:rFonts w:hint="eastAsia"/>
              </w:rPr>
              <w:t>销售：客户接触--合同评审--签订合同--客户付款--入帐--采购--发货--验收--发货--收回单据--交付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2022年06月20日 上午至2022年06月20日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北京市昌平区南口镇西大桥汽修厂院内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模具（金属）加工（有许可要求除外）；金属零部件销售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17.11.03;29.10.07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北京联隆宏德机械加工有限公司</w:t>
            </w:r>
            <w:r>
              <w:rPr>
                <w:rFonts w:hint="eastAsia"/>
                <w:lang w:val="en-US" w:eastAsia="zh-CN"/>
              </w:rPr>
              <w:t>\</w:t>
            </w:r>
            <w:r>
              <w:rPr>
                <w:rFonts w:hint="eastAsia"/>
                <w:lang w:val="de-DE" w:eastAsia="ja-JP"/>
              </w:rPr>
              <w:t>北京市海淀区温泉镇太舟坞村东工业小区2号院110室（村委会平房）</w:t>
            </w:r>
          </w:p>
        </w:tc>
        <w:tc>
          <w:tcPr>
            <w:tcW w:w="2267" w:type="dxa"/>
          </w:tcPr>
          <w:p>
            <w:pPr>
              <w:rPr>
                <w:lang w:val="de-DE" w:eastAsia="ja-JP"/>
              </w:rPr>
            </w:pPr>
            <w:r>
              <w:rPr>
                <w:rFonts w:hint="eastAsia"/>
                <w:lang w:val="de-DE" w:eastAsia="ja-JP"/>
              </w:rPr>
              <w:t>北京市昌平区南口镇西大桥汽修厂院内</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rFonts w:hint="eastAsia"/>
                <w:lang w:eastAsia="ja-JP"/>
              </w:rPr>
              <w:t>模具（金属）加工（有许可要求除外）；金属零部件销售</w:t>
            </w:r>
          </w:p>
        </w:tc>
        <w:tc>
          <w:tcPr>
            <w:tcW w:w="669" w:type="dxa"/>
            <w:vAlign w:val="center"/>
          </w:tcPr>
          <w:p>
            <w:pPr>
              <w:rPr>
                <w:lang w:eastAsia="ja-JP"/>
              </w:rPr>
            </w:pPr>
            <w:r>
              <w:rPr>
                <w:rFonts w:hint="eastAsia"/>
                <w:lang w:eastAsia="ja-JP"/>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17.11.03,29.10.07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75640" cy="56070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75640" cy="56070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2022.6.20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r>
        <w:rPr>
          <w:shd w:val="clear" w:color="FFFFFF" w:fill="D9D9D9"/>
        </w:rPr>
        <w:t>附件ISO 9001:2015 (若不是ISO 9001:2015审核请删除)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最高管理者制定了文件化的管理体系方针：高品质，重创新，造福社会；只超越，不跟随，引领未来。</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客户对产品质量标准提高，以及对系统的运行维护服务的期望值提升，给公司</w:t>
                  </w:r>
                  <w:r>
                    <w:t>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rPr>
                      <w:rFonts w:hint="eastAsia" w:ascii="Times New Roman" w:hAnsi="Times New Roman" w:eastAsia="宋体" w:cs="Times New Roman"/>
                      <w:color w:val="000000"/>
                      <w:kern w:val="2"/>
                      <w:sz w:val="21"/>
                      <w:szCs w:val="21"/>
                      <w:lang w:val="en-US" w:eastAsia="zh-CN" w:bidi="ar-SA"/>
                    </w:rPr>
                  </w:pPr>
                  <w:r>
                    <w:rPr>
                      <w:rFonts w:hint="eastAsia"/>
                      <w:color w:val="000000"/>
                      <w:szCs w:val="21"/>
                    </w:rPr>
                    <w:t>产品一次检验合格率≥95％</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000000"/>
                      <w:szCs w:val="21"/>
                    </w:rPr>
                    <w:t>一次检验合格数/生产总数*100%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lang w:val="en-GB"/>
                    </w:rPr>
                  </w:pPr>
                  <w:r>
                    <w:rPr>
                      <w:rFonts w:hint="eastAsia"/>
                      <w:szCs w:val="21"/>
                      <w:lang w:val="en-US" w:eastAsia="zh-CN"/>
                    </w:rPr>
                    <w:t>99</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rPr>
                      <w:rFonts w:hint="default" w:ascii="Times New Roman" w:hAnsi="Times New Roman" w:eastAsia="宋体" w:cs="Times New Roman"/>
                      <w:color w:val="000000"/>
                      <w:kern w:val="2"/>
                      <w:sz w:val="21"/>
                      <w:szCs w:val="21"/>
                      <w:lang w:val="en-US" w:eastAsia="zh-CN" w:bidi="ar-SA"/>
                    </w:rPr>
                  </w:pPr>
                  <w:r>
                    <w:rPr>
                      <w:rFonts w:hint="eastAsia"/>
                      <w:color w:val="000000"/>
                      <w:szCs w:val="21"/>
                    </w:rPr>
                    <w:t>顾客满意度≥9</w:t>
                  </w:r>
                  <w:r>
                    <w:rPr>
                      <w:rFonts w:hint="eastAsia"/>
                      <w:color w:val="000000"/>
                      <w:szCs w:val="21"/>
                      <w:lang w:val="en-US" w:eastAsia="zh-CN"/>
                    </w:rPr>
                    <w:t>7&amp;</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szCs w:val="21"/>
                    </w:rPr>
                    <w:t>根据顾客满意度调查结果统计测评</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tabs>
                      <w:tab w:val="left" w:pos="10080"/>
                    </w:tabs>
                    <w:jc w:val="center"/>
                    <w:rPr>
                      <w:rFonts w:hint="default" w:ascii="宋体" w:hAnsi="宋体" w:eastAsia="宋体"/>
                      <w:lang w:val="en-US" w:eastAsia="zh-CN"/>
                    </w:rPr>
                  </w:pPr>
                  <w:r>
                    <w:rPr>
                      <w:rFonts w:hint="eastAsia"/>
                      <w:szCs w:val="21"/>
                    </w:rPr>
                    <w:t>9</w:t>
                  </w:r>
                  <w:r>
                    <w:rPr>
                      <w:rFonts w:hint="eastAsia"/>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pPr>
                  <w:r>
                    <w:rPr>
                      <w:rFonts w:hint="eastAsia" w:ascii="宋体" w:hAnsi="宋体" w:cs="宋体"/>
                      <w:bCs/>
                      <w:color w:val="000000"/>
                      <w:szCs w:val="21"/>
                    </w:rPr>
                    <w:t>生产产品出厂合格率100%</w:t>
                  </w:r>
                </w:p>
              </w:tc>
              <w:tc>
                <w:tcPr>
                  <w:tcW w:w="3136" w:type="dxa"/>
                  <w:shd w:val="clear" w:color="auto" w:fill="auto"/>
                  <w:vAlign w:val="center"/>
                </w:tcPr>
                <w:p>
                  <w:pPr>
                    <w:tabs>
                      <w:tab w:val="left" w:pos="10080"/>
                    </w:tabs>
                    <w:rPr>
                      <w:rFonts w:ascii="宋体" w:hAnsi="宋体"/>
                    </w:rPr>
                  </w:pPr>
                  <w:r>
                    <w:rPr>
                      <w:rFonts w:hint="eastAsia" w:ascii="宋体" w:hAnsi="宋体" w:cs="宋体"/>
                      <w:bCs/>
                      <w:color w:val="000000"/>
                      <w:szCs w:val="21"/>
                    </w:rPr>
                    <w:t>产品出厂</w:t>
                  </w:r>
                  <w:r>
                    <w:rPr>
                      <w:rFonts w:hint="eastAsia" w:ascii="宋体" w:hAnsi="宋体"/>
                      <w:szCs w:val="21"/>
                    </w:rPr>
                    <w:t>合格数/</w:t>
                  </w:r>
                  <w:r>
                    <w:rPr>
                      <w:rFonts w:hint="eastAsia" w:ascii="宋体" w:hAnsi="宋体" w:cs="宋体"/>
                      <w:bCs/>
                      <w:color w:val="000000"/>
                      <w:szCs w:val="21"/>
                    </w:rPr>
                    <w:t>产品出厂</w:t>
                  </w:r>
                  <w:r>
                    <w:rPr>
                      <w:rFonts w:hint="eastAsia" w:ascii="宋体" w:hAnsi="宋体"/>
                      <w:szCs w:val="21"/>
                    </w:rPr>
                    <w:t>总数</w:t>
                  </w:r>
                  <w:r>
                    <w:rPr>
                      <w:rFonts w:hint="eastAsia"/>
                      <w:color w:val="000000"/>
                      <w:szCs w:val="21"/>
                    </w:rPr>
                    <w:t>*100%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color w:val="auto"/>
                <w:u w:val="single"/>
              </w:rPr>
            </w:pPr>
            <w:r>
              <w:rPr>
                <w:rFonts w:hint="eastAsia"/>
                <w:color w:val="auto"/>
              </w:rPr>
              <w:t>主要生产设备有：</w:t>
            </w:r>
            <w:r>
              <w:rPr>
                <w:rFonts w:hint="eastAsia"/>
                <w:color w:val="auto"/>
                <w:u w:val="single"/>
              </w:rPr>
              <w:t>加工中心、数控车、普车、线切割等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eastAsia="宋体" w:cs="宋体"/>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pPr>
              <w:shd w:val="clear" w:color="auto" w:fill="C7DAF1" w:themeFill="text2" w:themeFillTint="32"/>
              <w:rPr>
                <w:color w:val="auto"/>
                <w:u w:val="single"/>
              </w:rPr>
            </w:pPr>
            <w:r>
              <w:rPr>
                <w:rFonts w:hint="eastAsia"/>
                <w:color w:val="auto"/>
              </w:rPr>
              <w:t>国家强检的计量器具有：</w:t>
            </w:r>
            <w:r>
              <w:rPr>
                <w:rFonts w:hint="eastAsia"/>
                <w:color w:val="auto"/>
                <w:u w:val="single"/>
              </w:rPr>
              <w:t>数显卡尺、内径百分表、外径千分尺等</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宋体" w:hAnsi="宋体" w:eastAsia="宋体" w:cs="宋体"/>
              </w:rPr>
              <w:t>■</w:t>
            </w:r>
            <w:r>
              <w:rPr>
                <w:rFonts w:hint="eastAsia"/>
              </w:rPr>
              <w:t>进行了定期校准/检定</w:t>
            </w:r>
            <w:r>
              <w:rPr>
                <w:rFonts w:hint="eastAsia"/>
                <w:lang w:val="en-US" w:eastAsia="zh-CN"/>
              </w:rPr>
              <w:t xml:space="preserve">  </w:t>
            </w:r>
            <w:r>
              <w:rPr>
                <w:rFonts w:hint="eastAsia"/>
              </w:rPr>
              <w:t>未进行定期校准/检定的有：</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color w:val="auto"/>
              </w:rPr>
            </w:pPr>
            <w:r>
              <w:rPr>
                <w:rFonts w:hint="eastAsia"/>
                <w:color w:val="auto"/>
              </w:rPr>
              <w:t>审核期间内设计和开发新产品/项目名称：</w:t>
            </w:r>
            <w:r>
              <w:rPr>
                <w:rFonts w:hint="eastAsia"/>
                <w:color w:val="auto"/>
                <w:u w:val="single"/>
              </w:rPr>
              <w:t>（</w:t>
            </w:r>
            <w:r>
              <w:rPr>
                <w:rFonts w:hint="eastAsia"/>
                <w:color w:val="auto"/>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提供给外部供方的信息符合要求</w:t>
            </w:r>
            <w:r>
              <w:rPr>
                <w:rFonts w:hint="eastAsia" w:ascii="宋体" w:hAnsi="宋体" w:eastAsia="宋体" w:cs="宋体"/>
              </w:rPr>
              <w:t>■</w:t>
            </w:r>
            <w:r>
              <w:rPr>
                <w:rFonts w:hint="eastAsia"/>
              </w:rPr>
              <w:t>存在不足，说明</w:t>
            </w:r>
            <w:r>
              <w:rPr>
                <w:rFonts w:hint="eastAsia"/>
                <w:lang w:eastAsia="zh-CN"/>
              </w:rPr>
              <w:t>：</w:t>
            </w:r>
            <w:r>
              <w:rPr>
                <w:rFonts w:hint="eastAsia"/>
                <w:lang w:val="en-US" w:eastAsia="zh-CN"/>
              </w:rPr>
              <w:t>部分供应商未能完成评价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C7DAF1" w:themeFill="text2" w:themeFillTint="32"/>
                    <w:jc w:val="left"/>
                    <w:rPr>
                      <w:rFonts w:hint="default" w:eastAsia="宋体"/>
                      <w:lang w:val="en-US" w:eastAsia="zh-CN"/>
                    </w:rPr>
                  </w:pPr>
                  <w:r>
                    <w:rPr>
                      <w:rFonts w:hint="default" w:eastAsia="宋体"/>
                      <w:lang w:val="en-US" w:eastAsia="zh-CN"/>
                    </w:rPr>
                    <w:t>模具（金属）加工</w:t>
                  </w:r>
                </w:p>
              </w:tc>
              <w:tc>
                <w:tcPr>
                  <w:tcW w:w="3665" w:type="dxa"/>
                </w:tcPr>
                <w:p>
                  <w:pPr>
                    <w:shd w:val="clear" w:color="auto" w:fill="C7DAF1" w:themeFill="text2" w:themeFillTint="32"/>
                    <w:jc w:val="left"/>
                    <w:rPr>
                      <w:rFonts w:hint="default" w:eastAsia="宋体"/>
                      <w:lang w:val="en-US" w:eastAsia="zh-CN"/>
                    </w:rPr>
                  </w:pPr>
                  <w:r>
                    <w:rPr>
                      <w:rFonts w:hint="eastAsia" w:eastAsia="宋体"/>
                      <w:lang w:val="en-US" w:eastAsia="zh-CN"/>
                    </w:rPr>
                    <w:t>机加工</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服务过程控制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rPr>
                      <w:rFonts w:hint="eastAsia" w:eastAsia="宋体"/>
                      <w:lang w:val="en-US" w:eastAsia="zh-CN"/>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销售服务过程</w:t>
            </w:r>
            <w:r>
              <w:rPr>
                <w:rFonts w:hint="eastAsia"/>
              </w:rPr>
              <w:t>，</w:t>
            </w:r>
          </w:p>
          <w:p>
            <w:pPr>
              <w:shd w:val="clear" w:color="auto" w:fill="C7DAF1" w:themeFill="text2" w:themeFillTint="32"/>
              <w:jc w:val="left"/>
            </w:pPr>
            <w:r>
              <w:rPr>
                <w:rFonts w:hint="eastAsia" w:ascii="宋体" w:hAnsi="宋体" w:eastAsia="宋体" w:cs="宋体"/>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宋体" w:hAnsi="宋体" w:eastAsia="宋体" w:cs="宋体"/>
              </w:rPr>
              <w:t>■</w:t>
            </w:r>
            <w:r>
              <w:rPr>
                <w:rFonts w:hint="eastAsia"/>
              </w:rPr>
              <w:t>标牌</w:t>
            </w:r>
            <w:r>
              <w:rPr>
                <w:rFonts w:hint="eastAsia" w:ascii="宋体" w:hAnsi="宋体" w:eastAsia="宋体" w:cs="宋体"/>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pPr w:leftFromText="180" w:rightFromText="180" w:vertAnchor="text" w:horzAnchor="page" w:tblpX="1067" w:tblpY="178"/>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655"/>
        <w:gridCol w:w="657"/>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4.1</w:t>
            </w:r>
          </w:p>
        </w:tc>
        <w:tc>
          <w:tcPr>
            <w:tcW w:w="657" w:type="dxa"/>
            <w:vAlign w:val="center"/>
          </w:tcPr>
          <w:p>
            <w:pPr>
              <w:shd w:val="clear" w:color="auto" w:fill="C7DAF1" w:themeFill="text2" w:themeFillTint="32"/>
              <w:rPr>
                <w:lang w:eastAsia="ja-JP"/>
              </w:rPr>
            </w:pPr>
            <w:r>
              <w:rPr>
                <w:rFonts w:hint="eastAsia"/>
              </w:rPr>
              <w:t>4.2</w:t>
            </w:r>
          </w:p>
        </w:tc>
        <w:tc>
          <w:tcPr>
            <w:tcW w:w="657" w:type="dxa"/>
            <w:vAlign w:val="center"/>
          </w:tcPr>
          <w:p>
            <w:pPr>
              <w:shd w:val="clear" w:color="auto" w:fill="C7DAF1" w:themeFill="text2" w:themeFillTint="32"/>
              <w:rPr>
                <w:lang w:eastAsia="ja-JP"/>
              </w:rPr>
            </w:pPr>
            <w:r>
              <w:rPr>
                <w:rFonts w:hint="eastAsia"/>
              </w:rPr>
              <w:t>4.3</w:t>
            </w:r>
          </w:p>
        </w:tc>
        <w:tc>
          <w:tcPr>
            <w:tcW w:w="656" w:type="dxa"/>
            <w:vAlign w:val="center"/>
          </w:tcPr>
          <w:p>
            <w:pPr>
              <w:shd w:val="clear" w:color="auto" w:fill="C7DAF1" w:themeFill="text2" w:themeFillTint="32"/>
              <w:rPr>
                <w:lang w:eastAsia="ja-JP"/>
              </w:rPr>
            </w:pPr>
            <w:r>
              <w:rPr>
                <w:rFonts w:hint="eastAsia"/>
              </w:rPr>
              <w:t>4.4</w:t>
            </w:r>
          </w:p>
        </w:tc>
        <w:tc>
          <w:tcPr>
            <w:tcW w:w="657" w:type="dxa"/>
            <w:vAlign w:val="center"/>
          </w:tcPr>
          <w:p>
            <w:pPr>
              <w:shd w:val="clear" w:color="auto" w:fill="C7DAF1" w:themeFill="text2" w:themeFillTint="32"/>
              <w:rPr>
                <w:lang w:eastAsia="ja-JP"/>
              </w:rPr>
            </w:pPr>
            <w:r>
              <w:rPr>
                <w:rFonts w:hint="eastAsia"/>
              </w:rPr>
              <w:t>5.1</w:t>
            </w:r>
          </w:p>
        </w:tc>
        <w:tc>
          <w:tcPr>
            <w:tcW w:w="657" w:type="dxa"/>
            <w:vAlign w:val="center"/>
          </w:tcPr>
          <w:p>
            <w:pPr>
              <w:shd w:val="clear" w:color="auto" w:fill="C7DAF1" w:themeFill="text2" w:themeFillTint="32"/>
              <w:rPr>
                <w:lang w:eastAsia="ja-JP"/>
              </w:rPr>
            </w:pPr>
            <w:r>
              <w:rPr>
                <w:rFonts w:hint="eastAsia"/>
              </w:rPr>
              <w:t>5.2</w:t>
            </w:r>
          </w:p>
        </w:tc>
        <w:tc>
          <w:tcPr>
            <w:tcW w:w="656" w:type="dxa"/>
            <w:vAlign w:val="center"/>
          </w:tcPr>
          <w:p>
            <w:pPr>
              <w:shd w:val="clear" w:color="auto" w:fill="C7DAF1" w:themeFill="text2" w:themeFillTint="32"/>
              <w:rPr>
                <w:lang w:eastAsia="ja-JP"/>
              </w:rPr>
            </w:pPr>
            <w:r>
              <w:rPr>
                <w:rFonts w:hint="eastAsia"/>
              </w:rPr>
              <w:t>5.3</w:t>
            </w:r>
          </w:p>
        </w:tc>
        <w:tc>
          <w:tcPr>
            <w:tcW w:w="657" w:type="dxa"/>
            <w:vAlign w:val="center"/>
          </w:tcPr>
          <w:p>
            <w:pPr>
              <w:shd w:val="clear" w:color="auto" w:fill="C7DAF1" w:themeFill="text2" w:themeFillTint="32"/>
              <w:rPr>
                <w:lang w:eastAsia="ja-JP"/>
              </w:rPr>
            </w:pPr>
            <w:r>
              <w:rPr>
                <w:rFonts w:hint="eastAsia"/>
              </w:rPr>
              <w:t>6.1</w:t>
            </w:r>
          </w:p>
        </w:tc>
        <w:tc>
          <w:tcPr>
            <w:tcW w:w="657" w:type="dxa"/>
            <w:vAlign w:val="center"/>
          </w:tcPr>
          <w:p>
            <w:pPr>
              <w:shd w:val="clear" w:color="auto" w:fill="C7DAF1" w:themeFill="text2" w:themeFillTint="32"/>
              <w:rPr>
                <w:lang w:eastAsia="ja-JP"/>
              </w:rPr>
            </w:pPr>
            <w:r>
              <w:rPr>
                <w:rFonts w:hint="eastAsia"/>
              </w:rPr>
              <w:t>6.2</w:t>
            </w:r>
          </w:p>
        </w:tc>
        <w:tc>
          <w:tcPr>
            <w:tcW w:w="656" w:type="dxa"/>
            <w:vAlign w:val="center"/>
          </w:tcPr>
          <w:p>
            <w:pPr>
              <w:shd w:val="clear" w:color="auto" w:fill="C7DAF1" w:themeFill="text2" w:themeFillTint="32"/>
              <w:rPr>
                <w:lang w:eastAsia="ja-JP"/>
              </w:rPr>
            </w:pPr>
            <w:r>
              <w:rPr>
                <w:rFonts w:hint="eastAsia"/>
              </w:rPr>
              <w:t>6.3</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7.1</w:t>
            </w:r>
          </w:p>
        </w:tc>
        <w:tc>
          <w:tcPr>
            <w:tcW w:w="657" w:type="dxa"/>
            <w:vAlign w:val="center"/>
          </w:tcPr>
          <w:p>
            <w:pPr>
              <w:shd w:val="clear" w:color="auto" w:fill="C7DAF1" w:themeFill="text2" w:themeFillTint="32"/>
              <w:rPr>
                <w:lang w:eastAsia="ja-JP"/>
              </w:rPr>
            </w:pPr>
            <w:r>
              <w:rPr>
                <w:rFonts w:hint="eastAsia"/>
              </w:rPr>
              <w:t>7.2</w:t>
            </w:r>
          </w:p>
        </w:tc>
        <w:tc>
          <w:tcPr>
            <w:tcW w:w="657" w:type="dxa"/>
            <w:vAlign w:val="center"/>
          </w:tcPr>
          <w:p>
            <w:pPr>
              <w:shd w:val="clear" w:color="auto" w:fill="C7DAF1" w:themeFill="text2" w:themeFillTint="32"/>
              <w:rPr>
                <w:lang w:eastAsia="ja-JP"/>
              </w:rPr>
            </w:pPr>
            <w:r>
              <w:rPr>
                <w:rFonts w:hint="eastAsia"/>
              </w:rPr>
              <w:t>7.3</w:t>
            </w:r>
          </w:p>
        </w:tc>
        <w:tc>
          <w:tcPr>
            <w:tcW w:w="656" w:type="dxa"/>
            <w:vAlign w:val="center"/>
          </w:tcPr>
          <w:p>
            <w:pPr>
              <w:shd w:val="clear" w:color="auto" w:fill="C7DAF1" w:themeFill="text2" w:themeFillTint="32"/>
              <w:rPr>
                <w:lang w:eastAsia="ja-JP"/>
              </w:rPr>
            </w:pPr>
            <w:r>
              <w:rPr>
                <w:rFonts w:hint="eastAsia"/>
              </w:rPr>
              <w:t>7.4</w:t>
            </w:r>
          </w:p>
        </w:tc>
        <w:tc>
          <w:tcPr>
            <w:tcW w:w="657" w:type="dxa"/>
            <w:vAlign w:val="center"/>
          </w:tcPr>
          <w:p>
            <w:pPr>
              <w:shd w:val="clear" w:color="auto" w:fill="C7DAF1" w:themeFill="text2" w:themeFillTint="32"/>
              <w:rPr>
                <w:lang w:eastAsia="ja-JP"/>
              </w:rPr>
            </w:pPr>
            <w:r>
              <w:rPr>
                <w:rFonts w:hint="eastAsia"/>
              </w:rPr>
              <w:t>7.5</w:t>
            </w:r>
          </w:p>
        </w:tc>
        <w:tc>
          <w:tcPr>
            <w:tcW w:w="657" w:type="dxa"/>
            <w:vAlign w:val="center"/>
          </w:tcPr>
          <w:p>
            <w:pPr>
              <w:shd w:val="clear" w:color="auto" w:fill="C7DAF1" w:themeFill="text2" w:themeFillTint="32"/>
              <w:rPr>
                <w:lang w:eastAsia="ja-JP"/>
              </w:rPr>
            </w:pPr>
            <w:r>
              <w:rPr>
                <w:rFonts w:hint="eastAsia"/>
              </w:rPr>
              <w:t>8.1</w:t>
            </w:r>
          </w:p>
        </w:tc>
        <w:tc>
          <w:tcPr>
            <w:tcW w:w="656" w:type="dxa"/>
            <w:vAlign w:val="center"/>
          </w:tcPr>
          <w:p>
            <w:pPr>
              <w:shd w:val="clear" w:color="auto" w:fill="C7DAF1" w:themeFill="text2" w:themeFillTint="32"/>
              <w:rPr>
                <w:lang w:eastAsia="ja-JP"/>
              </w:rPr>
            </w:pPr>
            <w:r>
              <w:rPr>
                <w:rFonts w:hint="eastAsia"/>
              </w:rPr>
              <w:t>8.2</w:t>
            </w:r>
          </w:p>
        </w:tc>
        <w:tc>
          <w:tcPr>
            <w:tcW w:w="657" w:type="dxa"/>
            <w:vAlign w:val="center"/>
          </w:tcPr>
          <w:p>
            <w:pPr>
              <w:shd w:val="clear" w:color="auto" w:fill="C7DAF1" w:themeFill="text2" w:themeFillTint="32"/>
              <w:rPr>
                <w:lang w:eastAsia="ja-JP"/>
              </w:rPr>
            </w:pPr>
            <w:r>
              <w:rPr>
                <w:rFonts w:hint="eastAsia"/>
              </w:rPr>
              <w:t>8.3</w:t>
            </w:r>
          </w:p>
        </w:tc>
        <w:tc>
          <w:tcPr>
            <w:tcW w:w="657" w:type="dxa"/>
            <w:vAlign w:val="center"/>
          </w:tcPr>
          <w:p>
            <w:pPr>
              <w:shd w:val="clear" w:color="auto" w:fill="C7DAF1" w:themeFill="text2" w:themeFillTint="32"/>
              <w:rPr>
                <w:lang w:eastAsia="ja-JP"/>
              </w:rPr>
            </w:pPr>
            <w:r>
              <w:rPr>
                <w:rFonts w:hint="eastAsia"/>
              </w:rPr>
              <w:t>8.4</w:t>
            </w:r>
          </w:p>
        </w:tc>
        <w:tc>
          <w:tcPr>
            <w:tcW w:w="656" w:type="dxa"/>
            <w:vAlign w:val="center"/>
          </w:tcPr>
          <w:p>
            <w:pPr>
              <w:shd w:val="clear" w:color="auto" w:fill="C7DAF1" w:themeFill="text2" w:themeFillTint="32"/>
              <w:rPr>
                <w:lang w:eastAsia="ja-JP"/>
              </w:rPr>
            </w:pPr>
            <w:r>
              <w:rPr>
                <w:rFonts w:hint="eastAsia"/>
              </w:rPr>
              <w:t>8.5</w:t>
            </w:r>
          </w:p>
        </w:tc>
        <w:tc>
          <w:tcPr>
            <w:tcW w:w="657" w:type="dxa"/>
            <w:vAlign w:val="center"/>
          </w:tcPr>
          <w:p>
            <w:pPr>
              <w:shd w:val="clear" w:color="auto" w:fill="C7DAF1" w:themeFill="text2" w:themeFillTint="32"/>
              <w:rPr>
                <w:lang w:eastAsia="ja-JP"/>
              </w:rPr>
            </w:pPr>
            <w:r>
              <w:rPr>
                <w:rFonts w:hint="eastAsia"/>
              </w:rPr>
              <w:t>8.6</w:t>
            </w:r>
          </w:p>
        </w:tc>
        <w:tc>
          <w:tcPr>
            <w:tcW w:w="657"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rFonts w:hint="eastAsia" w:eastAsia="宋体"/>
                <w:lang w:val="en-US" w:eastAsia="zh-CN"/>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9.1</w:t>
            </w:r>
          </w:p>
        </w:tc>
        <w:tc>
          <w:tcPr>
            <w:tcW w:w="657" w:type="dxa"/>
            <w:vAlign w:val="center"/>
          </w:tcPr>
          <w:p>
            <w:pPr>
              <w:shd w:val="clear" w:color="auto" w:fill="C7DAF1" w:themeFill="text2" w:themeFillTint="32"/>
              <w:rPr>
                <w:lang w:eastAsia="ja-JP"/>
              </w:rPr>
            </w:pPr>
            <w:r>
              <w:rPr>
                <w:rFonts w:hint="eastAsia"/>
              </w:rPr>
              <w:t>9.2</w:t>
            </w:r>
          </w:p>
        </w:tc>
        <w:tc>
          <w:tcPr>
            <w:tcW w:w="657" w:type="dxa"/>
            <w:vAlign w:val="center"/>
          </w:tcPr>
          <w:p>
            <w:pPr>
              <w:shd w:val="clear" w:color="auto" w:fill="C7DAF1" w:themeFill="text2" w:themeFillTint="32"/>
              <w:rPr>
                <w:lang w:eastAsia="ja-JP"/>
              </w:rPr>
            </w:pPr>
            <w:r>
              <w:rPr>
                <w:rFonts w:hint="eastAsia"/>
              </w:rPr>
              <w:t>9.3</w:t>
            </w:r>
          </w:p>
        </w:tc>
        <w:tc>
          <w:tcPr>
            <w:tcW w:w="656" w:type="dxa"/>
            <w:vAlign w:val="center"/>
          </w:tcPr>
          <w:p>
            <w:pPr>
              <w:shd w:val="clear" w:color="auto" w:fill="C7DAF1" w:themeFill="text2" w:themeFillTint="32"/>
              <w:rPr>
                <w:lang w:eastAsia="ja-JP"/>
              </w:rPr>
            </w:pPr>
            <w:r>
              <w:rPr>
                <w:rFonts w:hint="eastAsia"/>
              </w:rPr>
              <w:t>10.1</w:t>
            </w:r>
          </w:p>
        </w:tc>
        <w:tc>
          <w:tcPr>
            <w:tcW w:w="657" w:type="dxa"/>
            <w:vAlign w:val="center"/>
          </w:tcPr>
          <w:p>
            <w:pPr>
              <w:shd w:val="clear" w:color="auto" w:fill="C7DAF1" w:themeFill="text2" w:themeFillTint="32"/>
              <w:rPr>
                <w:lang w:eastAsia="ja-JP"/>
              </w:rPr>
            </w:pPr>
            <w:r>
              <w:rPr>
                <w:rFonts w:hint="eastAsia"/>
              </w:rPr>
              <w:t>10.2</w:t>
            </w:r>
          </w:p>
        </w:tc>
        <w:tc>
          <w:tcPr>
            <w:tcW w:w="657" w:type="dxa"/>
            <w:vAlign w:val="center"/>
          </w:tcPr>
          <w:p>
            <w:pPr>
              <w:shd w:val="clear" w:color="auto" w:fill="C7DAF1" w:themeFill="text2" w:themeFillTint="32"/>
              <w:rPr>
                <w:lang w:eastAsia="ja-JP"/>
              </w:rPr>
            </w:pPr>
            <w:r>
              <w:rPr>
                <w:rFonts w:hint="eastAsia"/>
              </w:rPr>
              <w:t>10.3</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23CC50E1"/>
    <w:rsid w:val="36A84A57"/>
    <w:rsid w:val="4F4D75EB"/>
    <w:rsid w:val="5DB821D0"/>
    <w:rsid w:val="6CA95A16"/>
    <w:rsid w:val="6D8D1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2022-07-02T03:16:08Z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