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szCs w:val="21"/>
              </w:rPr>
              <w:t>董凤全     陪同人员：董彬</w:t>
            </w:r>
            <w:r>
              <w:rPr>
                <w:rFonts w:hint="eastAsia" w:ascii="宋体" w:hAnsi="宋体" w:eastAsia="宋体" w:cs="宋体"/>
                <w:sz w:val="21"/>
                <w:szCs w:val="21"/>
              </w:rPr>
              <w:t xml:space="preserve">  </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cs="宋体"/>
                <w:sz w:val="21"/>
                <w:szCs w:val="21"/>
                <w:lang w:val="en-US" w:eastAsia="zh-CN"/>
              </w:rPr>
              <w:t>20</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Q</w:t>
            </w:r>
            <w:r>
              <w:rPr>
                <w:rFonts w:hint="eastAsia" w:ascii="宋体" w:hAnsi="宋体" w:eastAsia="宋体" w:cs="宋体"/>
                <w:sz w:val="21"/>
                <w:szCs w:val="21"/>
              </w:rPr>
              <w:t>4.1理解公司及其环境</w:t>
            </w:r>
            <w:r>
              <w:rPr>
                <w:rFonts w:hint="eastAsia" w:ascii="宋体" w:hAnsi="宋体" w:eastAsia="宋体" w:cs="宋体"/>
                <w:sz w:val="21"/>
                <w:szCs w:val="21"/>
                <w:lang w:val="en-US" w:eastAsia="zh-CN"/>
              </w:rPr>
              <w:t>、</w:t>
            </w:r>
            <w:r>
              <w:rPr>
                <w:rFonts w:hint="eastAsia" w:ascii="宋体" w:hAnsi="宋体" w:eastAsia="宋体" w:cs="宋体"/>
                <w:sz w:val="21"/>
                <w:szCs w:val="21"/>
              </w:rPr>
              <w:t>4.2理解相关方的需求和期望</w:t>
            </w:r>
            <w:r>
              <w:rPr>
                <w:rFonts w:hint="eastAsia" w:ascii="宋体" w:hAnsi="宋体" w:eastAsia="宋体" w:cs="宋体"/>
                <w:sz w:val="21"/>
                <w:szCs w:val="21"/>
                <w:lang w:val="en-US" w:eastAsia="zh-CN"/>
              </w:rPr>
              <w:t>、</w:t>
            </w:r>
            <w:r>
              <w:rPr>
                <w:rFonts w:hint="eastAsia" w:ascii="宋体" w:hAnsi="宋体" w:eastAsia="宋体" w:cs="宋体"/>
                <w:sz w:val="21"/>
                <w:szCs w:val="21"/>
              </w:rPr>
              <w:t>4.3质量管理体系的范围</w:t>
            </w:r>
            <w:r>
              <w:rPr>
                <w:rFonts w:hint="eastAsia" w:ascii="宋体" w:hAnsi="宋体" w:eastAsia="宋体" w:cs="宋体"/>
                <w:sz w:val="21"/>
                <w:szCs w:val="21"/>
                <w:lang w:val="en-US" w:eastAsia="zh-CN"/>
              </w:rPr>
              <w:t>、</w:t>
            </w:r>
            <w:r>
              <w:rPr>
                <w:rFonts w:hint="eastAsia" w:ascii="宋体" w:hAnsi="宋体" w:eastAsia="宋体" w:cs="宋体"/>
                <w:sz w:val="21"/>
                <w:szCs w:val="21"/>
              </w:rPr>
              <w:t>4.4质量管理体系及其过程</w:t>
            </w:r>
            <w:r>
              <w:rPr>
                <w:rFonts w:hint="eastAsia" w:ascii="宋体" w:hAnsi="宋体" w:eastAsia="宋体" w:cs="宋体"/>
                <w:sz w:val="21"/>
                <w:szCs w:val="21"/>
                <w:lang w:val="en-US" w:eastAsia="zh-CN"/>
              </w:rPr>
              <w:t>、</w:t>
            </w:r>
            <w:r>
              <w:rPr>
                <w:rFonts w:hint="eastAsia" w:ascii="宋体" w:hAnsi="宋体" w:eastAsia="宋体" w:cs="宋体"/>
                <w:sz w:val="21"/>
                <w:szCs w:val="21"/>
              </w:rPr>
              <w:t>5.1.1</w:t>
            </w:r>
            <w:r>
              <w:rPr>
                <w:rFonts w:hint="eastAsia" w:ascii="宋体" w:hAnsi="宋体" w:eastAsia="宋体" w:cs="宋体"/>
                <w:sz w:val="21"/>
                <w:szCs w:val="21"/>
                <w:lang w:val="en-US" w:eastAsia="zh-CN"/>
              </w:rPr>
              <w:t>总则（领导作用）、5.1.2</w:t>
            </w:r>
            <w:r>
              <w:rPr>
                <w:rFonts w:hint="eastAsia" w:ascii="宋体" w:hAnsi="宋体" w:eastAsia="宋体" w:cs="宋体"/>
                <w:sz w:val="21"/>
                <w:szCs w:val="21"/>
              </w:rPr>
              <w:t>以顾客为关注焦点</w:t>
            </w:r>
            <w:r>
              <w:rPr>
                <w:rFonts w:hint="eastAsia" w:ascii="宋体" w:hAnsi="宋体" w:eastAsia="宋体" w:cs="宋体"/>
                <w:sz w:val="21"/>
                <w:szCs w:val="21"/>
                <w:lang w:eastAsia="zh-CN"/>
              </w:rPr>
              <w:t>、</w:t>
            </w:r>
            <w:r>
              <w:rPr>
                <w:rFonts w:hint="eastAsia" w:ascii="宋体" w:hAnsi="宋体" w:eastAsia="宋体" w:cs="宋体"/>
                <w:sz w:val="21"/>
                <w:szCs w:val="21"/>
              </w:rPr>
              <w:t>5.2.1制定质量方针</w:t>
            </w:r>
            <w:r>
              <w:rPr>
                <w:rFonts w:hint="eastAsia" w:ascii="宋体" w:hAnsi="宋体" w:eastAsia="宋体" w:cs="宋体"/>
                <w:sz w:val="21"/>
                <w:szCs w:val="21"/>
                <w:lang w:eastAsia="zh-CN"/>
              </w:rPr>
              <w:t>、</w:t>
            </w:r>
            <w:r>
              <w:rPr>
                <w:rFonts w:hint="eastAsia" w:ascii="宋体" w:hAnsi="宋体" w:eastAsia="宋体" w:cs="宋体"/>
                <w:sz w:val="21"/>
                <w:szCs w:val="21"/>
              </w:rPr>
              <w:t>5.2.2沟通质量方针</w:t>
            </w:r>
            <w:r>
              <w:rPr>
                <w:rFonts w:hint="eastAsia" w:ascii="宋体" w:hAnsi="宋体" w:eastAsia="宋体" w:cs="宋体"/>
                <w:sz w:val="21"/>
                <w:szCs w:val="21"/>
                <w:lang w:val="en-US" w:eastAsia="zh-CN"/>
              </w:rPr>
              <w:t>、</w:t>
            </w:r>
            <w:r>
              <w:rPr>
                <w:rFonts w:hint="eastAsia" w:ascii="宋体" w:hAnsi="宋体" w:eastAsia="宋体" w:cs="宋体"/>
                <w:sz w:val="21"/>
                <w:szCs w:val="21"/>
              </w:rPr>
              <w:t>5.3组织的岗位、职责的权限</w:t>
            </w:r>
            <w:r>
              <w:rPr>
                <w:rFonts w:hint="eastAsia" w:ascii="宋体" w:hAnsi="宋体" w:eastAsia="宋体" w:cs="宋体"/>
                <w:sz w:val="21"/>
                <w:szCs w:val="21"/>
                <w:lang w:val="en-US" w:eastAsia="zh-CN"/>
              </w:rPr>
              <w:t>、</w:t>
            </w:r>
            <w:r>
              <w:rPr>
                <w:rFonts w:hint="eastAsia" w:ascii="宋体" w:hAnsi="宋体" w:eastAsia="宋体" w:cs="宋体"/>
                <w:sz w:val="21"/>
                <w:szCs w:val="21"/>
              </w:rPr>
              <w:t>6.1应对风险和机遇的措施</w:t>
            </w:r>
            <w:r>
              <w:rPr>
                <w:rFonts w:hint="eastAsia" w:ascii="宋体" w:hAnsi="宋体" w:eastAsia="宋体" w:cs="宋体"/>
                <w:sz w:val="21"/>
                <w:szCs w:val="21"/>
                <w:lang w:val="en-US" w:eastAsia="zh-CN"/>
              </w:rPr>
              <w:t>、</w:t>
            </w:r>
            <w:r>
              <w:rPr>
                <w:rFonts w:hint="eastAsia" w:ascii="宋体" w:hAnsi="宋体" w:eastAsia="宋体" w:cs="宋体"/>
                <w:sz w:val="21"/>
                <w:szCs w:val="21"/>
              </w:rPr>
              <w:t>6.2质量、目标及其实现的策划</w:t>
            </w:r>
            <w:r>
              <w:rPr>
                <w:rFonts w:hint="eastAsia" w:ascii="宋体" w:hAnsi="宋体" w:eastAsia="宋体" w:cs="宋体"/>
                <w:sz w:val="21"/>
                <w:szCs w:val="21"/>
                <w:lang w:val="en-US" w:eastAsia="zh-CN"/>
              </w:rPr>
              <w:t>、</w:t>
            </w:r>
            <w:r>
              <w:rPr>
                <w:rFonts w:hint="eastAsia" w:ascii="宋体" w:hAnsi="宋体" w:eastAsia="宋体" w:cs="宋体"/>
                <w:sz w:val="21"/>
                <w:szCs w:val="21"/>
              </w:rPr>
              <w:t>6.3变更的策划</w:t>
            </w:r>
            <w:r>
              <w:rPr>
                <w:rFonts w:hint="eastAsia" w:ascii="宋体" w:hAnsi="宋体" w:eastAsia="宋体" w:cs="宋体"/>
                <w:sz w:val="21"/>
                <w:szCs w:val="21"/>
                <w:lang w:eastAsia="zh-CN"/>
              </w:rPr>
              <w:t>、</w:t>
            </w:r>
            <w:r>
              <w:rPr>
                <w:rFonts w:hint="eastAsia" w:ascii="宋体" w:hAnsi="宋体" w:eastAsia="宋体" w:cs="宋体"/>
                <w:sz w:val="21"/>
                <w:szCs w:val="21"/>
              </w:rPr>
              <w:t>7.1.1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资源）</w:t>
            </w:r>
            <w:r>
              <w:rPr>
                <w:rFonts w:hint="eastAsia" w:ascii="宋体" w:hAnsi="宋体" w:eastAsia="宋体" w:cs="宋体"/>
                <w:sz w:val="21"/>
                <w:szCs w:val="21"/>
              </w:rPr>
              <w:t>总则</w:t>
            </w:r>
            <w:r>
              <w:rPr>
                <w:rFonts w:hint="eastAsia" w:ascii="宋体" w:hAnsi="宋体" w:eastAsia="宋体" w:cs="宋体"/>
                <w:sz w:val="21"/>
                <w:szCs w:val="21"/>
                <w:lang w:val="en-US" w:eastAsia="zh-CN"/>
              </w:rPr>
              <w:t>、</w:t>
            </w:r>
            <w:r>
              <w:rPr>
                <w:rFonts w:hint="eastAsia" w:ascii="宋体" w:hAnsi="宋体" w:eastAsia="宋体" w:cs="宋体"/>
                <w:sz w:val="21"/>
                <w:szCs w:val="21"/>
              </w:rPr>
              <w:t>7.4沟通</w:t>
            </w:r>
            <w:r>
              <w:rPr>
                <w:rFonts w:hint="eastAsia" w:ascii="宋体" w:hAnsi="宋体" w:eastAsia="宋体" w:cs="宋体"/>
                <w:sz w:val="21"/>
                <w:szCs w:val="21"/>
                <w:lang w:eastAsia="zh-CN"/>
              </w:rPr>
              <w:t>、</w:t>
            </w:r>
            <w:r>
              <w:rPr>
                <w:rFonts w:hint="eastAsia" w:ascii="宋体" w:hAnsi="宋体" w:eastAsia="宋体" w:cs="宋体"/>
                <w:sz w:val="21"/>
                <w:szCs w:val="21"/>
              </w:rPr>
              <w:t>9.1.1监视测量、分析和评价</w:t>
            </w:r>
            <w:r>
              <w:rPr>
                <w:rFonts w:hint="eastAsia" w:ascii="宋体" w:hAnsi="宋体" w:eastAsia="宋体" w:cs="宋体"/>
                <w:sz w:val="21"/>
                <w:szCs w:val="21"/>
                <w:lang w:eastAsia="zh-CN"/>
              </w:rPr>
              <w:t>、</w:t>
            </w:r>
            <w:r>
              <w:rPr>
                <w:rFonts w:hint="eastAsia" w:ascii="宋体" w:hAnsi="宋体" w:eastAsia="宋体" w:cs="宋体"/>
                <w:sz w:val="21"/>
                <w:szCs w:val="21"/>
              </w:rPr>
              <w:t>9.3管理评审</w:t>
            </w:r>
            <w:r>
              <w:rPr>
                <w:rFonts w:hint="eastAsia" w:ascii="宋体" w:hAnsi="宋体" w:eastAsia="宋体" w:cs="宋体"/>
                <w:sz w:val="21"/>
                <w:szCs w:val="21"/>
                <w:lang w:eastAsia="zh-CN"/>
              </w:rPr>
              <w:t>、</w:t>
            </w:r>
            <w:r>
              <w:rPr>
                <w:rFonts w:hint="eastAsia" w:ascii="宋体" w:hAnsi="宋体" w:eastAsia="宋体" w:cs="宋体"/>
                <w:sz w:val="21"/>
                <w:szCs w:val="21"/>
              </w:rPr>
              <w:t>10.1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改进）</w:t>
            </w:r>
            <w:r>
              <w:rPr>
                <w:rFonts w:hint="eastAsia" w:ascii="宋体" w:hAnsi="宋体" w:eastAsia="宋体" w:cs="宋体"/>
                <w:sz w:val="21"/>
                <w:szCs w:val="21"/>
              </w:rPr>
              <w:t>总则</w:t>
            </w:r>
            <w:r>
              <w:rPr>
                <w:rFonts w:hint="eastAsia" w:ascii="宋体" w:hAnsi="宋体" w:eastAsia="宋体" w:cs="宋体"/>
                <w:sz w:val="21"/>
                <w:szCs w:val="21"/>
                <w:lang w:eastAsia="zh-CN"/>
              </w:rPr>
              <w:t>、</w:t>
            </w:r>
            <w:r>
              <w:rPr>
                <w:rFonts w:hint="eastAsia" w:ascii="宋体" w:hAnsi="宋体" w:eastAsia="宋体" w:cs="宋体"/>
                <w:sz w:val="21"/>
                <w:szCs w:val="21"/>
              </w:rPr>
              <w:t>10.3持续改进</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国家/地方监督抽查情况；</w:t>
            </w:r>
            <w:r>
              <w:rPr>
                <w:rFonts w:hint="eastAsia" w:ascii="宋体" w:hAnsi="宋体" w:cs="宋体"/>
                <w:sz w:val="21"/>
                <w:szCs w:val="21"/>
                <w:lang w:val="en-US" w:eastAsia="zh-CN"/>
              </w:rPr>
              <w:t>上次审核不符合整改情况</w:t>
            </w:r>
            <w:r>
              <w:rPr>
                <w:rFonts w:hint="eastAsia" w:ascii="宋体" w:hAnsi="宋体" w:eastAsia="宋体" w:cs="宋体"/>
                <w:sz w:val="21"/>
                <w:szCs w:val="21"/>
              </w:rPr>
              <w:t>；</w:t>
            </w:r>
            <w:r>
              <w:rPr>
                <w:rFonts w:hint="eastAsia" w:ascii="宋体" w:hAnsi="宋体" w:cs="宋体"/>
                <w:sz w:val="21"/>
                <w:szCs w:val="21"/>
                <w:lang w:val="en-US" w:eastAsia="zh-CN"/>
              </w:rPr>
              <w:t>证书、标志使用情况等。</w:t>
            </w:r>
            <w:r>
              <w:rPr>
                <w:rFonts w:hint="eastAsia" w:ascii="Times New Roman" w:hAnsi="Times New Roman" w:cs="Times New Roman"/>
                <w:lang w:val="en-US" w:eastAsia="zh-CN"/>
              </w:rPr>
              <w:t>（远程审核使用微信视频、语音、文字的方式进行沟通）</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jc w:val="left"/>
              <w:rPr>
                <w:rFonts w:ascii="宋体" w:hAnsi="宋体"/>
                <w:szCs w:val="21"/>
              </w:rPr>
            </w:pPr>
            <w:r>
              <w:rPr>
                <w:rFonts w:ascii="宋体" w:hAnsi="宋体"/>
                <w:szCs w:val="21"/>
              </w:rPr>
              <w:t>营业执照</w:t>
            </w:r>
            <w:r>
              <w:rPr>
                <w:rFonts w:hint="eastAsia" w:ascii="宋体" w:hAnsi="宋体"/>
                <w:szCs w:val="21"/>
              </w:rPr>
              <w:t>（91110108L26406781C）</w:t>
            </w:r>
          </w:p>
          <w:p>
            <w:pPr>
              <w:spacing w:line="360" w:lineRule="auto"/>
              <w:jc w:val="left"/>
              <w:rPr>
                <w:rFonts w:ascii="宋体" w:hAnsi="宋体"/>
                <w:szCs w:val="21"/>
              </w:rPr>
            </w:pPr>
            <w:r>
              <w:rPr>
                <w:rFonts w:hint="eastAsia" w:ascii="宋体" w:hAnsi="宋体"/>
                <w:szCs w:val="21"/>
              </w:rPr>
              <w:t>成立日期：2008年05月08日    营业期限至：2033年6月7日</w:t>
            </w:r>
            <w:bookmarkStart w:id="0" w:name="_GoBack"/>
            <w:bookmarkEnd w:id="0"/>
          </w:p>
          <w:p>
            <w:pPr>
              <w:spacing w:line="360" w:lineRule="auto"/>
              <w:rPr>
                <w:rFonts w:hint="eastAsia" w:ascii="宋体" w:hAnsi="宋体" w:eastAsia="宋体" w:cs="宋体"/>
                <w:sz w:val="21"/>
                <w:szCs w:val="21"/>
              </w:rPr>
            </w:pPr>
            <w:r>
              <w:rPr>
                <w:rFonts w:hint="eastAsia" w:ascii="宋体" w:hAnsi="宋体"/>
                <w:szCs w:val="21"/>
              </w:rPr>
              <w:t>认证范围在经营范围内，符合要求。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szCs w:val="21"/>
              </w:rPr>
            </w:pPr>
            <w:r>
              <w:rPr>
                <w:rFonts w:hint="eastAsia"/>
                <w:szCs w:val="21"/>
              </w:rPr>
              <w:t>企业2008年成立，2013年搬迁到昌平，客户主要为中国航发北京航空材料研究院，中国兵器导控控制研究所，加工产品大部分为涉密产品，加工过程资料均随成品交付，企业不得存放相关材料。客户均为军工行业，目前因疫情及中国航发北京航空材料研究院个别科室组织上市事宜，目前业务中断，进行民营企业生产，中国航发北京航空材料研究院上市后逐步恢复业务。</w:t>
            </w:r>
          </w:p>
          <w:p>
            <w:pPr>
              <w:spacing w:line="360" w:lineRule="auto"/>
              <w:rPr>
                <w:szCs w:val="21"/>
              </w:rPr>
            </w:pPr>
            <w:r>
              <w:rPr>
                <w:rFonts w:hint="eastAsia"/>
                <w:szCs w:val="21"/>
              </w:rPr>
              <w:t>管理层识别、确定了与战略、目标相关、影响实现管理体系预期结果的内、外部因素，并且实时关注、评审不断变化的内外部信息。</w:t>
            </w:r>
          </w:p>
          <w:p>
            <w:pPr>
              <w:spacing w:line="360" w:lineRule="auto"/>
              <w:rPr>
                <w:szCs w:val="21"/>
              </w:rPr>
            </w:pPr>
            <w:r>
              <w:rPr>
                <w:rFonts w:hint="eastAsia"/>
                <w:szCs w:val="21"/>
              </w:rPr>
              <w:t>提供组织内外部环境识别表</w:t>
            </w:r>
          </w:p>
          <w:p>
            <w:pPr>
              <w:spacing w:line="360" w:lineRule="auto"/>
              <w:rPr>
                <w:szCs w:val="21"/>
              </w:rPr>
            </w:pPr>
            <w:r>
              <w:rPr>
                <w:rFonts w:hint="eastAsia"/>
                <w:szCs w:val="21"/>
              </w:rPr>
              <w:t>外部环境：国际环境、.社会环境、</w:t>
            </w:r>
            <w:r>
              <w:rPr>
                <w:rFonts w:hint="eastAsia"/>
              </w:rPr>
              <w:t>政治环境</w:t>
            </w:r>
            <w:r>
              <w:rPr>
                <w:rFonts w:hint="eastAsia"/>
                <w:szCs w:val="21"/>
              </w:rPr>
              <w:t>、</w:t>
            </w:r>
            <w:r>
              <w:rPr>
                <w:rFonts w:hint="eastAsia"/>
              </w:rPr>
              <w:t>经济环境</w:t>
            </w:r>
            <w:r>
              <w:rPr>
                <w:rFonts w:hint="eastAsia"/>
                <w:szCs w:val="21"/>
              </w:rPr>
              <w:t>、</w:t>
            </w:r>
            <w:r>
              <w:rPr>
                <w:rFonts w:hint="eastAsia"/>
              </w:rPr>
              <w:t>空气质量环境</w:t>
            </w:r>
            <w:r>
              <w:rPr>
                <w:rFonts w:hint="eastAsia"/>
                <w:szCs w:val="21"/>
              </w:rPr>
              <w:t>等</w:t>
            </w:r>
          </w:p>
          <w:p>
            <w:pPr>
              <w:spacing w:line="360" w:lineRule="auto"/>
              <w:rPr>
                <w:szCs w:val="21"/>
              </w:rPr>
            </w:pPr>
            <w:r>
              <w:rPr>
                <w:rFonts w:hint="eastAsia"/>
                <w:szCs w:val="21"/>
              </w:rPr>
              <w:t>内部环境；</w:t>
            </w:r>
            <w:r>
              <w:rPr>
                <w:rFonts w:hint="eastAsia"/>
              </w:rPr>
              <w:t>企业文化</w:t>
            </w:r>
            <w:r>
              <w:rPr>
                <w:rFonts w:hint="eastAsia"/>
                <w:szCs w:val="21"/>
              </w:rPr>
              <w:t>、</w:t>
            </w:r>
            <w:r>
              <w:rPr>
                <w:rFonts w:hint="eastAsia"/>
              </w:rPr>
              <w:t>公司价值观</w:t>
            </w:r>
            <w:r>
              <w:rPr>
                <w:rFonts w:hint="eastAsia"/>
                <w:szCs w:val="21"/>
              </w:rPr>
              <w:t>、</w:t>
            </w:r>
            <w:r>
              <w:rPr>
                <w:rFonts w:hint="eastAsia"/>
              </w:rPr>
              <w:t>知识积累</w:t>
            </w:r>
            <w:r>
              <w:rPr>
                <w:rFonts w:hint="eastAsia"/>
                <w:szCs w:val="21"/>
              </w:rPr>
              <w:t>、</w:t>
            </w:r>
            <w:r>
              <w:rPr>
                <w:rFonts w:hint="eastAsia"/>
              </w:rPr>
              <w:t>绩效</w:t>
            </w:r>
            <w:r>
              <w:rPr>
                <w:rFonts w:hint="eastAsia"/>
                <w:szCs w:val="21"/>
              </w:rPr>
              <w:t>等</w:t>
            </w:r>
          </w:p>
          <w:p>
            <w:pPr>
              <w:spacing w:line="360" w:lineRule="auto"/>
              <w:rPr>
                <w:rFonts w:hint="eastAsia" w:ascii="宋体" w:hAnsi="宋体" w:eastAsia="宋体" w:cs="宋体"/>
                <w:kern w:val="2"/>
                <w:sz w:val="21"/>
                <w:szCs w:val="21"/>
                <w:lang w:val="en-US" w:eastAsia="zh-CN" w:bidi="ar-SA"/>
              </w:rPr>
            </w:pPr>
            <w:r>
              <w:rPr>
                <w:rFonts w:hint="eastAsia"/>
                <w:szCs w:val="21"/>
              </w:rPr>
              <w:t>内外部环境识别充分，有效。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center"/>
          </w:tcPr>
          <w:p>
            <w:pPr>
              <w:spacing w:line="360" w:lineRule="auto"/>
              <w:rPr>
                <w:szCs w:val="21"/>
              </w:rPr>
            </w:pPr>
            <w:r>
              <w:rPr>
                <w:rFonts w:hint="eastAsia"/>
                <w:szCs w:val="21"/>
              </w:rPr>
              <w:t>公司识别并确定了影响公司提供产品和服务能力的利益相关方：顾客、员工、供应商等。</w:t>
            </w:r>
          </w:p>
          <w:p>
            <w:pPr>
              <w:spacing w:line="360" w:lineRule="auto"/>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rPr>
                <w:szCs w:val="21"/>
              </w:rPr>
            </w:pPr>
            <w:r>
              <w:rPr>
                <w:rFonts w:hint="eastAsia"/>
                <w:szCs w:val="21"/>
              </w:rPr>
              <w:t>相关方进行监视和评审的方式方法：公司通过走访、会议、客户要求等方式对相关方的信息进行监视和评审。抽相关方列表</w:t>
            </w:r>
          </w:p>
          <w:p>
            <w:pPr>
              <w:spacing w:line="360" w:lineRule="auto"/>
              <w:rPr>
                <w:szCs w:val="21"/>
              </w:rPr>
            </w:pPr>
            <w:r>
              <w:rPr>
                <w:rFonts w:hint="eastAsia"/>
                <w:szCs w:val="21"/>
              </w:rPr>
              <w:t>相关方：</w:t>
            </w:r>
            <w:r>
              <w:rPr>
                <w:rFonts w:hint="eastAsia" w:ascii="宋体" w:hAnsi="宋体"/>
              </w:rPr>
              <w:t>供应商</w:t>
            </w:r>
          </w:p>
          <w:p>
            <w:pPr>
              <w:spacing w:line="360" w:lineRule="auto"/>
              <w:rPr>
                <w:rFonts w:ascii="宋体" w:hAnsi="宋体"/>
              </w:rPr>
            </w:pPr>
            <w:r>
              <w:rPr>
                <w:rFonts w:hint="eastAsia" w:ascii="宋体" w:hAnsi="宋体"/>
              </w:rPr>
              <w:t>需求</w:t>
            </w:r>
            <w:r>
              <w:rPr>
                <w:rFonts w:hint="eastAsia" w:ascii="宋体" w:hAnsi="宋体"/>
                <w:spacing w:val="4"/>
              </w:rPr>
              <w:t>和</w:t>
            </w:r>
            <w:r>
              <w:rPr>
                <w:rFonts w:hint="eastAsia" w:ascii="宋体" w:hAnsi="宋体"/>
              </w:rPr>
              <w:t>期望：交易价格公平合理（措施：定期结合市场变化情况对交易价格适度调整）</w:t>
            </w:r>
          </w:p>
          <w:p>
            <w:pPr>
              <w:spacing w:line="360" w:lineRule="auto"/>
              <w:rPr>
                <w:rFonts w:ascii="宋体" w:hAnsi="宋体"/>
              </w:rPr>
            </w:pPr>
            <w:r>
              <w:rPr>
                <w:rFonts w:hint="eastAsia" w:ascii="宋体" w:hAnsi="宋体"/>
              </w:rPr>
              <w:t>按约定时间付款（措施：做好资金支出预算，落实相应资金储备）</w:t>
            </w:r>
          </w:p>
          <w:p>
            <w:pPr>
              <w:spacing w:line="360" w:lineRule="auto"/>
              <w:rPr>
                <w:szCs w:val="21"/>
              </w:rPr>
            </w:pPr>
            <w:r>
              <w:rPr>
                <w:rFonts w:hint="eastAsia"/>
                <w:szCs w:val="21"/>
              </w:rPr>
              <w:t>另抽其他相关方需求及措施，均保存完好，符合要求。</w:t>
            </w:r>
          </w:p>
          <w:p>
            <w:pPr>
              <w:spacing w:line="360" w:lineRule="auto"/>
              <w:rPr>
                <w:rFonts w:hint="eastAsia" w:ascii="宋体" w:hAnsi="宋体" w:eastAsia="宋体" w:cs="宋体"/>
                <w:kern w:val="2"/>
                <w:sz w:val="21"/>
                <w:szCs w:val="21"/>
                <w:lang w:val="en-US" w:eastAsia="zh-CN" w:bidi="ar-SA"/>
              </w:rPr>
            </w:pPr>
            <w:r>
              <w:rPr>
                <w:rFonts w:hint="eastAsia"/>
                <w:szCs w:val="21"/>
              </w:rPr>
              <w:t>目前企业未发生处罚、相关方投诉事件</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center"/>
          </w:tcPr>
          <w:p>
            <w:pPr>
              <w:spacing w:line="360" w:lineRule="auto"/>
              <w:rPr>
                <w:szCs w:val="21"/>
              </w:rPr>
            </w:pPr>
            <w:r>
              <w:rPr>
                <w:rFonts w:hint="eastAsia"/>
                <w:szCs w:val="21"/>
              </w:rPr>
              <w:t>公司按照标准要求编写了体系文件，于2019年5月30日A/0发布、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rPr>
                <w:szCs w:val="21"/>
              </w:rPr>
            </w:pPr>
            <w:r>
              <w:rPr>
                <w:rFonts w:hint="eastAsia"/>
                <w:szCs w:val="21"/>
              </w:rPr>
              <w:t>公司明确了质量管理体系的边界：</w:t>
            </w:r>
          </w:p>
          <w:p>
            <w:pPr>
              <w:spacing w:line="360" w:lineRule="auto"/>
              <w:rPr>
                <w:szCs w:val="21"/>
              </w:rPr>
            </w:pPr>
            <w:r>
              <w:rPr>
                <w:rFonts w:hint="eastAsia"/>
                <w:szCs w:val="21"/>
              </w:rPr>
              <w:t>注册地址：</w:t>
            </w:r>
            <w:r>
              <w:t>北京市海淀区温泉镇太舟坞村东工业小区2号院110室（村委会平房）</w:t>
            </w:r>
          </w:p>
          <w:p>
            <w:pPr>
              <w:spacing w:line="360" w:lineRule="auto"/>
              <w:rPr>
                <w:szCs w:val="21"/>
              </w:rPr>
            </w:pPr>
            <w:r>
              <w:rPr>
                <w:rFonts w:hint="eastAsia"/>
                <w:szCs w:val="21"/>
              </w:rPr>
              <w:t xml:space="preserve">生产、经营地址: </w:t>
            </w:r>
            <w:r>
              <w:t>北京市昌平区南口镇西大桥汽修厂院内</w:t>
            </w:r>
          </w:p>
          <w:p>
            <w:pPr>
              <w:spacing w:line="360" w:lineRule="auto"/>
              <w:rPr>
                <w:rFonts w:ascii="宋体" w:hAnsi="宋体"/>
                <w:szCs w:val="21"/>
              </w:rPr>
            </w:pPr>
            <w:r>
              <w:rPr>
                <w:rFonts w:hint="eastAsia"/>
                <w:szCs w:val="21"/>
              </w:rPr>
              <w:t>范围：</w:t>
            </w:r>
            <w:r>
              <w:rPr>
                <w:rFonts w:hint="eastAsia" w:ascii="宋体" w:hAnsi="宋体"/>
                <w:szCs w:val="21"/>
              </w:rPr>
              <w:t>模具（金属）加工（有许可要求除外）；金属零部件销售</w:t>
            </w:r>
          </w:p>
          <w:p>
            <w:pPr>
              <w:spacing w:line="360" w:lineRule="auto"/>
              <w:rPr>
                <w:szCs w:val="21"/>
              </w:rPr>
            </w:pPr>
            <w:r>
              <w:rPr>
                <w:rFonts w:hint="eastAsia"/>
                <w:szCs w:val="21"/>
              </w:rPr>
              <w:t>不适用条款：8.3</w:t>
            </w:r>
            <w:r>
              <w:rPr>
                <w:rFonts w:hint="eastAsia" w:asciiTheme="minorEastAsia" w:hAnsiTheme="minorEastAsia" w:eastAsiaTheme="minorEastAsia" w:cstheme="minorEastAsia"/>
                <w:szCs w:val="21"/>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spacing w:line="360" w:lineRule="auto"/>
              <w:rPr>
                <w:szCs w:val="21"/>
              </w:rPr>
            </w:pPr>
            <w:r>
              <w:rPr>
                <w:rFonts w:hint="eastAsia"/>
                <w:szCs w:val="21"/>
              </w:rPr>
              <w:t>外包过程：热处理</w:t>
            </w:r>
          </w:p>
          <w:p>
            <w:pPr>
              <w:spacing w:line="360" w:lineRule="auto"/>
              <w:rPr>
                <w:rFonts w:hint="eastAsia" w:ascii="宋体" w:hAnsi="宋体" w:eastAsia="宋体" w:cs="宋体"/>
                <w:kern w:val="2"/>
                <w:sz w:val="21"/>
                <w:szCs w:val="21"/>
                <w:lang w:val="en-US" w:eastAsia="zh-CN" w:bidi="ar-SA"/>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center"/>
          </w:tcPr>
          <w:p>
            <w:pPr>
              <w:spacing w:line="360" w:lineRule="auto"/>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spacing w:line="360" w:lineRule="auto"/>
              <w:rPr>
                <w:szCs w:val="21"/>
              </w:rPr>
            </w:pPr>
            <w:r>
              <w:rPr>
                <w:rFonts w:hint="eastAsia"/>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spacing w:line="360" w:lineRule="auto"/>
              <w:rPr>
                <w:rFonts w:hint="eastAsia" w:ascii="宋体" w:hAnsi="宋体" w:eastAsia="宋体" w:cs="宋体"/>
                <w:sz w:val="21"/>
                <w:szCs w:val="21"/>
              </w:rPr>
            </w:pPr>
            <w:r>
              <w:rPr>
                <w:rFonts w:hint="eastAsia"/>
                <w:szCs w:val="21"/>
              </w:rPr>
              <w:t>外包过程：热处理</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center"/>
          </w:tcPr>
          <w:p>
            <w:pPr>
              <w:spacing w:line="360" w:lineRule="auto"/>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rPr>
                <w:rFonts w:hint="eastAsia" w:ascii="宋体" w:hAnsi="宋体" w:eastAsia="宋体" w:cs="宋体"/>
                <w:kern w:val="2"/>
                <w:sz w:val="21"/>
                <w:szCs w:val="21"/>
                <w:lang w:val="en-US" w:eastAsia="zh-CN" w:bidi="ar-SA"/>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center"/>
          </w:tcPr>
          <w:p>
            <w:pPr>
              <w:spacing w:line="360" w:lineRule="auto"/>
              <w:rPr>
                <w:szCs w:val="21"/>
              </w:rPr>
            </w:pPr>
            <w:r>
              <w:rPr>
                <w:rFonts w:hint="eastAsia"/>
                <w:szCs w:val="21"/>
              </w:rPr>
              <w:t>公司通过投标、电话沟通、拜访等方式了解顾客的需求，确定他们关心的产品特性，特别是产品的关键特性。通过定期对顾客满意度进行测量、售后服务了解顾客对产品的意见。</w:t>
            </w:r>
          </w:p>
          <w:p>
            <w:pPr>
              <w:spacing w:line="360" w:lineRule="auto"/>
              <w:rPr>
                <w:rFonts w:hint="eastAsia" w:ascii="宋体" w:hAnsi="宋体" w:eastAsia="宋体" w:cs="宋体"/>
                <w:kern w:val="2"/>
                <w:sz w:val="21"/>
                <w:szCs w:val="21"/>
                <w:lang w:val="en-US" w:eastAsia="zh-CN" w:bidi="ar-SA"/>
              </w:rPr>
            </w:pPr>
            <w:r>
              <w:rPr>
                <w:rFonts w:hint="eastAsia"/>
                <w:szCs w:val="21"/>
              </w:rPr>
              <w:t>在确定顾客的需求和期望时，公司同时考虑与产品有关的义务和法律法规要求，并采取措施，使其得到落实。</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center"/>
          </w:tcPr>
          <w:p>
            <w:pPr>
              <w:spacing w:line="360" w:lineRule="auto"/>
              <w:rPr>
                <w:szCs w:val="21"/>
              </w:rPr>
            </w:pPr>
            <w:r>
              <w:rPr>
                <w:rFonts w:hint="eastAsia"/>
                <w:szCs w:val="21"/>
              </w:rPr>
              <w:t>企业策划并制定了质量方针：</w:t>
            </w:r>
          </w:p>
          <w:p>
            <w:pPr>
              <w:spacing w:line="360" w:lineRule="auto"/>
              <w:rPr>
                <w:szCs w:val="21"/>
              </w:rPr>
            </w:pPr>
            <w:r>
              <w:rPr>
                <w:rFonts w:hint="eastAsia"/>
                <w:szCs w:val="21"/>
              </w:rPr>
              <w:t>“高品质，重创新，造福社会；只超越，不跟随，引领未来”</w:t>
            </w:r>
          </w:p>
          <w:p>
            <w:pPr>
              <w:spacing w:line="360" w:lineRule="auto"/>
              <w:rPr>
                <w:szCs w:val="21"/>
              </w:rPr>
            </w:pPr>
            <w:r>
              <w:rPr>
                <w:rFonts w:hint="eastAsia"/>
                <w:szCs w:val="21"/>
              </w:rPr>
              <w:t>方针在质量手册中予以规定，经总经理批准实施。</w:t>
            </w:r>
          </w:p>
          <w:p>
            <w:pPr>
              <w:spacing w:line="360" w:lineRule="auto"/>
              <w:rPr>
                <w:rFonts w:hint="eastAsia" w:ascii="宋体" w:hAnsi="宋体" w:eastAsia="宋体" w:cs="宋体"/>
                <w:kern w:val="2"/>
                <w:sz w:val="21"/>
                <w:szCs w:val="21"/>
                <w:lang w:val="en-US" w:eastAsia="zh-CN" w:bidi="ar-SA"/>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szCs w:val="21"/>
              </w:rPr>
              <w:t>企业在策划和建立管理体系时，成立了组织机构：设置了综合部、供销部、生产部、品质部等部门，并对各部门的作用、职责、权限进行了划分，提供的管理手册中确定了组织机构图、职能分配表，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center"/>
          </w:tcPr>
          <w:p>
            <w:pPr>
              <w:spacing w:line="360" w:lineRule="auto"/>
              <w:rPr>
                <w:szCs w:val="21"/>
              </w:rPr>
            </w:pPr>
            <w:r>
              <w:rPr>
                <w:rFonts w:hint="eastAsia"/>
                <w:szCs w:val="21"/>
              </w:rPr>
              <w:t>企业有对风险和机遇的措施进行了识别和控制：</w:t>
            </w:r>
          </w:p>
          <w:p>
            <w:pPr>
              <w:spacing w:line="360" w:lineRule="auto"/>
            </w:pPr>
            <w:r>
              <w:rPr>
                <w:rFonts w:hint="eastAsia"/>
              </w:rPr>
              <w:t>企业目前识别风险点：</w:t>
            </w:r>
          </w:p>
          <w:p>
            <w:pPr>
              <w:spacing w:line="360" w:lineRule="auto"/>
            </w:pPr>
            <w:r>
              <w:rPr>
                <w:rFonts w:hint="eastAsia"/>
              </w:rPr>
              <w:t>过程名称       可能的风险控制      措施</w:t>
            </w:r>
          </w:p>
          <w:p>
            <w:pPr>
              <w:spacing w:line="360" w:lineRule="auto"/>
            </w:pPr>
            <w:r>
              <w:rPr>
                <w:rFonts w:hint="eastAsia"/>
              </w:rPr>
              <w:t>培训     参加人员未能掌握培训知识</w:t>
            </w:r>
            <w:r>
              <w:rPr>
                <w:rFonts w:hint="eastAsia"/>
              </w:rPr>
              <w:tab/>
            </w:r>
            <w:r>
              <w:rPr>
                <w:rFonts w:hint="eastAsia"/>
              </w:rPr>
              <w:t>培训结束后进行效果确认</w:t>
            </w:r>
          </w:p>
          <w:p>
            <w:pPr>
              <w:spacing w:line="360" w:lineRule="auto"/>
            </w:pPr>
            <w:r>
              <w:rPr>
                <w:rFonts w:hint="eastAsia"/>
              </w:rPr>
              <w:t>销售    业务人员未了解客户的要求</w:t>
            </w:r>
            <w:r>
              <w:rPr>
                <w:rFonts w:hint="eastAsia"/>
              </w:rPr>
              <w:tab/>
            </w:r>
            <w:r>
              <w:rPr>
                <w:rFonts w:hint="eastAsia"/>
              </w:rPr>
              <w:t>对客户的投诉进行分析</w:t>
            </w:r>
          </w:p>
          <w:p>
            <w:pPr>
              <w:spacing w:line="360" w:lineRule="auto"/>
            </w:pPr>
            <w:r>
              <w:rPr>
                <w:rFonts w:hint="eastAsia"/>
              </w:rPr>
              <w:t>检验    质量未能满足客户要求</w:t>
            </w:r>
            <w:r>
              <w:rPr>
                <w:rFonts w:hint="eastAsia"/>
              </w:rPr>
              <w:tab/>
            </w:r>
            <w:r>
              <w:rPr>
                <w:rFonts w:hint="eastAsia"/>
              </w:rPr>
              <w:t>制定检验规范，培训客服人员</w:t>
            </w:r>
          </w:p>
          <w:p>
            <w:pPr>
              <w:spacing w:line="360" w:lineRule="auto"/>
              <w:rPr>
                <w:szCs w:val="21"/>
              </w:rPr>
            </w:pPr>
            <w:r>
              <w:rPr>
                <w:rFonts w:hint="eastAsia"/>
              </w:rPr>
              <w:t>生产    生产未能满足客户要</w:t>
            </w:r>
            <w:r>
              <w:rPr>
                <w:rFonts w:hint="eastAsia"/>
                <w:szCs w:val="21"/>
              </w:rPr>
              <w:t>求</w:t>
            </w:r>
            <w:r>
              <w:rPr>
                <w:rFonts w:hint="eastAsia"/>
                <w:szCs w:val="21"/>
              </w:rPr>
              <w:tab/>
            </w:r>
            <w:r>
              <w:rPr>
                <w:rFonts w:hint="eastAsia"/>
                <w:szCs w:val="21"/>
              </w:rPr>
              <w:t>按生产规范进行标准化生产，保证质量</w:t>
            </w:r>
          </w:p>
          <w:p>
            <w:pPr>
              <w:spacing w:line="360" w:lineRule="auto"/>
              <w:rPr>
                <w:szCs w:val="21"/>
              </w:rPr>
            </w:pPr>
            <w:r>
              <w:rPr>
                <w:rFonts w:hint="eastAsia"/>
                <w:szCs w:val="21"/>
              </w:rPr>
              <w:tab/>
            </w:r>
            <w:r>
              <w:rPr>
                <w:rFonts w:hint="eastAsia"/>
                <w:szCs w:val="21"/>
              </w:rPr>
              <w:t xml:space="preserve">     对设备进行维护保养，确保生产速度效率</w:t>
            </w:r>
          </w:p>
          <w:p>
            <w:pPr>
              <w:spacing w:line="360" w:lineRule="auto"/>
              <w:rPr>
                <w:szCs w:val="21"/>
              </w:rPr>
            </w:pPr>
            <w:r>
              <w:rPr>
                <w:rFonts w:hint="eastAsia"/>
                <w:szCs w:val="21"/>
              </w:rPr>
              <w:t>交付     未能达到客户要求</w:t>
            </w:r>
            <w:r>
              <w:rPr>
                <w:rFonts w:hint="eastAsia"/>
                <w:szCs w:val="21"/>
              </w:rPr>
              <w:tab/>
            </w:r>
            <w:r>
              <w:rPr>
                <w:rFonts w:hint="eastAsia"/>
                <w:szCs w:val="21"/>
              </w:rPr>
              <w:t>须按客户要求进行检验，一一核对</w:t>
            </w:r>
          </w:p>
          <w:p>
            <w:pPr>
              <w:spacing w:line="360" w:lineRule="auto"/>
              <w:rPr>
                <w:rFonts w:hint="eastAsia" w:ascii="宋体" w:hAnsi="宋体" w:eastAsia="宋体" w:cs="宋体"/>
                <w:kern w:val="2"/>
                <w:sz w:val="21"/>
                <w:szCs w:val="21"/>
                <w:lang w:val="en-US" w:eastAsia="zh-CN" w:bidi="ar-SA"/>
              </w:rPr>
            </w:pPr>
            <w:r>
              <w:rPr>
                <w:rFonts w:hint="eastAsia"/>
              </w:rPr>
              <w:t>风险、机遇识别充分，措施有效。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center"/>
          </w:tcPr>
          <w:p>
            <w:pPr>
              <w:spacing w:line="360" w:lineRule="auto"/>
              <w:rPr>
                <w:szCs w:val="21"/>
              </w:rPr>
            </w:pPr>
            <w:r>
              <w:rPr>
                <w:rFonts w:hint="eastAsia"/>
                <w:szCs w:val="21"/>
              </w:rPr>
              <w:t>公司总的质量目标为：</w:t>
            </w:r>
          </w:p>
          <w:p>
            <w:pPr>
              <w:spacing w:line="360" w:lineRule="auto"/>
              <w:rPr>
                <w:szCs w:val="21"/>
              </w:rPr>
            </w:pPr>
            <w:r>
              <w:rPr>
                <w:rFonts w:hint="eastAsia"/>
                <w:szCs w:val="21"/>
              </w:rPr>
              <w:t>产品一次交验合格率 ≥95%</w:t>
            </w:r>
          </w:p>
          <w:p>
            <w:pPr>
              <w:spacing w:line="360" w:lineRule="auto"/>
              <w:rPr>
                <w:szCs w:val="21"/>
              </w:rPr>
            </w:pPr>
            <w:r>
              <w:rPr>
                <w:rFonts w:hint="eastAsia"/>
                <w:szCs w:val="21"/>
              </w:rPr>
              <w:t>生产产品出厂合格率100%</w:t>
            </w:r>
          </w:p>
          <w:p>
            <w:pPr>
              <w:spacing w:line="360" w:lineRule="auto"/>
              <w:rPr>
                <w:szCs w:val="21"/>
              </w:rPr>
            </w:pPr>
            <w:r>
              <w:rPr>
                <w:rFonts w:hint="eastAsia"/>
                <w:szCs w:val="21"/>
              </w:rPr>
              <w:t>顾客满意率≥97%</w:t>
            </w:r>
          </w:p>
          <w:p>
            <w:pPr>
              <w:spacing w:line="360" w:lineRule="auto"/>
              <w:rPr>
                <w:rFonts w:hint="eastAsia" w:eastAsia="宋体"/>
                <w:szCs w:val="21"/>
                <w:lang w:eastAsia="zh-CN"/>
              </w:rPr>
            </w:pPr>
            <w:r>
              <w:rPr>
                <w:rFonts w:hint="eastAsia"/>
                <w:szCs w:val="21"/>
              </w:rPr>
              <w:t>202</w:t>
            </w:r>
            <w:r>
              <w:rPr>
                <w:rFonts w:hint="eastAsia"/>
                <w:szCs w:val="21"/>
                <w:lang w:val="en-US" w:eastAsia="zh-CN"/>
              </w:rPr>
              <w:t>1</w:t>
            </w:r>
            <w:r>
              <w:rPr>
                <w:rFonts w:hint="eastAsia"/>
                <w:szCs w:val="21"/>
              </w:rPr>
              <w:t>年</w:t>
            </w:r>
            <w:r>
              <w:rPr>
                <w:rFonts w:hint="eastAsia"/>
                <w:szCs w:val="21"/>
                <w:lang w:val="en-US" w:eastAsia="zh-CN"/>
              </w:rPr>
              <w:t>7</w:t>
            </w:r>
            <w:r>
              <w:rPr>
                <w:rFonts w:hint="eastAsia"/>
                <w:szCs w:val="21"/>
              </w:rPr>
              <w:t>月至202</w:t>
            </w:r>
            <w:r>
              <w:rPr>
                <w:rFonts w:hint="eastAsia"/>
                <w:szCs w:val="21"/>
                <w:lang w:val="en-US" w:eastAsia="zh-CN"/>
              </w:rPr>
              <w:t>2</w:t>
            </w:r>
            <w:r>
              <w:rPr>
                <w:rFonts w:hint="eastAsia"/>
                <w:szCs w:val="21"/>
              </w:rPr>
              <w:t>年</w:t>
            </w:r>
            <w:r>
              <w:rPr>
                <w:rFonts w:hint="eastAsia"/>
                <w:szCs w:val="21"/>
                <w:lang w:val="en-US" w:eastAsia="zh-CN"/>
              </w:rPr>
              <w:t>5</w:t>
            </w:r>
            <w:r>
              <w:rPr>
                <w:rFonts w:hint="eastAsia"/>
                <w:szCs w:val="21"/>
              </w:rPr>
              <w:t>月目标完成情况：均完成</w:t>
            </w:r>
            <w:r>
              <w:rPr>
                <w:rFonts w:hint="eastAsia"/>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szCs w:val="21"/>
              </w:rPr>
              <w:t>公司的质量目标已分解到相关职能部门，规定了计算方法及统计周期，符合要求。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center"/>
          </w:tcPr>
          <w:p>
            <w:pPr>
              <w:spacing w:line="360" w:lineRule="auto"/>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spacing w:line="360" w:lineRule="auto"/>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line="360" w:lineRule="auto"/>
              <w:rPr>
                <w:rFonts w:hint="eastAsia" w:ascii="宋体" w:hAnsi="宋体" w:eastAsia="宋体" w:cs="宋体"/>
                <w:kern w:val="2"/>
                <w:sz w:val="21"/>
                <w:szCs w:val="21"/>
                <w:lang w:val="en-US" w:eastAsia="zh-CN" w:bidi="ar-SA"/>
              </w:rPr>
            </w:pPr>
            <w:r>
              <w:rPr>
                <w:rFonts w:hint="eastAsia"/>
                <w:szCs w:val="21"/>
              </w:rPr>
              <w:t>体系运行以来，暂无变更情况发生。</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center"/>
          </w:tcPr>
          <w:p>
            <w:pPr>
              <w:spacing w:line="360" w:lineRule="auto"/>
              <w:rPr>
                <w:szCs w:val="21"/>
              </w:rPr>
            </w:pPr>
            <w:r>
              <w:rPr>
                <w:rFonts w:hint="eastAsia"/>
                <w:szCs w:val="21"/>
              </w:rPr>
              <w:t>1)企业目前主要工作人员15名，包括管理、销售和采购人员、生产和质检人员等。可满足产品和服务控制需要。配备了加工中心、数控车、普车、线切割等等生产设备及数显卡尺、外径千分尺</w:t>
            </w:r>
            <w:r>
              <w:rPr>
                <w:rFonts w:hint="eastAsia" w:ascii="宋体"/>
                <w:color w:val="000000"/>
                <w:sz w:val="20"/>
              </w:rPr>
              <w:t>等</w:t>
            </w:r>
            <w:r>
              <w:rPr>
                <w:rFonts w:hint="eastAsia"/>
                <w:szCs w:val="21"/>
              </w:rPr>
              <w:t>监视测量设备；电话，电脑、打印机、复印机、空调、办公桌椅等办公和通讯等设备/设施。特种设备：起重机1台（2.8吨）。无其他特种设备。</w:t>
            </w:r>
          </w:p>
          <w:p>
            <w:pPr>
              <w:spacing w:line="360" w:lineRule="auto"/>
              <w:rPr>
                <w:szCs w:val="21"/>
              </w:rPr>
            </w:pPr>
            <w:r>
              <w:rPr>
                <w:rFonts w:hint="eastAsia"/>
                <w:szCs w:val="21"/>
              </w:rPr>
              <w:t>2)外部资源，如供方、客户等相关方。</w:t>
            </w:r>
          </w:p>
          <w:p>
            <w:pPr>
              <w:spacing w:line="360" w:lineRule="auto"/>
              <w:rPr>
                <w:szCs w:val="21"/>
              </w:rPr>
            </w:pPr>
            <w:r>
              <w:rPr>
                <w:rFonts w:hint="eastAsia"/>
                <w:szCs w:val="21"/>
              </w:rPr>
              <w:t>3）企业自动化设备自带软件，企业无需对其进行升级维护，只是使用。</w:t>
            </w:r>
          </w:p>
          <w:p>
            <w:pPr>
              <w:spacing w:line="360" w:lineRule="auto"/>
              <w:rPr>
                <w:rFonts w:hint="eastAsia" w:ascii="宋体" w:hAnsi="宋体" w:eastAsia="宋体" w:cs="宋体"/>
                <w:kern w:val="2"/>
                <w:sz w:val="21"/>
                <w:szCs w:val="21"/>
                <w:lang w:val="en-US" w:eastAsia="zh-CN" w:bidi="ar-SA"/>
              </w:rPr>
            </w:pPr>
            <w:r>
              <w:rPr>
                <w:rFonts w:hint="eastAsia"/>
                <w:szCs w:val="21"/>
              </w:rPr>
              <w:t>目前企业所提供的内外部资源基本能满足管理体系运行的需要。</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董凤全</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董凤全</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董彬</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查看《管理评审程序》，基本符合要求。组织于2022年3月28日日进行了管理评审。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董彬</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w:t>
            </w:r>
            <w:r>
              <w:rPr>
                <w:rFonts w:hint="eastAsia" w:ascii="宋体" w:hAnsi="宋体" w:cs="宋体"/>
                <w:sz w:val="21"/>
                <w:szCs w:val="21"/>
                <w:lang w:eastAsia="zh-CN"/>
              </w:rPr>
              <w:t>、</w:t>
            </w:r>
            <w:r>
              <w:rPr>
                <w:rFonts w:hint="eastAsia" w:ascii="宋体" w:hAnsi="宋体" w:cs="宋体"/>
                <w:sz w:val="21"/>
                <w:szCs w:val="21"/>
                <w:lang w:val="en-US" w:eastAsia="zh-CN"/>
              </w:rPr>
              <w:t>上次管理评审改进完成情况</w:t>
            </w:r>
            <w:r>
              <w:rPr>
                <w:rFonts w:hint="eastAsia" w:ascii="宋体" w:hAnsi="宋体" w:eastAsia="宋体" w:cs="宋体"/>
                <w:sz w:val="21"/>
                <w:szCs w:val="21"/>
              </w:rPr>
              <w:t>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通过新标准运行至今两年多的运行，对纠正措施和预防措施有了一定的认识，但是在执行过程中，也出现原因分析不对、采取措施具有片面性和局限性、纠正和纠正措施概念不清、措施不能从根本上解决不合格的现象的问题。这也是下一步改进的重点。</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szCs w:val="21"/>
              </w:rPr>
              <w:t>改进  总则</w:t>
            </w:r>
          </w:p>
        </w:tc>
        <w:tc>
          <w:tcPr>
            <w:tcW w:w="960" w:type="dxa"/>
            <w:vAlign w:val="center"/>
          </w:tcPr>
          <w:p>
            <w:pPr>
              <w:spacing w:line="360" w:lineRule="auto"/>
              <w:rPr>
                <w:rFonts w:hint="eastAsia" w:ascii="宋体" w:hAnsi="宋体" w:eastAsia="宋体" w:cs="宋体"/>
                <w:kern w:val="2"/>
                <w:sz w:val="21"/>
                <w:szCs w:val="21"/>
                <w:lang w:val="en-US" w:eastAsia="zh-CN" w:bidi="ar-SA"/>
              </w:rPr>
            </w:pPr>
            <w:r>
              <w:rPr>
                <w:rFonts w:hint="eastAsia"/>
                <w:szCs w:val="21"/>
              </w:rPr>
              <w:t>10.1</w:t>
            </w:r>
          </w:p>
        </w:tc>
        <w:tc>
          <w:tcPr>
            <w:tcW w:w="10004" w:type="dxa"/>
            <w:vAlign w:val="center"/>
          </w:tcPr>
          <w:p>
            <w:pPr>
              <w:spacing w:line="360" w:lineRule="auto"/>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spacing w:line="360" w:lineRule="auto"/>
              <w:rPr>
                <w:szCs w:val="21"/>
              </w:rPr>
            </w:pPr>
            <w:r>
              <w:rPr>
                <w:rFonts w:hint="eastAsia"/>
                <w:szCs w:val="21"/>
              </w:rPr>
              <w:t>企业有充分识别和评价存在的改进机会，以持续满足顾客和相关方要求改进的方法措施包括：</w:t>
            </w:r>
          </w:p>
          <w:p>
            <w:pPr>
              <w:spacing w:line="360" w:lineRule="auto"/>
              <w:rPr>
                <w:szCs w:val="21"/>
              </w:rPr>
            </w:pPr>
            <w:r>
              <w:rPr>
                <w:rFonts w:hint="eastAsia"/>
                <w:szCs w:val="21"/>
              </w:rPr>
              <w:t>1）引导创新、修改和改进现有过程或实施新过程的突破项目；</w:t>
            </w:r>
          </w:p>
          <w:p>
            <w:pPr>
              <w:spacing w:line="360" w:lineRule="auto"/>
              <w:rPr>
                <w:szCs w:val="21"/>
              </w:rPr>
            </w:pPr>
            <w:r>
              <w:rPr>
                <w:rFonts w:hint="eastAsia"/>
                <w:szCs w:val="21"/>
              </w:rPr>
              <w:t>2）在现有过程中开展渐进、持续的改进活动；</w:t>
            </w:r>
          </w:p>
          <w:p>
            <w:pPr>
              <w:spacing w:line="360" w:lineRule="auto"/>
              <w:rPr>
                <w:rFonts w:hint="eastAsia" w:ascii="宋体" w:hAnsi="宋体" w:eastAsia="宋体" w:cs="宋体"/>
                <w:kern w:val="2"/>
                <w:sz w:val="21"/>
                <w:szCs w:val="21"/>
                <w:lang w:val="en-US" w:eastAsia="zh-CN" w:bidi="ar-SA"/>
              </w:rPr>
            </w:pPr>
            <w:r>
              <w:rPr>
                <w:rFonts w:hint="eastAsia"/>
                <w:szCs w:val="21"/>
              </w:rPr>
              <w:t>3）纠正所存在不符合的原因等。</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szCs w:val="21"/>
              </w:rPr>
              <w:t>改进</w:t>
            </w:r>
          </w:p>
        </w:tc>
        <w:tc>
          <w:tcPr>
            <w:tcW w:w="960" w:type="dxa"/>
            <w:vAlign w:val="center"/>
          </w:tcPr>
          <w:p>
            <w:pPr>
              <w:spacing w:line="360" w:lineRule="auto"/>
              <w:rPr>
                <w:rFonts w:hint="eastAsia" w:ascii="宋体" w:hAnsi="宋体" w:eastAsia="宋体" w:cs="宋体"/>
                <w:kern w:val="2"/>
                <w:sz w:val="21"/>
                <w:szCs w:val="21"/>
                <w:lang w:val="en-US" w:eastAsia="zh-CN" w:bidi="ar-SA"/>
              </w:rPr>
            </w:pPr>
            <w:r>
              <w:rPr>
                <w:rFonts w:hint="eastAsia"/>
                <w:szCs w:val="21"/>
              </w:rPr>
              <w:t>10.3</w:t>
            </w:r>
          </w:p>
        </w:tc>
        <w:tc>
          <w:tcPr>
            <w:tcW w:w="10004" w:type="dxa"/>
            <w:vAlign w:val="center"/>
          </w:tcPr>
          <w:p>
            <w:pPr>
              <w:spacing w:line="360" w:lineRule="auto"/>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360" w:lineRule="auto"/>
              <w:rPr>
                <w:szCs w:val="21"/>
              </w:rPr>
            </w:pPr>
            <w:r>
              <w:rPr>
                <w:rFonts w:hint="eastAsia"/>
                <w:szCs w:val="21"/>
              </w:rPr>
              <w:t>例如企业本年度对设备进行了改进，购进了部分自动化设备，人员进行了适量减少，效率更高。</w:t>
            </w:r>
          </w:p>
          <w:p>
            <w:pPr>
              <w:spacing w:line="360" w:lineRule="auto"/>
              <w:rPr>
                <w:rFonts w:hint="eastAsia" w:ascii="宋体" w:hAnsi="宋体" w:eastAsia="宋体" w:cs="宋体"/>
                <w:kern w:val="2"/>
                <w:sz w:val="21"/>
                <w:szCs w:val="21"/>
                <w:lang w:val="en-US" w:eastAsia="zh-CN" w:bidi="ar-SA"/>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w:t>
            </w:r>
            <w:r>
              <w:rPr>
                <w:rFonts w:hint="eastAsia" w:ascii="宋体" w:hAnsi="宋体" w:cs="宋体"/>
                <w:sz w:val="21"/>
                <w:szCs w:val="21"/>
                <w:lang w:val="en-US" w:eastAsia="zh-CN"/>
              </w:rPr>
              <w:t>上次审核</w:t>
            </w:r>
            <w:r>
              <w:rPr>
                <w:rFonts w:hint="eastAsia" w:ascii="宋体" w:hAnsi="宋体" w:eastAsia="宋体" w:cs="宋体"/>
                <w:sz w:val="21"/>
                <w:szCs w:val="21"/>
              </w:rPr>
              <w:t>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Times New Roman" w:hAnsi="Times New Roman" w:eastAsia="宋体" w:cs="Times New Roman"/>
                <w:lang w:val="en-US" w:eastAsia="zh-CN"/>
              </w:rPr>
              <w:t>对认证证书、标志的使用情况进行审核的记录及上次不符合的验证</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spacing w:line="360" w:lineRule="auto"/>
              <w:rPr>
                <w:rFonts w:hint="eastAsia" w:ascii="宋体" w:hAnsi="宋体" w:eastAsia="宋体" w:cs="宋体"/>
                <w:kern w:val="2"/>
                <w:sz w:val="21"/>
                <w:szCs w:val="21"/>
                <w:lang w:val="en-US" w:eastAsia="zh-CN" w:bidi="ar-SA"/>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tc>
        <w:tc>
          <w:tcPr>
            <w:tcW w:w="1585" w:type="dxa"/>
          </w:tcPr>
          <w:p>
            <w:pPr>
              <w:spacing w:line="360" w:lineRule="auto"/>
              <w:rPr>
                <w:rFonts w:hint="eastAsia" w:ascii="宋体" w:hAnsi="宋体" w:eastAsia="宋体" w:cs="宋体"/>
                <w:sz w:val="21"/>
                <w:szCs w:val="21"/>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MzVmMjRhOTI3NTFjNmRlYmM5YzA2NWZhNjBiZTEifQ=="/>
  </w:docVars>
  <w:rsids>
    <w:rsidRoot w:val="00000000"/>
    <w:rsid w:val="07BB4661"/>
    <w:rsid w:val="0DC05AE5"/>
    <w:rsid w:val="10EC04DF"/>
    <w:rsid w:val="14D44FB0"/>
    <w:rsid w:val="19EE0A69"/>
    <w:rsid w:val="1C653890"/>
    <w:rsid w:val="1D9C061A"/>
    <w:rsid w:val="21335011"/>
    <w:rsid w:val="23F53F98"/>
    <w:rsid w:val="268E1723"/>
    <w:rsid w:val="276A0BAE"/>
    <w:rsid w:val="28350860"/>
    <w:rsid w:val="29F14773"/>
    <w:rsid w:val="2B466ED9"/>
    <w:rsid w:val="2C0016AF"/>
    <w:rsid w:val="2CC62ADF"/>
    <w:rsid w:val="2FC56798"/>
    <w:rsid w:val="31A80138"/>
    <w:rsid w:val="33B9552E"/>
    <w:rsid w:val="33C0554B"/>
    <w:rsid w:val="33D764A1"/>
    <w:rsid w:val="35355151"/>
    <w:rsid w:val="3BF3592F"/>
    <w:rsid w:val="3E537ED5"/>
    <w:rsid w:val="425F70C4"/>
    <w:rsid w:val="46946AFE"/>
    <w:rsid w:val="4DAD6AF9"/>
    <w:rsid w:val="4E6E5103"/>
    <w:rsid w:val="4EF63ADD"/>
    <w:rsid w:val="525A5F3E"/>
    <w:rsid w:val="528F7A75"/>
    <w:rsid w:val="531374D1"/>
    <w:rsid w:val="55457469"/>
    <w:rsid w:val="56AE17A6"/>
    <w:rsid w:val="5ED82D86"/>
    <w:rsid w:val="628C32BF"/>
    <w:rsid w:val="66211199"/>
    <w:rsid w:val="68C70D34"/>
    <w:rsid w:val="6EE91CC2"/>
    <w:rsid w:val="75772863"/>
    <w:rsid w:val="77647C74"/>
    <w:rsid w:val="7A1C7C0B"/>
    <w:rsid w:val="7BF24EBD"/>
    <w:rsid w:val="7D2C50B8"/>
    <w:rsid w:val="7DAC4FA1"/>
    <w:rsid w:val="7DDF5CDD"/>
    <w:rsid w:val="7F802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5613</Words>
  <Characters>5784</Characters>
  <Lines>1</Lines>
  <Paragraphs>1</Paragraphs>
  <TotalTime>1</TotalTime>
  <ScaleCrop>false</ScaleCrop>
  <LinksUpToDate>false</LinksUpToDate>
  <CharactersWithSpaces>5845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2022-07-02T02:46:11Z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0D1C4EE7B633419FA6040E56126C9E0D</vt:lpwstr>
  </property>
</Properties>
</file>