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24"/>
        <w:gridCol w:w="326"/>
        <w:gridCol w:w="424"/>
        <w:gridCol w:w="524"/>
        <w:gridCol w:w="1155"/>
        <w:gridCol w:w="261"/>
        <w:gridCol w:w="86"/>
        <w:gridCol w:w="514"/>
        <w:gridCol w:w="490"/>
        <w:gridCol w:w="509"/>
        <w:gridCol w:w="411"/>
        <w:gridCol w:w="560"/>
        <w:gridCol w:w="216"/>
        <w:gridCol w:w="103"/>
        <w:gridCol w:w="86"/>
        <w:gridCol w:w="1110"/>
        <w:gridCol w:w="13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谦谦骏智（重庆）智能科技有限公司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重庆市永川区和顺大道799号(永川区软件与信息服务外包产业园B区4号楼3层)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重庆市渝北区黄山大道中段64号（高科总部广场）13号楼3-1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游昕</w:t>
            </w:r>
            <w:bookmarkEnd w:id="3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15223177290</w:t>
            </w:r>
            <w:bookmarkEnd w:id="4"/>
          </w:p>
        </w:tc>
        <w:tc>
          <w:tcPr>
            <w:tcW w:w="40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6"/>
            <w:vAlign w:val="center"/>
          </w:tcPr>
          <w:p>
            <w:bookmarkStart w:id="6" w:name="最高管理者"/>
            <w:bookmarkEnd w:id="6"/>
            <w:bookmarkStart w:id="7" w:name="管理者代表"/>
            <w:r>
              <w:rPr>
                <w:sz w:val="21"/>
                <w:szCs w:val="21"/>
              </w:rPr>
              <w:t>杜谦</w:t>
            </w:r>
            <w:bookmarkEnd w:id="7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0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40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0438-2022-QEO</w:t>
            </w:r>
            <w:bookmarkEnd w:id="9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8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8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8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8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724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Q：应用软件开发、系统集成及运维服务；计算机软硬件销售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E：应用软件开发、系统集成及运维服务；计算机软硬件销售所涉及的相关环境管理活动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O：应用软件开发、系统集成及运维服务；计算机软硬件销售所涉及的相关职业健康安全管理活动</w:t>
            </w:r>
            <w:bookmarkEnd w:id="25"/>
          </w:p>
        </w:tc>
        <w:tc>
          <w:tcPr>
            <w:tcW w:w="9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Q：29.09.01;33.02.01;33.02.02;33.02.04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E：29.09.01;33.02.01;33.02.02;33.02.04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O：29.09.01;33.02.01;33.02.02;33.02.04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8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2022年05月23日 上午至2022年05月24日 下午</w:t>
            </w:r>
            <w:bookmarkEnd w:id="34"/>
            <w:r>
              <w:rPr>
                <w:rFonts w:hint="eastAsia"/>
                <w:b/>
                <w:sz w:val="20"/>
              </w:rPr>
              <w:t>(共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4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18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4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4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218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Q:29.09.01,33.02.01,33.02.02,33.02.04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E:29.09.01,33.02.01,33.02.02,33.02.04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O:29.09.01,33.02.01,33.02.02,33.02.04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4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4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218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Q:29.09.01,33.02.01,33.02.02,33.02.04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E:29.09.01,33.02.01,33.02.02,33.02.04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O:29.09.01,33.02.01,33.02.02,33.02.04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24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4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218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Q:29.09.01,33.02.01,33.02.02,33.02.04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4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40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8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/>
        </w:tc>
        <w:tc>
          <w:tcPr>
            <w:tcW w:w="1299" w:type="dxa"/>
            <w:gridSpan w:val="3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9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50165</wp:posOffset>
                  </wp:positionV>
                  <wp:extent cx="575945" cy="290195"/>
                  <wp:effectExtent l="0" t="0" r="8255" b="1905"/>
                  <wp:wrapNone/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60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1290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7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76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2022年05月2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5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2022年05月2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2022年05月2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41"/>
        <w:gridCol w:w="1225"/>
        <w:gridCol w:w="5747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3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月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23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97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  <w:jc w:val="center"/>
        </w:trPr>
        <w:tc>
          <w:tcPr>
            <w:tcW w:w="73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1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8:30-12:00</w:t>
            </w:r>
          </w:p>
          <w:p>
            <w:pPr>
              <w:pStyle w:val="2"/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5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管理层（含管代、安全事务代表）</w:t>
            </w:r>
          </w:p>
        </w:tc>
        <w:tc>
          <w:tcPr>
            <w:tcW w:w="574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总则；9.1.1监测、分析和评价总则；9.1.3分析与评价；9.3管理评审；10.1改进 总则；10.3持续改进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3" w:hRule="atLeast"/>
          <w:jc w:val="center"/>
        </w:trPr>
        <w:tc>
          <w:tcPr>
            <w:tcW w:w="73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1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7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;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;9.1监视、测量、分析和评价；9.3管理评审；10.1事件、不符合和纠正措施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范围的确认，资质的确认，法律法规执行情况，投诉或事故/政府主管部门监督抽查情况，一阶段不符合的验证。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73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1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pStyle w:val="2"/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（含财务部）</w:t>
            </w:r>
          </w:p>
        </w:tc>
        <w:tc>
          <w:tcPr>
            <w:tcW w:w="574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/权限；6.2质量目标及其实现的策划；7.1.2人员；7.1.6组织知识；7.2能力；7.3意识；7.4沟通；7.5文件化信息；9.2内部审核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；10.2不合格和纠正措施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OHSMS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10.2事件、不符合和纠正措施；10.3持续改进/OHSMS运行控制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73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1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5747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/权限；6.2质量目标及其实现的策划；8.2产品和服务的要求；8.4外部提供供方的控制；8.5.1生产和服务提供的控制；8.6产品和服务放行；9.1.2顾客满意；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73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1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47" w:type="dxa"/>
            <w:vAlign w:val="top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OHSMS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  <w:jc w:val="center"/>
        </w:trPr>
        <w:tc>
          <w:tcPr>
            <w:tcW w:w="738" w:type="dxa"/>
            <w:vMerge w:val="restart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月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24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1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午餐12：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:30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225" w:type="dxa"/>
            <w:vMerge w:val="restart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技术部</w:t>
            </w:r>
          </w:p>
          <w:p>
            <w:pPr>
              <w:spacing w:line="300" w:lineRule="exact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0-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0去临时场所，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0-11：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0在临时场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所</w:t>
            </w:r>
            <w:r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审核，11：30-1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0回公司总部</w:t>
            </w:r>
            <w:bookmarkStart w:id="37" w:name="_GoBack"/>
            <w:bookmarkEnd w:id="37"/>
            <w:r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574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00" w:lineRule="exact"/>
              <w:rPr>
                <w:rFonts w:ascii="宋体" w:hAnsi="宋体" w:eastAsia="宋体" w:cs="新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7.1.3基础设施；7.1.4过程运行环境；7.1.5监视和测量资源；8.5.1生产和服务提供的控制；8.5.2标识和可追溯性；8.5.3顾客或外部供方的财产；8.5.4防护；8.5.5交付后的活动；8.5.6更改控制；8.6产品和服务放行；8.7不合格输出的控制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73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1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574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5.3岗位/职责 /权限；6.2质量目标及其实现的策划；8.1运行策划和控制；8.3设计开发控制/不适用验证；8.6产品和服务放行；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73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1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747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OHSMS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3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1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697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审核组内部沟通,并与受审核方沟通、末次会议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50B01D8"/>
    <w:rsid w:val="08153DD4"/>
    <w:rsid w:val="0FAC2F07"/>
    <w:rsid w:val="16876C81"/>
    <w:rsid w:val="20DC4D3F"/>
    <w:rsid w:val="54D826F7"/>
    <w:rsid w:val="5CC81A7F"/>
    <w:rsid w:val="60557017"/>
    <w:rsid w:val="621607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2659</Words>
  <Characters>4105</Characters>
  <Lines>37</Lines>
  <Paragraphs>10</Paragraphs>
  <TotalTime>29</TotalTime>
  <ScaleCrop>false</ScaleCrop>
  <LinksUpToDate>false</LinksUpToDate>
  <CharactersWithSpaces>4170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2022-05-24T03:38:53Z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2052-11.1.0.11691</vt:lpwstr>
  </property>
</Properties>
</file>