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0489-2022-QO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内蒙古义通新能源有限公司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内蒙古义通新能源有限公司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内蒙古自治区呼和浩特经济技术开发区沙尔沁工业园区开发大街审图中心主楼3008-3</w:t>
            </w:r>
            <w:bookmarkEnd w:id="6"/>
          </w:p>
        </w:tc>
        <w:tc>
          <w:tcPr>
            <w:tcW w:w="1242" w:type="dxa"/>
            <w:vMerge w:val="restart"/>
            <w:vAlign w:val="center"/>
          </w:tcPr>
          <w:p>
            <w:r>
              <w:rPr>
                <w:rFonts w:hint="eastAsia"/>
              </w:rPr>
              <w:t>邮编</w:t>
            </w:r>
          </w:p>
        </w:tc>
        <w:tc>
          <w:tcPr>
            <w:tcW w:w="1771" w:type="dxa"/>
          </w:tcPr>
          <w:p>
            <w:bookmarkStart w:id="7" w:name="注册邮编"/>
            <w:r>
              <w:t>010111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内蒙古呼和浩特市沙尔沁镇阳光大街爱迩园区3号厂房</w:t>
            </w:r>
            <w:bookmarkEnd w:id="8"/>
          </w:p>
        </w:tc>
        <w:tc>
          <w:tcPr>
            <w:tcW w:w="1242" w:type="dxa"/>
            <w:vMerge w:val="continue"/>
            <w:vAlign w:val="center"/>
          </w:tcPr>
          <w:p/>
        </w:tc>
        <w:tc>
          <w:tcPr>
            <w:tcW w:w="1771" w:type="dxa"/>
          </w:tcPr>
          <w:p>
            <w:bookmarkStart w:id="9" w:name="办公邮编"/>
            <w:r>
              <w:t>010111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张硕</w:t>
            </w:r>
            <w:bookmarkEnd w:id="10"/>
          </w:p>
        </w:tc>
        <w:tc>
          <w:tcPr>
            <w:tcW w:w="1313" w:type="dxa"/>
            <w:vAlign w:val="center"/>
          </w:tcPr>
          <w:p>
            <w:r>
              <w:rPr>
                <w:rFonts w:hint="eastAsia"/>
              </w:rPr>
              <w:t>电话.</w:t>
            </w:r>
          </w:p>
        </w:tc>
        <w:tc>
          <w:tcPr>
            <w:tcW w:w="2180" w:type="dxa"/>
            <w:vAlign w:val="center"/>
          </w:tcPr>
          <w:p>
            <w:bookmarkStart w:id="11" w:name="联系人电话"/>
            <w:r>
              <w:t>15504815839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刘康</w:t>
            </w:r>
            <w:bookmarkEnd w:id="13"/>
          </w:p>
        </w:tc>
        <w:tc>
          <w:tcPr>
            <w:tcW w:w="1313" w:type="dxa"/>
            <w:vAlign w:val="center"/>
          </w:tcPr>
          <w:p>
            <w:r>
              <w:rPr>
                <w:rFonts w:hint="eastAsia"/>
              </w:rPr>
              <w:t>管理者代表</w:t>
            </w:r>
          </w:p>
        </w:tc>
        <w:tc>
          <w:tcPr>
            <w:tcW w:w="2180" w:type="dxa"/>
          </w:tcPr>
          <w:p>
            <w:bookmarkStart w:id="14" w:name="管理者代表"/>
            <w:r>
              <w:t>刘康</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630"/>
              </w:tabs>
              <w:spacing w:line="240" w:lineRule="auto"/>
              <w:ind w:right="600"/>
              <w:jc w:val="left"/>
              <w:rPr>
                <w:rFonts w:hint="eastAsia" w:ascii="宋体" w:hAnsi="宋体"/>
                <w:b/>
                <w:sz w:val="21"/>
                <w:szCs w:val="21"/>
              </w:rPr>
            </w:pPr>
            <w:r>
              <w:rPr>
                <w:rFonts w:hint="eastAsia" w:ascii="宋体" w:hAnsi="宋体"/>
                <w:b/>
                <w:sz w:val="21"/>
                <w:szCs w:val="21"/>
              </w:rPr>
              <w:t>石英筒生产流程</w:t>
            </w:r>
          </w:p>
          <w:p>
            <w:pPr>
              <w:tabs>
                <w:tab w:val="left" w:pos="630"/>
              </w:tabs>
              <w:spacing w:line="240" w:lineRule="auto"/>
              <w:ind w:right="600"/>
              <w:rPr>
                <w:rFonts w:hint="eastAsia" w:ascii="宋体" w:hAnsi="宋体"/>
                <w:sz w:val="21"/>
                <w:szCs w:val="21"/>
              </w:rPr>
            </w:pPr>
            <w:r>
              <w:rPr>
                <w:rFonts w:hint="eastAsia" w:ascii="宋体" w:hAnsi="宋体"/>
                <w:sz w:val="21"/>
                <w:szCs w:val="21"/>
              </w:rPr>
              <w:t>原材料入厂检验-切割下料-打磨倒角-清洗-对接-退火-打磨-清洗-火抛光-退火-清洗-检测-包装</w:t>
            </w:r>
          </w:p>
          <w:p>
            <w:pPr>
              <w:tabs>
                <w:tab w:val="left" w:pos="630"/>
              </w:tabs>
              <w:spacing w:line="240" w:lineRule="auto"/>
              <w:ind w:right="600"/>
              <w:jc w:val="left"/>
              <w:rPr>
                <w:rFonts w:hint="eastAsia" w:ascii="宋体" w:hAnsi="宋体"/>
                <w:b/>
                <w:sz w:val="21"/>
                <w:szCs w:val="21"/>
              </w:rPr>
            </w:pPr>
            <w:r>
              <w:rPr>
                <w:rFonts w:hint="eastAsia" w:ascii="宋体" w:hAnsi="宋体"/>
                <w:b/>
                <w:sz w:val="21"/>
                <w:szCs w:val="21"/>
              </w:rPr>
              <w:t>石英锥生产流程</w:t>
            </w:r>
          </w:p>
          <w:p>
            <w:pPr>
              <w:tabs>
                <w:tab w:val="left" w:pos="630"/>
              </w:tabs>
              <w:spacing w:line="240" w:lineRule="auto"/>
              <w:ind w:right="600"/>
              <w:rPr>
                <w:rFonts w:hint="eastAsia" w:ascii="宋体" w:hAnsi="宋体"/>
                <w:sz w:val="21"/>
                <w:szCs w:val="21"/>
              </w:rPr>
            </w:pPr>
            <w:r>
              <w:rPr>
                <w:rFonts w:hint="eastAsia" w:ascii="宋体" w:hAnsi="宋体"/>
                <w:sz w:val="21"/>
                <w:szCs w:val="21"/>
              </w:rPr>
              <w:t>原材料入厂检验-切料-粗磨-清洗-退火-精磨打孔-检测-包装</w:t>
            </w:r>
          </w:p>
          <w:p>
            <w:pPr>
              <w:pStyle w:val="23"/>
              <w:spacing w:line="240" w:lineRule="auto"/>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确认过程：退火</w:t>
            </w:r>
            <w:r>
              <w:rPr>
                <w:rFonts w:hint="eastAsia" w:ascii="Times New Roman" w:hAnsi="Times New Roman" w:cs="Times New Roman"/>
                <w:sz w:val="21"/>
                <w:szCs w:val="21"/>
                <w:lang w:val="en-US" w:eastAsia="zh-CN"/>
              </w:rPr>
              <w:t>过程。</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2022年05月24日 上午至2022年05月24日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内蒙古呼和浩特市沙尔沁镇阳光大街爱迩园区3号厂房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Q：太阳能光伏石英制品的加工</w:t>
            </w:r>
          </w:p>
          <w:p>
            <w:r>
              <w:t>O：太阳能光伏石英制品的加工所涉及场所的相关职业健康安全管理活动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Q：15.06.02</w:t>
            </w:r>
          </w:p>
          <w:p>
            <w:r>
              <w:t>O：15.06.02B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Times New Roman" w:hAnsi="Times New Roman"/>
                <w:sz w:val="21"/>
                <w:szCs w:val="21"/>
                <w:lang w:eastAsia="zh-CN"/>
              </w:rPr>
              <w:t>内蒙古义通新能源有限公司；</w:t>
            </w:r>
            <w:r>
              <w:rPr>
                <w:rFonts w:asciiTheme="minorEastAsia" w:hAnsiTheme="minorEastAsia" w:eastAsiaTheme="minorEastAsia"/>
                <w:sz w:val="21"/>
                <w:szCs w:val="21"/>
              </w:rPr>
              <w:t>内蒙古自治区呼和浩特经济技术开发区沙尔沁工业园区开发大街审图中心主楼3008-3</w:t>
            </w:r>
            <w:r>
              <w:rPr>
                <w:rFonts w:hint="eastAsia" w:asciiTheme="minorEastAsia" w:hAnsiTheme="minorEastAsia" w:eastAsiaTheme="minorEastAsia"/>
                <w:sz w:val="21"/>
                <w:szCs w:val="21"/>
                <w:lang w:eastAsia="zh-CN"/>
              </w:rPr>
              <w:t>；</w:t>
            </w:r>
          </w:p>
        </w:tc>
        <w:tc>
          <w:tcPr>
            <w:tcW w:w="2267" w:type="dxa"/>
          </w:tcPr>
          <w:p>
            <w:pPr>
              <w:pStyle w:val="23"/>
              <w:spacing w:line="240" w:lineRule="auto"/>
              <w:rPr>
                <w:rFonts w:hint="default" w:ascii="Times New Roman" w:hAnsi="Times New Roman" w:eastAsia="宋体" w:cs="Times New Roman"/>
                <w:sz w:val="21"/>
                <w:szCs w:val="21"/>
                <w:lang w:val="en-US" w:eastAsia="zh-CN"/>
              </w:rPr>
            </w:pPr>
            <w:r>
              <w:rPr>
                <w:rFonts w:asciiTheme="minorEastAsia" w:hAnsiTheme="minorEastAsia" w:eastAsiaTheme="minorEastAsia"/>
                <w:sz w:val="21"/>
                <w:szCs w:val="21"/>
              </w:rPr>
              <w:t>内蒙古呼和浩特市沙尔沁镇阳光大街爱迩园区3号厂房</w:t>
            </w:r>
            <w:r>
              <w:rPr>
                <w:rFonts w:hint="eastAsia" w:ascii="Times New Roman" w:hAnsi="Times New Roman" w:cs="Times New Roman"/>
                <w:sz w:val="21"/>
                <w:szCs w:val="21"/>
                <w:lang w:val="en-US" w:eastAsia="zh-CN"/>
              </w:rPr>
              <w:t>；</w:t>
            </w:r>
          </w:p>
          <w:p>
            <w:pPr>
              <w:rPr>
                <w:lang w:val="de-DE" w:eastAsia="ja-JP"/>
              </w:rPr>
            </w:pPr>
          </w:p>
        </w:tc>
        <w:tc>
          <w:tcPr>
            <w:tcW w:w="571" w:type="dxa"/>
            <w:vAlign w:val="center"/>
          </w:tcPr>
          <w:p>
            <w:pPr>
              <w:rPr>
                <w:rFonts w:hint="default" w:eastAsia="宋体"/>
                <w:lang w:val="en-US" w:eastAsia="zh-CN"/>
              </w:rPr>
            </w:pPr>
            <w:r>
              <w:rPr>
                <w:rFonts w:hint="eastAsia"/>
                <w:lang w:val="en-US" w:eastAsia="zh-CN"/>
              </w:rPr>
              <w:t>19</w:t>
            </w:r>
          </w:p>
        </w:tc>
        <w:tc>
          <w:tcPr>
            <w:tcW w:w="2803" w:type="dxa"/>
            <w:vAlign w:val="center"/>
          </w:tcPr>
          <w:p>
            <w:pPr>
              <w:spacing w:line="240" w:lineRule="auto"/>
              <w:rPr>
                <w:sz w:val="21"/>
                <w:szCs w:val="21"/>
              </w:rPr>
            </w:pPr>
            <w:r>
              <w:rPr>
                <w:sz w:val="21"/>
                <w:szCs w:val="21"/>
              </w:rPr>
              <w:t>Q：太阳能光伏石英制品的加工</w:t>
            </w:r>
          </w:p>
          <w:p>
            <w:pPr>
              <w:pStyle w:val="23"/>
              <w:spacing w:line="240" w:lineRule="auto"/>
              <w:rPr>
                <w:rFonts w:hint="default" w:ascii="Times New Roman" w:hAnsi="Times New Roman"/>
                <w:sz w:val="21"/>
                <w:szCs w:val="21"/>
                <w:lang w:val="en-US" w:eastAsia="zh-CN"/>
              </w:rPr>
            </w:pPr>
            <w:r>
              <w:rPr>
                <w:sz w:val="21"/>
                <w:szCs w:val="21"/>
              </w:rPr>
              <w:t>O：太阳能光伏石英制品的加工所涉及场所的相关职业健康安全管理活动</w:t>
            </w:r>
            <w:r>
              <w:rPr>
                <w:rFonts w:hint="eastAsia" w:ascii="Times New Roman" w:hAnsi="Times New Roman"/>
                <w:sz w:val="21"/>
                <w:szCs w:val="21"/>
                <w:lang w:val="en-US" w:eastAsia="zh-CN"/>
              </w:rPr>
              <w:t>物理边界：</w:t>
            </w:r>
          </w:p>
          <w:p>
            <w:pPr>
              <w:rPr>
                <w:lang w:eastAsia="ja-JP"/>
              </w:rPr>
            </w:pPr>
          </w:p>
        </w:tc>
        <w:tc>
          <w:tcPr>
            <w:tcW w:w="669" w:type="dxa"/>
            <w:vAlign w:val="center"/>
          </w:tcPr>
          <w:p>
            <w:pPr>
              <w:rPr>
                <w:rFonts w:hint="eastAsia" w:eastAsia="宋体"/>
                <w:lang w:eastAsia="zh-CN"/>
              </w:rPr>
            </w:pPr>
            <w:r>
              <w:rPr>
                <w:rFonts w:hint="eastAsia" w:ascii="Times New Roman" w:hAnsi="Times New Roman"/>
                <w:sz w:val="21"/>
                <w:szCs w:val="21"/>
              </w:rPr>
              <w:t>GB/T19001-2015</w:t>
            </w:r>
            <w:r>
              <w:rPr>
                <w:rFonts w:hint="eastAsia" w:ascii="Times New Roman" w:hAnsi="Times New Roman"/>
                <w:sz w:val="21"/>
                <w:szCs w:val="21"/>
                <w:lang w:eastAsia="zh-CN"/>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组员</w:t>
            </w:r>
          </w:p>
        </w:tc>
        <w:tc>
          <w:tcPr>
            <w:tcW w:w="711" w:type="dxa"/>
            <w:vAlign w:val="center"/>
          </w:tcPr>
          <w:p>
            <w:r>
              <w:t>女</w:t>
            </w:r>
          </w:p>
        </w:tc>
        <w:tc>
          <w:tcPr>
            <w:tcW w:w="3870" w:type="dxa"/>
            <w:vAlign w:val="center"/>
          </w:tcPr>
          <w:p>
            <w:r>
              <w:t>2021-N1QMS-2011923</w:t>
            </w:r>
          </w:p>
          <w:p>
            <w:r>
              <w:t>2020-N1OHSMS-3011923</w:t>
            </w:r>
          </w:p>
        </w:tc>
        <w:tc>
          <w:tcPr>
            <w:tcW w:w="2179" w:type="dxa"/>
            <w:vAlign w:val="center"/>
          </w:tcPr>
          <w:p>
            <w:r>
              <w:t>Q:15.06.02</w:t>
            </w:r>
          </w:p>
          <w:p>
            <w:pPr>
              <w:rPr>
                <w:rFonts w:hint="eastAsia" w:eastAsia="宋体"/>
                <w:lang w:val="en-US" w:eastAsia="zh-CN"/>
              </w:rPr>
            </w:pPr>
            <w:r>
              <w:t>O:15.06.02</w:t>
            </w:r>
            <w:r>
              <w:rPr>
                <w:rFonts w:hint="eastAsia"/>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作为2阶段不符合已整改验证关闭。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highlight w:val="none"/>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rFonts w:hint="eastAsia" w:eastAsia="宋体"/>
                <w:highlight w:val="none"/>
                <w:lang w:val="en-US" w:eastAsia="zh-CN"/>
              </w:rPr>
            </w:pPr>
            <w:r>
              <w:rPr>
                <w:highlight w:val="none"/>
              </w:rPr>
              <w:drawing>
                <wp:anchor distT="0" distB="0" distL="114300" distR="114300" simplePos="0" relativeHeight="251661312" behindDoc="0" locked="0" layoutInCell="1" allowOverlap="1">
                  <wp:simplePos x="0" y="0"/>
                  <wp:positionH relativeFrom="column">
                    <wp:posOffset>41910</wp:posOffset>
                  </wp:positionH>
                  <wp:positionV relativeFrom="paragraph">
                    <wp:posOffset>18415</wp:posOffset>
                  </wp:positionV>
                  <wp:extent cx="524510" cy="280670"/>
                  <wp:effectExtent l="0" t="0" r="8890" b="8890"/>
                  <wp:wrapNone/>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6">
                            <a:biLevel thresh="50000"/>
                            <a:grayscl/>
                          </a:blip>
                          <a:stretch>
                            <a:fillRect/>
                          </a:stretch>
                        </pic:blipFill>
                        <pic:spPr>
                          <a:xfrm>
                            <a:off x="0" y="0"/>
                            <a:ext cx="524510" cy="280670"/>
                          </a:xfrm>
                          <a:prstGeom prst="rect">
                            <a:avLst/>
                          </a:prstGeom>
                          <a:noFill/>
                          <a:ln>
                            <a:noFill/>
                          </a:ln>
                        </pic:spPr>
                      </pic:pic>
                    </a:graphicData>
                  </a:graphic>
                </wp:anchor>
              </w:drawing>
            </w:r>
            <w:r>
              <w:rPr>
                <w:rFonts w:hint="eastAsia"/>
                <w:highlight w:val="none"/>
                <w:lang w:val="en-US" w:eastAsia="zh-CN"/>
              </w:rPr>
              <w:t xml:space="preserve"> </w:t>
            </w:r>
          </w:p>
          <w:p>
            <w:pPr>
              <w:rPr>
                <w:highlight w:val="none"/>
              </w:rPr>
            </w:pPr>
          </w:p>
        </w:tc>
        <w:tc>
          <w:tcPr>
            <w:tcW w:w="2764" w:type="dxa"/>
            <w:tcMar>
              <w:left w:w="113" w:type="dxa"/>
            </w:tcMar>
          </w:tcPr>
          <w:p>
            <w:pPr>
              <w:rPr>
                <w:rFonts w:hint="default" w:eastAsia="宋体"/>
                <w:highlight w:val="none"/>
                <w:lang w:val="en-US" w:eastAsia="zh-CN"/>
              </w:rPr>
            </w:pPr>
            <w:r>
              <w:rPr>
                <w:rFonts w:hint="eastAsia"/>
                <w:highlight w:val="none"/>
              </w:rPr>
              <w:t>日期</w:t>
            </w:r>
            <w:r>
              <w:rPr>
                <w:rFonts w:hint="eastAsia"/>
                <w:highlight w:val="none"/>
                <w:lang w:val="en-US" w:eastAsia="zh-CN"/>
              </w:rPr>
              <w:t xml:space="preserve"> 2022.6.1.</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240" w:lineRule="auto"/>
              <w:jc w:val="left"/>
              <w:rPr>
                <w:rFonts w:hint="eastAsia"/>
                <w:sz w:val="21"/>
                <w:szCs w:val="21"/>
                <w:lang w:eastAsia="zh-CN"/>
              </w:rPr>
            </w:pPr>
            <w:r>
              <w:rPr>
                <w:rFonts w:hint="eastAsia"/>
                <w:sz w:val="21"/>
                <w:szCs w:val="21"/>
              </w:rPr>
              <w:t>优质的产品；满意的服务；持续改进；共同发展</w:t>
            </w:r>
            <w:r>
              <w:rPr>
                <w:rFonts w:hint="eastAsia"/>
                <w:sz w:val="21"/>
                <w:szCs w:val="21"/>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hd w:val="clear" w:color="auto" w:fill="C7DAF1" w:themeFill="text2" w:themeFillTint="32"/>
                    <w:spacing w:line="240" w:lineRule="auto"/>
                  </w:pPr>
                  <w:r>
                    <w:rPr>
                      <w:rFonts w:hint="eastAsia"/>
                      <w:sz w:val="21"/>
                      <w:szCs w:val="21"/>
                    </w:rPr>
                    <w:t>财务状况良好，资金充足。</w:t>
                  </w:r>
                </w:p>
              </w:tc>
              <w:tc>
                <w:tcPr>
                  <w:tcW w:w="3965" w:type="dxa"/>
                </w:tcPr>
                <w:p>
                  <w:pPr>
                    <w:pStyle w:val="23"/>
                    <w:shd w:val="clear" w:color="auto" w:fill="C7DAF1" w:themeFill="text2" w:themeFillTint="32"/>
                    <w:spacing w:line="240" w:lineRule="auto"/>
                  </w:pPr>
                  <w:r>
                    <w:rPr>
                      <w:rFonts w:hint="eastAsia"/>
                      <w:sz w:val="21"/>
                      <w:szCs w:val="21"/>
                    </w:rPr>
                    <w:t>财务监管</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hd w:val="clear" w:color="auto" w:fill="C7DAF1" w:themeFill="text2" w:themeFillTint="32"/>
                    <w:spacing w:line="240" w:lineRule="auto"/>
                  </w:pPr>
                  <w:r>
                    <w:rPr>
                      <w:rFonts w:hint="eastAsia"/>
                      <w:sz w:val="21"/>
                      <w:szCs w:val="21"/>
                    </w:rPr>
                    <w:t>本公司购置的设备性能优良，但需要持续维护。</w:t>
                  </w:r>
                </w:p>
              </w:tc>
              <w:tc>
                <w:tcPr>
                  <w:tcW w:w="3965" w:type="dxa"/>
                </w:tcPr>
                <w:p>
                  <w:pPr>
                    <w:pStyle w:val="23"/>
                    <w:shd w:val="clear" w:color="auto" w:fill="C7DAF1" w:themeFill="text2" w:themeFillTint="32"/>
                    <w:spacing w:line="240" w:lineRule="auto"/>
                  </w:pPr>
                  <w:r>
                    <w:rPr>
                      <w:rFonts w:hint="eastAsia"/>
                      <w:sz w:val="21"/>
                      <w:szCs w:val="21"/>
                    </w:rPr>
                    <w:t>加强维修保养，确保设备的性能和精度长期稳定。</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hd w:val="clear" w:color="auto" w:fill="C7DAF1" w:themeFill="text2" w:themeFillTint="32"/>
                    <w:spacing w:line="240" w:lineRule="auto"/>
                  </w:pPr>
                  <w:r>
                    <w:rPr>
                      <w:rFonts w:hint="eastAsia"/>
                      <w:sz w:val="21"/>
                      <w:szCs w:val="21"/>
                    </w:rPr>
                    <w:t>公司人员不足，相对流动性大。</w:t>
                  </w:r>
                </w:p>
              </w:tc>
              <w:tc>
                <w:tcPr>
                  <w:tcW w:w="3965" w:type="dxa"/>
                </w:tcPr>
                <w:p>
                  <w:pPr>
                    <w:pStyle w:val="23"/>
                    <w:shd w:val="clear" w:color="auto" w:fill="C7DAF1" w:themeFill="text2" w:themeFillTint="32"/>
                    <w:spacing w:line="240" w:lineRule="auto"/>
                  </w:pPr>
                  <w:r>
                    <w:rPr>
                      <w:rFonts w:hint="eastAsia"/>
                      <w:sz w:val="21"/>
                      <w:szCs w:val="21"/>
                    </w:rPr>
                    <w:t>人员招聘和培训</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3"/>
                    <w:shd w:val="clear" w:color="auto" w:fill="C7DAF1" w:themeFill="text2" w:themeFillTint="32"/>
                  </w:pPr>
                  <w:r>
                    <w:rPr>
                      <w:rFonts w:hint="eastAsia"/>
                    </w:rPr>
                    <w:t>生产产品一次交验合格率高于98%</w:t>
                  </w:r>
                </w:p>
              </w:tc>
              <w:tc>
                <w:tcPr>
                  <w:tcW w:w="3136" w:type="dxa"/>
                  <w:shd w:val="clear" w:color="auto" w:fill="auto"/>
                  <w:vAlign w:val="center"/>
                </w:tcPr>
                <w:p>
                  <w:pPr>
                    <w:pStyle w:val="23"/>
                    <w:shd w:val="clear" w:color="auto" w:fill="C7DAF1" w:themeFill="text2" w:themeFillTint="32"/>
                    <w:jc w:val="left"/>
                    <w:rPr>
                      <w:lang w:val="en-GB"/>
                    </w:rPr>
                  </w:pPr>
                  <w:r>
                    <w:rPr>
                      <w:rFonts w:hint="eastAsia"/>
                    </w:rPr>
                    <w:t>1、生产产品一次交验合格数÷总数x100%</w:t>
                  </w:r>
                </w:p>
              </w:tc>
              <w:tc>
                <w:tcPr>
                  <w:tcW w:w="1350" w:type="dxa"/>
                  <w:shd w:val="clear" w:color="auto" w:fill="auto"/>
                  <w:vAlign w:val="center"/>
                </w:tcPr>
                <w:p>
                  <w:pPr>
                    <w:shd w:val="clear" w:color="auto" w:fill="C7DAF1" w:themeFill="text2" w:themeFillTint="32"/>
                    <w:rPr>
                      <w:lang w:val="en-GB"/>
                    </w:rPr>
                  </w:pPr>
                  <w:r>
                    <w:rPr>
                      <w:rFonts w:hint="eastAsia" w:ascii="宋体" w:hAnsi="宋体" w:eastAsia="宋体"/>
                      <w:b/>
                      <w:sz w:val="24"/>
                      <w:szCs w:val="52"/>
                    </w:rPr>
                    <w:t>技术生产部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3"/>
                    <w:shd w:val="clear" w:color="auto" w:fill="C7DAF1" w:themeFill="text2" w:themeFillTint="32"/>
                  </w:pPr>
                  <w:r>
                    <w:rPr>
                      <w:rFonts w:hint="eastAsia"/>
                    </w:rPr>
                    <w:t>顾客满意率95%以上；</w:t>
                  </w:r>
                </w:p>
              </w:tc>
              <w:tc>
                <w:tcPr>
                  <w:tcW w:w="3136" w:type="dxa"/>
                  <w:shd w:val="clear" w:color="auto" w:fill="auto"/>
                  <w:vAlign w:val="center"/>
                </w:tcPr>
                <w:p>
                  <w:pPr>
                    <w:pStyle w:val="23"/>
                    <w:shd w:val="clear" w:color="auto" w:fill="C7DAF1" w:themeFill="text2" w:themeFillTint="32"/>
                    <w:jc w:val="left"/>
                    <w:rPr>
                      <w:rFonts w:ascii="宋体" w:hAnsi="宋体"/>
                    </w:rPr>
                  </w:pPr>
                  <w:r>
                    <w:rPr>
                      <w:rFonts w:hint="eastAsia"/>
                    </w:rPr>
                    <w:t>2、顾客满意度总分÷调查顾客数x100%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eastAsia="宋体"/>
                      <w:b/>
                      <w:sz w:val="24"/>
                      <w:szCs w:val="52"/>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Times New Roman" w:hAnsi="Times New Roman" w:eastAsia="宋体" w:cs="Times New Roman"/>
                <w:kern w:val="2"/>
                <w:sz w:val="21"/>
                <w:szCs w:val="21"/>
                <w:lang w:val="en-US" w:eastAsia="zh-CN" w:bidi="ar-SA"/>
              </w:rPr>
              <w:t>9493.9</w:t>
            </w:r>
            <w:r>
              <w:rPr>
                <w:rFonts w:hint="eastAsia"/>
              </w:rPr>
              <w:t>平方米；</w:t>
            </w:r>
            <w:r>
              <w:rPr>
                <w:rFonts w:hint="eastAsia"/>
                <w:highlight w:val="none"/>
              </w:rPr>
              <w:t>生产车间</w:t>
            </w:r>
            <w:r>
              <w:rPr>
                <w:rFonts w:hint="eastAsia"/>
                <w:highlight w:val="none"/>
                <w:lang w:val="en-US" w:eastAsia="zh-CN"/>
              </w:rPr>
              <w:t>1</w:t>
            </w:r>
            <w:r>
              <w:rPr>
                <w:rFonts w:hint="eastAsia"/>
                <w:highlight w:val="none"/>
              </w:rPr>
              <w:t>个；库房个；实验室个；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kern w:val="2"/>
                <w:sz w:val="21"/>
                <w:szCs w:val="21"/>
                <w:lang w:val="en-US" w:eastAsia="zh-Hans" w:bidi="ar-SA"/>
              </w:rPr>
              <w:t>数控</w:t>
            </w:r>
            <w:r>
              <w:rPr>
                <w:rFonts w:hint="eastAsia" w:ascii="Times New Roman" w:hAnsi="Times New Roman" w:eastAsia="宋体" w:cs="Times New Roman"/>
                <w:kern w:val="2"/>
                <w:sz w:val="21"/>
                <w:szCs w:val="21"/>
                <w:lang w:val="en-US" w:eastAsia="zh-CN" w:bidi="ar-SA"/>
              </w:rPr>
              <w:t>车床、</w:t>
            </w:r>
            <w:r>
              <w:rPr>
                <w:rFonts w:hint="eastAsia" w:ascii="Times New Roman" w:hAnsi="Times New Roman" w:eastAsia="宋体" w:cs="Times New Roman"/>
                <w:kern w:val="2"/>
                <w:sz w:val="21"/>
                <w:szCs w:val="21"/>
                <w:lang w:val="en-US" w:eastAsia="zh-Hans" w:bidi="ar-SA"/>
              </w:rPr>
              <w:t>玻璃车床</w:t>
            </w:r>
            <w:r>
              <w:rPr>
                <w:rFonts w:hint="eastAsia" w:ascii="Times New Roman" w:hAnsi="Times New Roman" w:eastAsia="宋体" w:cs="Times New Roman"/>
                <w:kern w:val="2"/>
                <w:sz w:val="21"/>
                <w:szCs w:val="21"/>
                <w:lang w:val="en-US" w:eastAsia="zh-CN" w:bidi="ar-SA"/>
              </w:rPr>
              <w:t>、钻床</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highlight w:val="none"/>
              </w:rPr>
              <w:t>特种设备管理</w:t>
            </w:r>
            <w:r>
              <w:rPr>
                <w:rFonts w:hint="eastAsia"/>
              </w:rPr>
              <w:t>：</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Times New Roman" w:hAnsi="Times New Roman" w:eastAsia="宋体" w:cs="Times New Roman"/>
                <w:kern w:val="2"/>
                <w:sz w:val="21"/>
                <w:szCs w:val="21"/>
                <w:lang w:val="en-US" w:eastAsia="zh-Hans" w:bidi="ar-SA"/>
              </w:rPr>
              <w:t>应力仪</w:t>
            </w:r>
            <w:r>
              <w:rPr>
                <w:rFonts w:hint="eastAsia" w:ascii="Times New Roman" w:hAnsi="Times New Roman" w:eastAsia="宋体" w:cs="Times New Roman"/>
                <w:kern w:val="2"/>
                <w:sz w:val="21"/>
                <w:szCs w:val="21"/>
                <w:lang w:val="en-US" w:eastAsia="zh-CN" w:bidi="ar-SA"/>
              </w:rPr>
              <w:t>、游标卡尺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highlight w:val="none"/>
              </w:rPr>
              <w:t>特种作业人员：</w:t>
            </w:r>
            <w:r>
              <w:rPr>
                <w:rFonts w:hint="eastAsia" w:ascii="Wingdings" w:hAnsi="Wingdings"/>
                <w:highlight w:val="none"/>
                <w:lang w:eastAsia="zh-CN"/>
              </w:rPr>
              <w:t>□</w:t>
            </w:r>
            <w:r>
              <w:rPr>
                <w:rFonts w:hint="eastAsia"/>
                <w:highlight w:val="none"/>
              </w:rPr>
              <w:t>电</w:t>
            </w:r>
            <w:r>
              <w:rPr>
                <w:rFonts w:hint="eastAsia"/>
              </w:rPr>
              <w:t>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lang w:val="en-US" w:eastAsia="zh-CN"/>
                    </w:rPr>
                    <w:t>石英锥</w:t>
                  </w:r>
                </w:p>
              </w:tc>
              <w:tc>
                <w:tcPr>
                  <w:tcW w:w="3665" w:type="dxa"/>
                </w:tcPr>
                <w:p>
                  <w:pPr>
                    <w:shd w:val="clear" w:color="auto" w:fill="C7DAF1" w:themeFill="text2" w:themeFillTint="32"/>
                    <w:jc w:val="left"/>
                  </w:pPr>
                  <w:r>
                    <w:rPr>
                      <w:rFonts w:hint="eastAsia" w:ascii="Times New Roman" w:hAnsi="Times New Roman" w:eastAsia="宋体" w:cs="Times New Roman"/>
                      <w:sz w:val="21"/>
                      <w:szCs w:val="21"/>
                      <w:lang w:val="en-US" w:eastAsia="zh-CN"/>
                    </w:rPr>
                    <w:t>退火</w:t>
                  </w:r>
                  <w:r>
                    <w:rPr>
                      <w:rFonts w:hint="eastAsia" w:ascii="Times New Roman" w:hAnsi="Times New Roman" w:cs="Times New Roman"/>
                      <w:sz w:val="21"/>
                      <w:szCs w:val="21"/>
                      <w:lang w:val="en-US" w:eastAsia="zh-CN"/>
                    </w:rPr>
                    <w:t>过程</w:t>
                  </w:r>
                </w:p>
              </w:tc>
              <w:tc>
                <w:tcPr>
                  <w:tcW w:w="3265" w:type="dxa"/>
                </w:tcPr>
                <w:p>
                  <w:pPr>
                    <w:shd w:val="clear" w:color="auto" w:fill="C7DAF1" w:themeFill="text2" w:themeFillTint="32"/>
                    <w:jc w:val="left"/>
                  </w:pPr>
                  <w:r>
                    <w:rPr>
                      <w:rFonts w:hint="eastAsia" w:cs="Times New Roman"/>
                      <w:kern w:val="2"/>
                      <w:sz w:val="21"/>
                      <w:vertAlign w:val="baseline"/>
                      <w:lang w:val="en-US" w:eastAsia="zh-CN" w:bidi="ar-SA"/>
                    </w:rPr>
                    <w:t>温度1150，加热6小时，保温4小时，自然冷却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vertAlign w:val="baseline"/>
                      <w:lang w:val="en-US" w:eastAsia="zh-Hans"/>
                    </w:rPr>
                    <w:t>石英管</w:t>
                  </w:r>
                </w:p>
              </w:tc>
              <w:tc>
                <w:tcPr>
                  <w:tcW w:w="3665" w:type="dxa"/>
                </w:tcPr>
                <w:p>
                  <w:pPr>
                    <w:shd w:val="clear" w:color="auto" w:fill="C7DAF1" w:themeFill="text2" w:themeFillTint="32"/>
                    <w:jc w:val="left"/>
                  </w:pPr>
                  <w:r>
                    <w:rPr>
                      <w:rFonts w:hint="eastAsia" w:ascii="Times New Roman" w:hAnsi="Times New Roman" w:eastAsia="宋体" w:cs="Times New Roman"/>
                      <w:sz w:val="21"/>
                      <w:szCs w:val="21"/>
                      <w:lang w:val="en-US" w:eastAsia="zh-CN"/>
                    </w:rPr>
                    <w:t>退火</w:t>
                  </w:r>
                  <w:r>
                    <w:rPr>
                      <w:rFonts w:hint="eastAsia" w:ascii="Times New Roman" w:hAnsi="Times New Roman" w:cs="Times New Roman"/>
                      <w:sz w:val="21"/>
                      <w:szCs w:val="21"/>
                      <w:lang w:val="en-US" w:eastAsia="zh-CN"/>
                    </w:rPr>
                    <w:t>过程</w:t>
                  </w:r>
                </w:p>
              </w:tc>
              <w:tc>
                <w:tcPr>
                  <w:tcW w:w="3265" w:type="dxa"/>
                </w:tcPr>
                <w:p>
                  <w:pPr>
                    <w:shd w:val="clear" w:color="auto" w:fill="C7DAF1" w:themeFill="text2" w:themeFillTint="32"/>
                    <w:jc w:val="left"/>
                  </w:pPr>
                  <w:r>
                    <w:rPr>
                      <w:rFonts w:hint="eastAsia" w:cs="Times New Roman"/>
                      <w:kern w:val="2"/>
                      <w:sz w:val="21"/>
                      <w:vertAlign w:val="baseline"/>
                      <w:lang w:val="en-US" w:eastAsia="zh-CN" w:bidi="ar-SA"/>
                    </w:rPr>
                    <w:t>温度1050，加热4小时，保温1小时，自然冷却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highlight w:val="none"/>
              </w:rPr>
              <w:t>组织在生产和服务提供的整个</w:t>
            </w:r>
            <w:r>
              <w:rPr>
                <w:rFonts w:hint="eastAsia"/>
              </w:rPr>
              <w:t>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组织爱护在组织控制下或使用顾客或外</w:t>
            </w:r>
            <w:r>
              <w:rPr>
                <w:rFonts w:hint="eastAsia"/>
              </w:rPr>
              <w:t>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w:t>
            </w:r>
            <w:r>
              <w:rPr>
                <w:rFonts w:hint="eastAsia"/>
                <w:highlight w:val="none"/>
              </w:rPr>
              <w:t>在适当阶段实施策划的安排，</w:t>
            </w:r>
            <w:r>
              <w:rPr>
                <w:rFonts w:hint="eastAsia"/>
              </w:rPr>
              <w:t>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A3"/>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5" w:name="_GoBack"/>
            <w:bookmarkEnd w:id="35"/>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w:t>
            </w:r>
            <w:r>
              <w:rPr>
                <w:rFonts w:hint="eastAsia"/>
                <w:highlight w:val="none"/>
              </w:rPr>
              <w:sym w:font="Wingdings 2" w:char="0052"/>
            </w:r>
            <w:r>
              <w:rPr>
                <w:rFonts w:hint="eastAsia"/>
                <w:highlight w:val="none"/>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3"/>
              <w:spacing w:line="240" w:lineRule="auto"/>
              <w:rPr>
                <w:rFonts w:hint="eastAsia"/>
                <w:sz w:val="21"/>
                <w:szCs w:val="21"/>
                <w:lang w:eastAsia="zh-CN"/>
              </w:rPr>
            </w:pPr>
            <w:r>
              <w:rPr>
                <w:rFonts w:hint="eastAsia"/>
                <w:sz w:val="21"/>
                <w:szCs w:val="21"/>
                <w:lang w:eastAsia="zh-CN"/>
              </w:rPr>
              <w:t>安全第一，预防为主；持续改进，保障健康。</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设备漏电</w:t>
                  </w:r>
                </w:p>
              </w:tc>
              <w:tc>
                <w:tcPr>
                  <w:tcW w:w="3965" w:type="dxa"/>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rPr>
                    <w:t>做好接地、接零、漏电、绝缘、防火防爆等措施</w:t>
                  </w:r>
                </w:p>
              </w:tc>
              <w:tc>
                <w:tcPr>
                  <w:tcW w:w="1717" w:type="dxa"/>
                </w:tcPr>
                <w:p>
                  <w:pPr>
                    <w:rPr>
                      <w:rFonts w:hint="default" w:eastAsia="宋体"/>
                      <w:lang w:val="en-US" w:eastAsia="zh-CN"/>
                    </w:rPr>
                  </w:pPr>
                  <w:bookmarkStart w:id="34" w:name="OLE_LINK1"/>
                  <w:r>
                    <w:rPr>
                      <w:rFonts w:hint="eastAsia"/>
                      <w:lang w:val="en-US" w:eastAsia="zh-CN"/>
                    </w:rPr>
                    <w:t>基本有效</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火灾</w:t>
                  </w:r>
                </w:p>
              </w:tc>
              <w:tc>
                <w:tcPr>
                  <w:tcW w:w="3965" w:type="dxa"/>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消防设施、日常检查、定期检测</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机械伤害</w:t>
                  </w:r>
                </w:p>
              </w:tc>
              <w:tc>
                <w:tcPr>
                  <w:tcW w:w="3965" w:type="dxa"/>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安全标识、急停按钮、日常检查、</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ascii="Times New Roman" w:hAnsi="Times New Roman" w:eastAsia="宋体" w:cs="Times New Roman"/>
                      <w:color w:val="062DD6"/>
                      <w:kern w:val="2"/>
                      <w:sz w:val="21"/>
                      <w:szCs w:val="24"/>
                      <w:highlight w:val="none"/>
                      <w:lang w:val="en-US" w:eastAsia="zh-CN" w:bidi="ar-SA"/>
                    </w:rPr>
                  </w:pPr>
                  <w:r>
                    <w:rPr>
                      <w:rFonts w:hint="eastAsia"/>
                      <w:color w:val="062DD6"/>
                      <w:highlight w:val="none"/>
                      <w:lang w:val="en-US" w:eastAsia="zh-CN"/>
                    </w:rPr>
                    <w:t>噪声</w:t>
                  </w:r>
                </w:p>
              </w:tc>
              <w:tc>
                <w:tcPr>
                  <w:tcW w:w="3965"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耳罩、耳机、日常检查、</w:t>
                  </w:r>
                </w:p>
              </w:tc>
              <w:tc>
                <w:tcPr>
                  <w:tcW w:w="1717" w:type="dxa"/>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highlight w:val="none"/>
              </w:rPr>
            </w:pPr>
            <w:r>
              <w:rPr>
                <w:rFonts w:hint="eastAsia"/>
              </w:rPr>
              <w:t>□安</w:t>
            </w:r>
            <w:r>
              <w:rPr>
                <w:rFonts w:hint="eastAsia"/>
                <w:highlight w:val="none"/>
              </w:rPr>
              <w:t>全现状评估报告表日期：</w:t>
            </w:r>
          </w:p>
          <w:p>
            <w:pPr>
              <w:rPr>
                <w:rFonts w:hint="default" w:eastAsia="宋体"/>
                <w:highlight w:val="none"/>
                <w:lang w:val="en-US" w:eastAsia="zh-CN"/>
              </w:rPr>
            </w:pPr>
            <w:r>
              <w:rPr>
                <w:rFonts w:hint="eastAsia"/>
                <w:highlight w:val="none"/>
              </w:rPr>
              <w:sym w:font="Wingdings 2" w:char="0052"/>
            </w:r>
            <w:r>
              <w:rPr>
                <w:rFonts w:hint="eastAsia"/>
                <w:highlight w:val="none"/>
              </w:rPr>
              <w:t>职业病体检报告书日期：</w:t>
            </w:r>
            <w:r>
              <w:rPr>
                <w:rFonts w:hint="eastAsia"/>
                <w:highlight w:val="none"/>
                <w:lang w:val="en-US" w:eastAsia="zh-CN"/>
              </w:rPr>
              <w:t>2022.5.</w:t>
            </w:r>
          </w:p>
          <w:p>
            <w:pPr>
              <w:rPr>
                <w:highlight w:val="none"/>
              </w:rPr>
            </w:pP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组织策</w:t>
            </w:r>
            <w:r>
              <w:rPr>
                <w:rFonts w:hint="eastAsia"/>
                <w:highlight w:val="none"/>
              </w:rPr>
              <w:t>划并采取措施应对职业健康安全风险和机会、法律法规和其他要求和准备和响应紧急情况；</w:t>
            </w:r>
          </w:p>
          <w:p>
            <w:pPr>
              <w:rPr>
                <w:highlight w:val="none"/>
              </w:rPr>
            </w:pPr>
            <w:r>
              <w:rPr>
                <w:rFonts w:hint="eastAsia"/>
                <w:highlight w:val="none"/>
              </w:rPr>
              <w:t>□安全装置□除尘设备</w:t>
            </w:r>
            <w:r>
              <w:rPr>
                <w:rFonts w:hint="eastAsia"/>
                <w:highlight w:val="none"/>
              </w:rPr>
              <w:sym w:font="Wingdings 2" w:char="0052"/>
            </w:r>
            <w:r>
              <w:rPr>
                <w:rFonts w:hint="eastAsia"/>
                <w:highlight w:val="none"/>
              </w:rPr>
              <w:t>漏电保护</w:t>
            </w:r>
            <w:r>
              <w:rPr>
                <w:rFonts w:hint="eastAsia"/>
                <w:highlight w:val="none"/>
              </w:rPr>
              <w:sym w:font="Wingdings 2" w:char="0052"/>
            </w:r>
            <w:r>
              <w:rPr>
                <w:rFonts w:hint="eastAsia"/>
                <w:highlight w:val="none"/>
              </w:rPr>
              <w:t>穿戴劳保用品□作业票管理□挂牌上锁管理</w:t>
            </w:r>
          </w:p>
          <w:p>
            <w:pPr>
              <w:rPr>
                <w:highlight w:val="cyan"/>
              </w:rPr>
            </w:pPr>
            <w:r>
              <w:rPr>
                <w:rFonts w:hint="eastAsia"/>
                <w:highlight w:val="none"/>
              </w:rPr>
              <w:t>□危化品控制□压力容器检测</w:t>
            </w:r>
            <w:r>
              <w:rPr>
                <w:rFonts w:hint="eastAsia"/>
                <w:highlight w:val="none"/>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安全事故为零</w:t>
                  </w:r>
                </w:p>
              </w:tc>
              <w:tc>
                <w:tcPr>
                  <w:tcW w:w="3136" w:type="dxa"/>
                  <w:shd w:val="clear" w:color="auto" w:fill="auto"/>
                  <w:vAlign w:val="center"/>
                </w:tcPr>
                <w:p>
                  <w:pPr>
                    <w:rPr>
                      <w:rFonts w:hint="default" w:eastAsia="宋体"/>
                      <w:lang w:val="en-US" w:eastAsia="zh-CN"/>
                    </w:rPr>
                  </w:pPr>
                  <w:r>
                    <w:rPr>
                      <w:rFonts w:hint="eastAsia"/>
                      <w:lang w:val="en-US" w:eastAsia="zh-CN"/>
                    </w:rPr>
                    <w:t>管理方案、运行控制、应急演练</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组织应确</w:t>
            </w:r>
            <w:r>
              <w:rPr>
                <w:rFonts w:hint="eastAsia"/>
                <w:highlight w:val="none"/>
              </w:rPr>
              <w:t>定、提供并维护所需的基础设施情况：</w:t>
            </w:r>
          </w:p>
          <w:p>
            <w:pPr>
              <w:rPr>
                <w:highlight w:val="none"/>
              </w:rPr>
            </w:pPr>
            <w:r>
              <w:rPr>
                <w:rFonts w:hint="eastAsia"/>
                <w:highlight w:val="none"/>
              </w:rPr>
              <w:t>建筑面积</w:t>
            </w:r>
            <w:r>
              <w:rPr>
                <w:rFonts w:hint="eastAsia"/>
                <w:highlight w:val="none"/>
                <w:lang w:val="en-US" w:eastAsia="zh-CN"/>
              </w:rPr>
              <w:t>9500</w:t>
            </w:r>
            <w:r>
              <w:rPr>
                <w:rFonts w:hint="eastAsia"/>
                <w:highlight w:val="none"/>
              </w:rPr>
              <w:t>平方米；生产车间个；库房个；实验室个；</w:t>
            </w:r>
          </w:p>
          <w:p>
            <w:pPr>
              <w:rPr>
                <w:highlight w:val="none"/>
                <w:u w:val="single"/>
              </w:rPr>
            </w:pPr>
            <w:r>
              <w:rPr>
                <w:rFonts w:hint="eastAsia"/>
                <w:highlight w:val="none"/>
              </w:rPr>
              <w:t>主要生产设备有：</w:t>
            </w:r>
            <w:r>
              <w:rPr>
                <w:rFonts w:hint="eastAsia"/>
                <w:highlight w:val="none"/>
                <w:u w:val="single"/>
              </w:rPr>
              <w:t>（列举2~4种）</w:t>
            </w:r>
            <w:r>
              <w:rPr>
                <w:rFonts w:hint="eastAsia" w:ascii="Times New Roman" w:hAnsi="Times New Roman" w:eastAsia="宋体" w:cs="Times New Roman"/>
                <w:kern w:val="2"/>
                <w:sz w:val="21"/>
                <w:szCs w:val="21"/>
                <w:highlight w:val="none"/>
                <w:lang w:val="en-US" w:eastAsia="zh-Hans" w:bidi="ar-SA"/>
              </w:rPr>
              <w:t>加长切管机</w:t>
            </w:r>
            <w:r>
              <w:rPr>
                <w:rFonts w:hint="eastAsia"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Hans" w:bidi="ar-SA"/>
              </w:rPr>
              <w:t>空压机</w:t>
            </w:r>
            <w:r>
              <w:rPr>
                <w:rFonts w:hint="eastAsia"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Hans" w:bidi="ar-SA"/>
              </w:rPr>
              <w:t>纯水机</w:t>
            </w:r>
          </w:p>
          <w:p>
            <w:pPr>
              <w:rPr>
                <w:highlight w:val="none"/>
              </w:rPr>
            </w:pPr>
            <w:r>
              <w:rPr>
                <w:rFonts w:hint="eastAsia"/>
                <w:highlight w:val="none"/>
              </w:rPr>
              <w:t>主要安全装置有：</w:t>
            </w:r>
          </w:p>
          <w:p>
            <w:r>
              <w:rPr>
                <w:rFonts w:hint="eastAsia" w:ascii="Wingdings" w:hAnsi="Wingdings"/>
                <w:highlight w:val="none"/>
                <w:lang w:eastAsia="zh-CN"/>
              </w:rPr>
              <w:sym w:font="Wingdings 2" w:char="0052"/>
            </w:r>
            <w:r>
              <w:rPr>
                <w:rFonts w:hint="eastAsia"/>
                <w:highlight w:val="none"/>
              </w:rPr>
              <w:t>急停按钮</w:t>
            </w:r>
            <w:r>
              <w:rPr>
                <w:rFonts w:hint="eastAsia" w:ascii="Wingdings" w:hAnsi="Wingdings"/>
                <w:highlight w:val="none"/>
                <w:lang w:eastAsia="zh-CN"/>
              </w:rPr>
              <w:t>□</w:t>
            </w:r>
            <w:r>
              <w:rPr>
                <w:rFonts w:hint="eastAsia"/>
                <w:highlight w:val="none"/>
              </w:rPr>
              <w:t>光栅</w:t>
            </w:r>
            <w:r>
              <w:rPr>
                <w:rFonts w:hint="eastAsia" w:ascii="Wingdings" w:hAnsi="Wingdings"/>
                <w:highlight w:val="none"/>
                <w:lang w:eastAsia="zh-CN"/>
              </w:rPr>
              <w:t>□</w:t>
            </w:r>
            <w:r>
              <w:rPr>
                <w:rFonts w:hint="eastAsia"/>
                <w:highlight w:val="none"/>
              </w:rPr>
              <w:t>联</w:t>
            </w:r>
            <w:r>
              <w:rPr>
                <w:rFonts w:hint="eastAsia"/>
              </w:rPr>
              <w:t>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highlight w:val="none"/>
              </w:rPr>
              <w:t>辅助场所</w:t>
            </w:r>
            <w:r>
              <w:rPr>
                <w:rFonts w:hint="eastAsia"/>
              </w:rPr>
              <w:t>：</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sym w:font="Wingdings 2" w:char="00A3"/>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pPr>
              <w:rPr>
                <w:highlight w:val="none"/>
              </w:rPr>
            </w:pPr>
            <w:r>
              <w:rPr>
                <w:rFonts w:hint="eastAsia"/>
                <w:highlight w:val="none"/>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管理方案、运行控制、应急管理</w:t>
                  </w:r>
                </w:p>
              </w:tc>
              <w:tc>
                <w:tcPr>
                  <w:tcW w:w="2205" w:type="dxa"/>
                </w:tcPr>
                <w:p>
                  <w:pPr>
                    <w:jc w:val="left"/>
                  </w:pPr>
                  <w:r>
                    <w:rPr>
                      <w:rFonts w:hint="eastAsia"/>
                      <w:lang w:val="en-US" w:eastAsia="zh-CN"/>
                    </w:rPr>
                    <w:t>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highlight w:val="none"/>
              </w:rPr>
              <w:t>组织对生产设备、安全装置、特种设备</w:t>
            </w:r>
            <w:r>
              <w:rPr>
                <w:rFonts w:hint="eastAsia"/>
              </w:rPr>
              <w:t>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highlight w:val="none"/>
              </w:rPr>
              <w:t>组织在生产和服务提供的整个过程中对</w:t>
            </w:r>
            <w:r>
              <w:rPr>
                <w:rFonts w:hint="eastAsia"/>
              </w:rPr>
              <w:t>危化品特性的进行了标识。</w:t>
            </w:r>
          </w:p>
          <w:p>
            <w:pPr>
              <w:jc w:val="left"/>
            </w:pPr>
            <w:r>
              <w:rPr>
                <w:rFonts w:hint="eastAsia"/>
              </w:rPr>
              <w:t>采用的标识方式：</w:t>
            </w:r>
            <w:r>
              <w:rPr>
                <w:rFonts w:hint="eastAsia" w:ascii="Wingdings" w:hAnsi="Wingdings"/>
                <w:lang w:eastAsia="zh-CN"/>
              </w:rPr>
              <w:sym w:font="Wingdings 2" w:char="00A3"/>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highlight w:val="none"/>
              </w:rPr>
              <w:t>组织应在生产和服务提供期间</w:t>
            </w:r>
            <w:r>
              <w:rPr>
                <w:rFonts w:hint="eastAsia"/>
              </w:rPr>
              <w:t>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val="en-US" w:eastAsia="zh-CN"/>
              </w:rPr>
              <w:t>--触电、机械伤害</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rPr>
                <w:highlight w:val="none"/>
              </w:rPr>
            </w:pPr>
            <w:r>
              <w:rPr>
                <w:rFonts w:hint="eastAsia"/>
                <w:highlight w:val="none"/>
              </w:rPr>
              <w:t>组织已分析和评价通过监视和测量获得的适当的数据和信息。</w:t>
            </w:r>
          </w:p>
          <w:p>
            <w:r>
              <w:rPr>
                <w:rFonts w:hint="eastAsia"/>
                <w:highlight w:val="none"/>
              </w:rPr>
              <w:t>组织已建立、实施并保持评价其合</w:t>
            </w:r>
            <w:r>
              <w:rPr>
                <w:rFonts w:hint="eastAsia"/>
              </w:rPr>
              <w:t>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pPr>
              <w:rPr>
                <w:highlight w:val="none"/>
              </w:rPr>
            </w:pPr>
            <w:r>
              <w:rPr>
                <w:rFonts w:hint="eastAsia"/>
                <w:highlight w:val="none"/>
              </w:rPr>
              <w:t>《职业病体检》编号：职检（2022）第020号。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10-11</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05F6364"/>
    <w:rsid w:val="01E16E78"/>
    <w:rsid w:val="02A418D7"/>
    <w:rsid w:val="03FE4D07"/>
    <w:rsid w:val="043E1BF5"/>
    <w:rsid w:val="04B64A7E"/>
    <w:rsid w:val="05100672"/>
    <w:rsid w:val="052A10D2"/>
    <w:rsid w:val="05EE4029"/>
    <w:rsid w:val="077C60AF"/>
    <w:rsid w:val="090715AF"/>
    <w:rsid w:val="099609D0"/>
    <w:rsid w:val="0A48580C"/>
    <w:rsid w:val="0AC52104"/>
    <w:rsid w:val="0B8C18E5"/>
    <w:rsid w:val="0BC35094"/>
    <w:rsid w:val="0BC83278"/>
    <w:rsid w:val="0BF06D94"/>
    <w:rsid w:val="0CF32BCE"/>
    <w:rsid w:val="0CF92C32"/>
    <w:rsid w:val="0D0B2B2A"/>
    <w:rsid w:val="0D3C6C96"/>
    <w:rsid w:val="0D9014E8"/>
    <w:rsid w:val="0DB43700"/>
    <w:rsid w:val="0E9C7828"/>
    <w:rsid w:val="0EA97C11"/>
    <w:rsid w:val="106D0892"/>
    <w:rsid w:val="107439CE"/>
    <w:rsid w:val="107B235F"/>
    <w:rsid w:val="107F6D0B"/>
    <w:rsid w:val="10EC40E1"/>
    <w:rsid w:val="11024A38"/>
    <w:rsid w:val="11FB7BBE"/>
    <w:rsid w:val="144302DE"/>
    <w:rsid w:val="149554E1"/>
    <w:rsid w:val="14D1683F"/>
    <w:rsid w:val="15D55C6E"/>
    <w:rsid w:val="15F8715C"/>
    <w:rsid w:val="166D3518"/>
    <w:rsid w:val="168F17BC"/>
    <w:rsid w:val="16AB1868"/>
    <w:rsid w:val="16B207CA"/>
    <w:rsid w:val="17E441F0"/>
    <w:rsid w:val="18553EC6"/>
    <w:rsid w:val="198A2D52"/>
    <w:rsid w:val="1B8C20D6"/>
    <w:rsid w:val="1B9B4C08"/>
    <w:rsid w:val="1BCC5812"/>
    <w:rsid w:val="1C6B499B"/>
    <w:rsid w:val="1CB55FC3"/>
    <w:rsid w:val="1D0F1DEB"/>
    <w:rsid w:val="1D3F7112"/>
    <w:rsid w:val="1D5D6FC1"/>
    <w:rsid w:val="1D9E208B"/>
    <w:rsid w:val="1E441A50"/>
    <w:rsid w:val="1E7452A6"/>
    <w:rsid w:val="1EF90053"/>
    <w:rsid w:val="1EFE053C"/>
    <w:rsid w:val="1FA83FC9"/>
    <w:rsid w:val="20114A36"/>
    <w:rsid w:val="204364A1"/>
    <w:rsid w:val="235F406A"/>
    <w:rsid w:val="238F0FB3"/>
    <w:rsid w:val="24A66FF4"/>
    <w:rsid w:val="26666435"/>
    <w:rsid w:val="266C32E9"/>
    <w:rsid w:val="276775E3"/>
    <w:rsid w:val="276A3B6D"/>
    <w:rsid w:val="2B3207F8"/>
    <w:rsid w:val="2B3A6DE7"/>
    <w:rsid w:val="2C887825"/>
    <w:rsid w:val="2E083F3B"/>
    <w:rsid w:val="2E8C77C8"/>
    <w:rsid w:val="2EA35084"/>
    <w:rsid w:val="2EFE584C"/>
    <w:rsid w:val="30162FEC"/>
    <w:rsid w:val="30CC3DD9"/>
    <w:rsid w:val="318F1549"/>
    <w:rsid w:val="3210344F"/>
    <w:rsid w:val="32711FC2"/>
    <w:rsid w:val="32BA306B"/>
    <w:rsid w:val="358C16BE"/>
    <w:rsid w:val="363D60A0"/>
    <w:rsid w:val="36AA6330"/>
    <w:rsid w:val="36E46CF3"/>
    <w:rsid w:val="3A1E7335"/>
    <w:rsid w:val="3A3A4CA7"/>
    <w:rsid w:val="3AC262D0"/>
    <w:rsid w:val="3B6A5E81"/>
    <w:rsid w:val="3B9C7525"/>
    <w:rsid w:val="3BA743A8"/>
    <w:rsid w:val="3BEF4AD6"/>
    <w:rsid w:val="3C9C5ED7"/>
    <w:rsid w:val="3D726D44"/>
    <w:rsid w:val="3E073820"/>
    <w:rsid w:val="3EED7C9C"/>
    <w:rsid w:val="3F1B2F79"/>
    <w:rsid w:val="3F981137"/>
    <w:rsid w:val="404F7770"/>
    <w:rsid w:val="40BB6E5F"/>
    <w:rsid w:val="41AB4557"/>
    <w:rsid w:val="42DB44FF"/>
    <w:rsid w:val="43480E4A"/>
    <w:rsid w:val="43EE05EA"/>
    <w:rsid w:val="440F4045"/>
    <w:rsid w:val="44921D2E"/>
    <w:rsid w:val="44AA3DFC"/>
    <w:rsid w:val="453A003B"/>
    <w:rsid w:val="457810EA"/>
    <w:rsid w:val="468679DC"/>
    <w:rsid w:val="46A221BC"/>
    <w:rsid w:val="480956EA"/>
    <w:rsid w:val="481B656B"/>
    <w:rsid w:val="48C018E6"/>
    <w:rsid w:val="4A637566"/>
    <w:rsid w:val="4AF60756"/>
    <w:rsid w:val="4B3317B5"/>
    <w:rsid w:val="4B741BB9"/>
    <w:rsid w:val="4DB417C0"/>
    <w:rsid w:val="4DFF1E22"/>
    <w:rsid w:val="4F1D361F"/>
    <w:rsid w:val="4FF7530E"/>
    <w:rsid w:val="50E3216B"/>
    <w:rsid w:val="50F419E6"/>
    <w:rsid w:val="52A22E8C"/>
    <w:rsid w:val="532C2F73"/>
    <w:rsid w:val="533C7527"/>
    <w:rsid w:val="54751760"/>
    <w:rsid w:val="550B27BD"/>
    <w:rsid w:val="551A13D6"/>
    <w:rsid w:val="55C41DB7"/>
    <w:rsid w:val="56690A9B"/>
    <w:rsid w:val="56995A62"/>
    <w:rsid w:val="574867B4"/>
    <w:rsid w:val="57BE07A6"/>
    <w:rsid w:val="588D2799"/>
    <w:rsid w:val="59301A29"/>
    <w:rsid w:val="5A1D0200"/>
    <w:rsid w:val="5AF86B29"/>
    <w:rsid w:val="5BD84EBD"/>
    <w:rsid w:val="5C0C0866"/>
    <w:rsid w:val="5DB16B79"/>
    <w:rsid w:val="5EBF627E"/>
    <w:rsid w:val="60C42B53"/>
    <w:rsid w:val="613721C4"/>
    <w:rsid w:val="622D1B37"/>
    <w:rsid w:val="635E4522"/>
    <w:rsid w:val="647E5010"/>
    <w:rsid w:val="657333CA"/>
    <w:rsid w:val="6731510A"/>
    <w:rsid w:val="67902011"/>
    <w:rsid w:val="67D11A4E"/>
    <w:rsid w:val="67E1286C"/>
    <w:rsid w:val="68E272B3"/>
    <w:rsid w:val="69A2191C"/>
    <w:rsid w:val="6A682DD1"/>
    <w:rsid w:val="6AD05952"/>
    <w:rsid w:val="6AE56806"/>
    <w:rsid w:val="6D97687A"/>
    <w:rsid w:val="6E2B2630"/>
    <w:rsid w:val="6E812EB5"/>
    <w:rsid w:val="6EEC06B7"/>
    <w:rsid w:val="6F374E0B"/>
    <w:rsid w:val="6F582FA9"/>
    <w:rsid w:val="6FAA092B"/>
    <w:rsid w:val="6FBD4CDE"/>
    <w:rsid w:val="704B5385"/>
    <w:rsid w:val="70F44F53"/>
    <w:rsid w:val="712B3B93"/>
    <w:rsid w:val="7241432A"/>
    <w:rsid w:val="72B83758"/>
    <w:rsid w:val="72B97FD0"/>
    <w:rsid w:val="74911176"/>
    <w:rsid w:val="75500C74"/>
    <w:rsid w:val="757A1185"/>
    <w:rsid w:val="75DF40BB"/>
    <w:rsid w:val="76124539"/>
    <w:rsid w:val="76617192"/>
    <w:rsid w:val="79C67B14"/>
    <w:rsid w:val="7A24152E"/>
    <w:rsid w:val="7ADD5F1E"/>
    <w:rsid w:val="7B1D3764"/>
    <w:rsid w:val="7CC2662E"/>
    <w:rsid w:val="7D060228"/>
    <w:rsid w:val="7D8A2C07"/>
    <w:rsid w:val="7E10124A"/>
    <w:rsid w:val="7F354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qFormat/>
    <w:uiPriority w:val="0"/>
    <w:rPr>
      <w:kern w:val="2"/>
      <w:sz w:val="18"/>
      <w:szCs w:val="18"/>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14600</Words>
  <Characters>15405</Characters>
  <Lines>150</Lines>
  <Paragraphs>42</Paragraphs>
  <TotalTime>3</TotalTime>
  <ScaleCrop>false</ScaleCrop>
  <LinksUpToDate>false</LinksUpToDate>
  <CharactersWithSpaces>15503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2022-06-08T07:47:52Z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