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p>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850"/>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过程与活动、</w:t>
            </w:r>
          </w:p>
          <w:p>
            <w:pPr>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抽样计划</w:t>
            </w:r>
          </w:p>
        </w:tc>
        <w:tc>
          <w:tcPr>
            <w:tcW w:w="1311" w:type="dxa"/>
            <w:vMerge w:val="restart"/>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涉及条款</w:t>
            </w:r>
          </w:p>
        </w:tc>
        <w:tc>
          <w:tcPr>
            <w:tcW w:w="10850"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受审核部门：规划设计部    主管领导：叶晓文    陪同人员：李扬</w:t>
            </w:r>
          </w:p>
        </w:tc>
        <w:tc>
          <w:tcPr>
            <w:tcW w:w="739" w:type="dxa"/>
            <w:vMerge w:val="restart"/>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hint="eastAsia" w:ascii="宋体" w:hAnsi="宋体" w:eastAsia="宋体" w:cs="宋体"/>
                <w:color w:val="000000" w:themeColor="text1"/>
                <w:sz w:val="21"/>
                <w:szCs w:val="21"/>
              </w:rPr>
            </w:pPr>
          </w:p>
        </w:tc>
        <w:tc>
          <w:tcPr>
            <w:tcW w:w="1311" w:type="dxa"/>
            <w:vMerge w:val="continue"/>
            <w:vAlign w:val="center"/>
          </w:tcPr>
          <w:p>
            <w:pPr>
              <w:spacing w:line="360" w:lineRule="auto"/>
              <w:rPr>
                <w:rFonts w:hint="eastAsia" w:ascii="宋体" w:hAnsi="宋体" w:eastAsia="宋体" w:cs="宋体"/>
                <w:color w:val="000000" w:themeColor="text1"/>
                <w:sz w:val="21"/>
                <w:szCs w:val="21"/>
              </w:rPr>
            </w:pPr>
          </w:p>
        </w:tc>
        <w:tc>
          <w:tcPr>
            <w:tcW w:w="10850" w:type="dxa"/>
            <w:vAlign w:val="center"/>
          </w:tcPr>
          <w:p>
            <w:pPr>
              <w:spacing w:before="120" w:line="360" w:lineRule="auto"/>
              <w:rPr>
                <w:rFonts w:hint="default" w:ascii="宋体" w:hAnsi="宋体" w:eastAsia="宋体" w:cs="宋体"/>
                <w:color w:val="000000" w:themeColor="text1"/>
                <w:sz w:val="21"/>
                <w:szCs w:val="21"/>
                <w:lang w:val="en-US" w:eastAsia="zh-CN"/>
              </w:rPr>
            </w:pPr>
            <w:r>
              <w:rPr>
                <w:rFonts w:hint="eastAsia" w:ascii="宋体" w:hAnsi="宋体" w:eastAsia="宋体" w:cs="宋体"/>
                <w:sz w:val="21"/>
                <w:szCs w:val="21"/>
              </w:rPr>
              <w:t xml:space="preserve">审核员：李俐 </w:t>
            </w:r>
            <w:r>
              <w:rPr>
                <w:rFonts w:hint="eastAsia" w:ascii="宋体" w:hAnsi="宋体" w:eastAsia="宋体" w:cs="宋体"/>
                <w:sz w:val="21"/>
                <w:szCs w:val="21"/>
                <w:lang w:eastAsia="zh-CN"/>
              </w:rPr>
              <w:t>、陈延国</w:t>
            </w:r>
            <w:r>
              <w:rPr>
                <w:rFonts w:hint="eastAsia" w:ascii="宋体" w:hAnsi="宋体" w:eastAsia="宋体" w:cs="宋体"/>
                <w:sz w:val="21"/>
                <w:szCs w:val="21"/>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冯力</w:t>
            </w:r>
            <w:r>
              <w:rPr>
                <w:rFonts w:hint="eastAsia" w:ascii="宋体" w:hAnsi="宋体" w:eastAsia="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lang w:val="en-US" w:eastAsia="zh-CN"/>
              </w:rPr>
              <w:t>手机微信、电脑视频</w:t>
            </w:r>
            <w:r>
              <w:rPr>
                <w:rFonts w:hint="eastAsia" w:ascii="宋体" w:hAnsi="宋体" w:cs="宋体"/>
                <w:sz w:val="21"/>
                <w:szCs w:val="21"/>
                <w:lang w:eastAsia="zh-CN"/>
              </w:rPr>
              <w:t>）</w:t>
            </w:r>
            <w:r>
              <w:rPr>
                <w:rFonts w:hint="eastAsia" w:ascii="宋体" w:hAnsi="宋体" w:eastAsia="宋体" w:cs="宋体"/>
                <w:sz w:val="21"/>
                <w:szCs w:val="21"/>
              </w:rPr>
              <w:t xml:space="preserve">        审核时间：</w:t>
            </w:r>
            <w:r>
              <w:rPr>
                <w:rFonts w:hint="eastAsia" w:ascii="宋体" w:hAnsi="宋体" w:eastAsia="宋体" w:cs="Arial"/>
                <w:sz w:val="21"/>
                <w:szCs w:val="21"/>
              </w:rPr>
              <w:t>20</w:t>
            </w:r>
            <w:r>
              <w:rPr>
                <w:rFonts w:hint="eastAsia" w:ascii="宋体" w:hAnsi="宋体" w:cs="Arial"/>
                <w:sz w:val="21"/>
                <w:szCs w:val="21"/>
                <w:lang w:val="en-US" w:eastAsia="zh-CN"/>
              </w:rPr>
              <w:t>22</w:t>
            </w:r>
            <w:r>
              <w:rPr>
                <w:rFonts w:hint="eastAsia" w:ascii="宋体" w:hAnsi="宋体" w:eastAsia="宋体" w:cs="Arial"/>
                <w:sz w:val="21"/>
                <w:szCs w:val="21"/>
              </w:rPr>
              <w:t>.</w:t>
            </w:r>
            <w:r>
              <w:rPr>
                <w:rFonts w:hint="eastAsia" w:ascii="宋体" w:hAnsi="宋体" w:eastAsia="宋体" w:cs="Arial"/>
                <w:sz w:val="21"/>
                <w:szCs w:val="21"/>
                <w:lang w:val="en-US" w:eastAsia="zh-CN"/>
              </w:rPr>
              <w:t>5</w:t>
            </w:r>
            <w:r>
              <w:rPr>
                <w:rFonts w:hint="eastAsia" w:ascii="宋体" w:hAnsi="宋体" w:eastAsia="宋体" w:cs="Arial"/>
                <w:sz w:val="21"/>
                <w:szCs w:val="21"/>
              </w:rPr>
              <w:t>.</w:t>
            </w:r>
            <w:r>
              <w:rPr>
                <w:rFonts w:hint="eastAsia" w:ascii="宋体" w:hAnsi="宋体" w:cs="Arial"/>
                <w:sz w:val="21"/>
                <w:szCs w:val="21"/>
                <w:lang w:val="en-US" w:eastAsia="zh-CN"/>
              </w:rPr>
              <w:t>26-28</w:t>
            </w:r>
          </w:p>
        </w:tc>
        <w:tc>
          <w:tcPr>
            <w:tcW w:w="739" w:type="dxa"/>
            <w:vMerge w:val="continue"/>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hint="eastAsia" w:ascii="宋体" w:hAnsi="宋体" w:eastAsia="宋体" w:cs="宋体"/>
                <w:color w:val="000000" w:themeColor="text1"/>
                <w:sz w:val="21"/>
                <w:szCs w:val="21"/>
              </w:rPr>
            </w:pPr>
          </w:p>
        </w:tc>
        <w:tc>
          <w:tcPr>
            <w:tcW w:w="1311" w:type="dxa"/>
            <w:vMerge w:val="continue"/>
            <w:vAlign w:val="center"/>
          </w:tcPr>
          <w:p>
            <w:pPr>
              <w:spacing w:line="360" w:lineRule="auto"/>
              <w:rPr>
                <w:rFonts w:hint="eastAsia" w:ascii="宋体" w:hAnsi="宋体" w:eastAsia="宋体" w:cs="宋体"/>
                <w:color w:val="000000" w:themeColor="text1"/>
                <w:sz w:val="21"/>
                <w:szCs w:val="21"/>
              </w:rPr>
            </w:pPr>
          </w:p>
        </w:tc>
        <w:tc>
          <w:tcPr>
            <w:tcW w:w="10850"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审核条款：</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QMS:5.3、6.2、7.1.5、7.1.3、7.1.4、8.1、8.2、8.3、8.4、、8.5.1、8.5.2、8.5.3、8.5.4、8.5.5</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、8.5.6</w:t>
            </w:r>
            <w:r>
              <w:rPr>
                <w:rFonts w:hint="eastAsia" w:ascii="宋体" w:hAnsi="宋体" w:cs="宋体"/>
                <w:sz w:val="21"/>
                <w:szCs w:val="21"/>
                <w:lang w:eastAsia="zh-CN"/>
              </w:rPr>
              <w:t>、</w:t>
            </w:r>
            <w:r>
              <w:rPr>
                <w:rFonts w:hint="eastAsia" w:ascii="宋体" w:hAnsi="宋体" w:eastAsia="宋体" w:cs="宋体"/>
                <w:sz w:val="21"/>
                <w:szCs w:val="21"/>
              </w:rPr>
              <w:t>8.6、8.7</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sz w:val="21"/>
                <w:szCs w:val="21"/>
              </w:rPr>
              <w:t>E/OMS:6.1.2、8.1、8.2</w:t>
            </w:r>
            <w:r>
              <w:rPr>
                <w:rFonts w:hint="eastAsia" w:ascii="宋体" w:hAnsi="宋体" w:eastAsia="宋体" w:cs="宋体"/>
                <w:sz w:val="21"/>
                <w:szCs w:val="21"/>
                <w:lang w:eastAsia="zh-CN"/>
              </w:rPr>
              <w:t>。</w:t>
            </w:r>
          </w:p>
        </w:tc>
        <w:tc>
          <w:tcPr>
            <w:tcW w:w="739" w:type="dxa"/>
            <w:vMerge w:val="continue"/>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adjustRightInd w:val="0"/>
              <w:snapToGrid w:val="0"/>
              <w:spacing w:line="360" w:lineRule="auto"/>
              <w:jc w:val="left"/>
              <w:rPr>
                <w:rFonts w:hint="eastAsia" w:ascii="宋体" w:hAnsi="宋体" w:eastAsia="宋体" w:cs="宋体"/>
                <w:color w:val="000000" w:themeColor="text1"/>
                <w:sz w:val="21"/>
                <w:szCs w:val="21"/>
              </w:rPr>
            </w:pPr>
          </w:p>
          <w:p>
            <w:pPr>
              <w:adjustRightInd w:val="0"/>
              <w:snapToGrid w:val="0"/>
              <w:spacing w:line="360" w:lineRule="auto"/>
              <w:jc w:val="left"/>
              <w:rPr>
                <w:rFonts w:hint="eastAsia" w:ascii="宋体" w:hAnsi="宋体" w:eastAsia="宋体" w:cs="宋体"/>
                <w:color w:val="000000" w:themeColor="text1"/>
                <w:sz w:val="21"/>
                <w:szCs w:val="21"/>
              </w:rPr>
            </w:pPr>
          </w:p>
          <w:p>
            <w:pPr>
              <w:adjustRightInd w:val="0"/>
              <w:snapToGrid w:val="0"/>
              <w:spacing w:line="360" w:lineRule="auto"/>
              <w:jc w:val="left"/>
              <w:rPr>
                <w:rFonts w:hint="eastAsia" w:ascii="宋体" w:hAnsi="宋体" w:eastAsia="宋体" w:cs="宋体"/>
                <w:color w:val="000000" w:themeColor="text1"/>
                <w:sz w:val="21"/>
                <w:szCs w:val="21"/>
              </w:rPr>
            </w:pPr>
          </w:p>
          <w:p>
            <w:pPr>
              <w:adjustRightInd w:val="0"/>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组织的角色、职责和权限</w:t>
            </w:r>
          </w:p>
          <w:p>
            <w:pPr>
              <w:adjustRightInd w:val="0"/>
              <w:snapToGrid w:val="0"/>
              <w:spacing w:line="360" w:lineRule="auto"/>
              <w:jc w:val="center"/>
              <w:rPr>
                <w:rFonts w:hint="eastAsia" w:ascii="宋体" w:hAnsi="宋体" w:eastAsia="宋体" w:cs="宋体"/>
                <w:color w:val="000000" w:themeColor="text1"/>
                <w:sz w:val="21"/>
                <w:szCs w:val="21"/>
              </w:rPr>
            </w:pP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QE</w:t>
            </w:r>
            <w:r>
              <w:rPr>
                <w:rFonts w:hint="eastAsia" w:ascii="宋体" w:hAnsi="宋体" w:eastAsia="宋体" w:cs="宋体"/>
                <w:color w:val="000000" w:themeColor="text1"/>
                <w:sz w:val="21"/>
                <w:szCs w:val="21"/>
                <w:lang w:val="en-US" w:eastAsia="zh-CN"/>
              </w:rPr>
              <w:t>O：</w:t>
            </w:r>
            <w:r>
              <w:rPr>
                <w:rFonts w:hint="eastAsia" w:ascii="宋体" w:hAnsi="宋体" w:eastAsia="宋体" w:cs="宋体"/>
                <w:color w:val="000000" w:themeColor="text1"/>
                <w:sz w:val="21"/>
                <w:szCs w:val="21"/>
              </w:rPr>
              <w:t xml:space="preserve">5.3； </w:t>
            </w:r>
          </w:p>
          <w:p>
            <w:pPr>
              <w:spacing w:line="360" w:lineRule="auto"/>
              <w:rPr>
                <w:rFonts w:hint="eastAsia" w:ascii="宋体" w:hAnsi="宋体" w:eastAsia="宋体" w:cs="宋体"/>
                <w:color w:val="000000" w:themeColor="text1"/>
                <w:sz w:val="21"/>
                <w:szCs w:val="21"/>
              </w:rPr>
            </w:pPr>
          </w:p>
        </w:tc>
        <w:tc>
          <w:tcPr>
            <w:tcW w:w="10850" w:type="dxa"/>
          </w:tcPr>
          <w:p>
            <w:pPr>
              <w:autoSpaceDE w:val="0"/>
              <w:autoSpaceDN w:val="0"/>
              <w:adjustRightInd w:val="0"/>
              <w:spacing w:line="360" w:lineRule="auto"/>
              <w:jc w:val="left"/>
              <w:rPr>
                <w:rFonts w:hint="eastAsia" w:ascii="宋体" w:hAnsi="宋体" w:eastAsia="宋体" w:cs="宋体"/>
                <w:color w:val="000000" w:themeColor="text1"/>
                <w:sz w:val="21"/>
                <w:szCs w:val="21"/>
                <w:lang w:bidi="ar"/>
              </w:rPr>
            </w:pPr>
            <w:r>
              <w:rPr>
                <w:rFonts w:hint="eastAsia" w:ascii="宋体" w:hAnsi="宋体" w:eastAsia="宋体" w:cs="宋体"/>
                <w:color w:val="000000" w:themeColor="text1"/>
                <w:sz w:val="21"/>
                <w:szCs w:val="21"/>
                <w:lang w:bidi="ar"/>
              </w:rPr>
              <w:t>查，规划设计部的岗位职责和权限如下：</w:t>
            </w:r>
          </w:p>
          <w:p>
            <w:pPr>
              <w:autoSpaceDE w:val="0"/>
              <w:autoSpaceDN w:val="0"/>
              <w:adjustRightIn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bidi="ar"/>
              </w:rPr>
              <w:t>负责公司土地规划设计归口管理；负责设计过程安全管理；领导建立和完善管理制度，组织实施并监督、检查服务体系的运行； 组织落实、监督调控设计过程各项质量、安全、成本指标等；领导、管理基础设施维护，保证设备设施能够正常服务，设备处于良好状态；负责区域内消防设施的定期检查并保证在有效期内使用；综合平衡年度设计任务，制定下达月度计划，做到安全服务。负责本部门环境因素、危险源的识别评价和控制措施的实施；参与公司组织的应急演习、合规性评价、三标内审和三标管理评审</w:t>
            </w:r>
            <w:r>
              <w:rPr>
                <w:rFonts w:hint="eastAsia" w:ascii="宋体" w:hAnsi="宋体" w:eastAsia="宋体" w:cs="宋体"/>
                <w:color w:val="000000" w:themeColor="text1"/>
                <w:sz w:val="21"/>
                <w:szCs w:val="21"/>
                <w:lang w:val="en-US" w:eastAsia="zh-CN" w:bidi="ar"/>
              </w:rPr>
              <w:t>等，</w:t>
            </w:r>
            <w:r>
              <w:rPr>
                <w:rFonts w:hint="eastAsia" w:ascii="宋体" w:hAnsi="宋体" w:eastAsia="宋体" w:cs="宋体"/>
                <w:color w:val="000000" w:themeColor="text1"/>
                <w:sz w:val="21"/>
                <w:szCs w:val="21"/>
                <w:lang w:bidi="ar"/>
              </w:rPr>
              <w:t>规划设计部负责人对部门职责清楚。</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目标及其实现的策划</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QE</w:t>
            </w:r>
            <w:r>
              <w:rPr>
                <w:rFonts w:hint="eastAsia" w:ascii="宋体" w:hAnsi="宋体" w:eastAsia="宋体" w:cs="宋体"/>
                <w:color w:val="000000" w:themeColor="text1"/>
                <w:sz w:val="21"/>
                <w:szCs w:val="21"/>
                <w:lang w:val="en-US" w:eastAsia="zh-CN"/>
              </w:rPr>
              <w:t>O：</w:t>
            </w:r>
            <w:r>
              <w:rPr>
                <w:rFonts w:hint="eastAsia" w:ascii="宋体" w:hAnsi="宋体" w:eastAsia="宋体" w:cs="宋体"/>
                <w:color w:val="000000" w:themeColor="text1"/>
                <w:sz w:val="21"/>
                <w:szCs w:val="21"/>
              </w:rPr>
              <w:t>6.2</w:t>
            </w:r>
          </w:p>
          <w:p>
            <w:pPr>
              <w:spacing w:line="360" w:lineRule="auto"/>
              <w:rPr>
                <w:rFonts w:hint="eastAsia" w:ascii="宋体" w:hAnsi="宋体" w:eastAsia="宋体" w:cs="宋体"/>
                <w:color w:val="000000" w:themeColor="text1"/>
                <w:sz w:val="21"/>
                <w:szCs w:val="21"/>
              </w:rPr>
            </w:pPr>
          </w:p>
        </w:tc>
        <w:tc>
          <w:tcPr>
            <w:tcW w:w="10850" w:type="dxa"/>
            <w:vAlign w:val="center"/>
          </w:tcPr>
          <w:p>
            <w:pPr>
              <w:spacing w:line="360" w:lineRule="auto"/>
              <w:rPr>
                <w:rFonts w:hint="eastAsia" w:ascii="宋体" w:hAnsi="宋体" w:eastAsia="宋体" w:cs="宋体"/>
                <w:iCs/>
                <w:color w:val="000000" w:themeColor="text1"/>
                <w:sz w:val="21"/>
                <w:szCs w:val="21"/>
                <w:lang w:bidi="ar"/>
              </w:rPr>
            </w:pPr>
            <w:r>
              <w:rPr>
                <w:rFonts w:hint="eastAsia" w:ascii="宋体" w:hAnsi="宋体" w:eastAsia="宋体" w:cs="宋体"/>
                <w:iCs/>
                <w:color w:val="000000" w:themeColor="text1"/>
                <w:sz w:val="21"/>
                <w:szCs w:val="21"/>
                <w:lang w:bidi="ar"/>
              </w:rPr>
              <w:t>查规划设计部的质量、环境和安全目标为：</w:t>
            </w:r>
          </w:p>
          <w:tbl>
            <w:tblPr>
              <w:tblStyle w:val="13"/>
              <w:tblW w:w="9224" w:type="dxa"/>
              <w:tblInd w:w="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587"/>
              <w:gridCol w:w="1578"/>
              <w:gridCol w:w="1849"/>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27"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责任</w:t>
                  </w:r>
                </w:p>
              </w:tc>
              <w:tc>
                <w:tcPr>
                  <w:tcW w:w="2587" w:type="dxa"/>
                  <w:vAlign w:val="center"/>
                </w:tcPr>
                <w:p>
                  <w:pPr>
                    <w:spacing w:line="360" w:lineRule="auto"/>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目标</w:t>
                  </w:r>
                </w:p>
              </w:tc>
              <w:tc>
                <w:tcPr>
                  <w:tcW w:w="1578" w:type="dxa"/>
                  <w:vAlign w:val="center"/>
                </w:tcPr>
                <w:p>
                  <w:pPr>
                    <w:spacing w:line="360" w:lineRule="auto"/>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测评方法</w:t>
                  </w:r>
                </w:p>
              </w:tc>
              <w:tc>
                <w:tcPr>
                  <w:tcW w:w="1849" w:type="dxa"/>
                  <w:vAlign w:val="center"/>
                </w:tcPr>
                <w:p>
                  <w:pPr>
                    <w:spacing w:line="360" w:lineRule="auto"/>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所需资源</w:t>
                  </w:r>
                </w:p>
              </w:tc>
              <w:tc>
                <w:tcPr>
                  <w:tcW w:w="2383" w:type="dxa"/>
                  <w:vAlign w:val="center"/>
                </w:tcPr>
                <w:p>
                  <w:pPr>
                    <w:spacing w:line="360" w:lineRule="auto"/>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27" w:type="dxa"/>
                  <w:vMerge w:val="restart"/>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Q</w:t>
                  </w:r>
                </w:p>
              </w:tc>
              <w:tc>
                <w:tcPr>
                  <w:tcW w:w="2587"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color w:val="000000"/>
                      <w:sz w:val="18"/>
                      <w:szCs w:val="18"/>
                      <w:lang w:val="en-US" w:eastAsia="zh-CN"/>
                    </w:rPr>
                    <w:t>项目</w:t>
                  </w:r>
                  <w:r>
                    <w:rPr>
                      <w:rFonts w:hint="eastAsia" w:ascii="宋体" w:hAnsi="宋体" w:eastAsia="宋体" w:cs="宋体"/>
                      <w:b w:val="0"/>
                      <w:bCs/>
                      <w:color w:val="000000"/>
                      <w:sz w:val="18"/>
                      <w:szCs w:val="18"/>
                    </w:rPr>
                    <w:t>一次交验</w:t>
                  </w:r>
                  <w:r>
                    <w:rPr>
                      <w:rFonts w:hint="eastAsia" w:ascii="宋体" w:hAnsi="宋体" w:eastAsia="宋体" w:cs="宋体"/>
                      <w:b w:val="0"/>
                      <w:bCs w:val="0"/>
                      <w:sz w:val="18"/>
                      <w:szCs w:val="18"/>
                    </w:rPr>
                    <w:t>合格率≥</w:t>
                  </w:r>
                  <w:r>
                    <w:rPr>
                      <w:rFonts w:hint="eastAsia" w:ascii="宋体" w:hAnsi="宋体" w:eastAsia="宋体" w:cs="宋体"/>
                      <w:b w:val="0"/>
                      <w:bCs w:val="0"/>
                      <w:sz w:val="18"/>
                      <w:szCs w:val="18"/>
                      <w:lang w:val="en-US" w:eastAsia="zh-CN"/>
                    </w:rPr>
                    <w:t>100</w:t>
                  </w:r>
                  <w:r>
                    <w:rPr>
                      <w:rFonts w:hint="eastAsia" w:ascii="宋体" w:hAnsi="宋体" w:eastAsia="宋体" w:cs="宋体"/>
                      <w:b w:val="0"/>
                      <w:bCs w:val="0"/>
                      <w:sz w:val="18"/>
                      <w:szCs w:val="18"/>
                    </w:rPr>
                    <w:t>%</w:t>
                  </w:r>
                </w:p>
              </w:tc>
              <w:tc>
                <w:tcPr>
                  <w:tcW w:w="1578"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lang w:val="en-US" w:eastAsia="zh-CN"/>
                    </w:rPr>
                    <w:t>项目验收</w:t>
                  </w:r>
                  <w:r>
                    <w:rPr>
                      <w:rFonts w:hint="eastAsia" w:ascii="宋体" w:hAnsi="宋体" w:eastAsia="宋体" w:cs="宋体"/>
                      <w:b w:val="0"/>
                      <w:bCs w:val="0"/>
                      <w:sz w:val="18"/>
                      <w:szCs w:val="18"/>
                    </w:rPr>
                    <w:t>报告</w:t>
                  </w:r>
                </w:p>
              </w:tc>
              <w:tc>
                <w:tcPr>
                  <w:tcW w:w="1849"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报告及验收记录</w:t>
                  </w:r>
                </w:p>
              </w:tc>
              <w:tc>
                <w:tcPr>
                  <w:tcW w:w="2383"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一次交验合格率</w:t>
                  </w:r>
                  <w:r>
                    <w:rPr>
                      <w:rFonts w:hint="eastAsia" w:ascii="宋体" w:hAnsi="宋体" w:eastAsia="宋体" w:cs="宋体"/>
                      <w:b w:val="0"/>
                      <w:bCs w:val="0"/>
                      <w:color w:val="000000"/>
                      <w:sz w:val="18"/>
                      <w:szCs w:val="18"/>
                      <w:lang w:val="en-US" w:eastAsia="zh-CN"/>
                    </w:rPr>
                    <w:t>100</w:t>
                  </w:r>
                  <w:r>
                    <w:rPr>
                      <w:rFonts w:hint="eastAsia" w:ascii="宋体" w:hAnsi="宋体" w:eastAsia="宋体" w:cs="宋体"/>
                      <w:b w:val="0"/>
                      <w:bCs w:val="0"/>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27" w:type="dxa"/>
                  <w:vMerge w:val="continue"/>
                  <w:vAlign w:val="center"/>
                </w:tcPr>
                <w:p>
                  <w:pPr>
                    <w:spacing w:line="360" w:lineRule="auto"/>
                    <w:jc w:val="center"/>
                    <w:rPr>
                      <w:rFonts w:hint="eastAsia" w:ascii="宋体" w:hAnsi="宋体" w:eastAsia="宋体" w:cs="宋体"/>
                      <w:sz w:val="18"/>
                      <w:szCs w:val="18"/>
                    </w:rPr>
                  </w:pPr>
                </w:p>
              </w:tc>
              <w:tc>
                <w:tcPr>
                  <w:tcW w:w="2587"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数据准确率≥98％ </w:t>
                  </w:r>
                </w:p>
              </w:tc>
              <w:tc>
                <w:tcPr>
                  <w:tcW w:w="1578"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lang w:val="en-US" w:eastAsia="zh-CN"/>
                    </w:rPr>
                    <w:t>采集使用</w:t>
                  </w:r>
                  <w:r>
                    <w:rPr>
                      <w:rFonts w:hint="eastAsia" w:ascii="宋体" w:hAnsi="宋体" w:eastAsia="宋体" w:cs="宋体"/>
                      <w:b w:val="0"/>
                      <w:bCs w:val="0"/>
                      <w:sz w:val="18"/>
                      <w:szCs w:val="18"/>
                    </w:rPr>
                    <w:t>情况</w:t>
                  </w:r>
                </w:p>
              </w:tc>
              <w:tc>
                <w:tcPr>
                  <w:tcW w:w="1849"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highlight w:val="none"/>
                      <w:lang w:val="en-US" w:eastAsia="zh-CN"/>
                    </w:rPr>
                    <w:t>样品使用情况</w:t>
                  </w:r>
                </w:p>
              </w:tc>
              <w:tc>
                <w:tcPr>
                  <w:tcW w:w="2383"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highlight w:val="no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27"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E</w:t>
                  </w:r>
                </w:p>
              </w:tc>
              <w:tc>
                <w:tcPr>
                  <w:tcW w:w="2587"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固体废弃物收集、处置率100%</w:t>
                  </w:r>
                </w:p>
              </w:tc>
              <w:tc>
                <w:tcPr>
                  <w:tcW w:w="1578"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废弃物统计</w:t>
                  </w:r>
                </w:p>
              </w:tc>
              <w:tc>
                <w:tcPr>
                  <w:tcW w:w="1849"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收集统计</w:t>
                  </w:r>
                </w:p>
              </w:tc>
              <w:tc>
                <w:tcPr>
                  <w:tcW w:w="2383" w:type="dxa"/>
                  <w:vAlign w:val="center"/>
                </w:tcPr>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固体废弃物收集处置率100%</w:t>
                  </w:r>
                </w:p>
                <w:p>
                  <w:pPr>
                    <w:spacing w:line="240" w:lineRule="auto"/>
                    <w:jc w:val="both"/>
                    <w:rPr>
                      <w:rFonts w:hint="eastAsia" w:ascii="宋体" w:hAnsi="宋体" w:eastAsia="宋体" w:cs="宋体"/>
                      <w:b w:val="0"/>
                      <w:b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827" w:type="dxa"/>
                  <w:vMerge w:val="continue"/>
                  <w:vAlign w:val="center"/>
                </w:tcPr>
                <w:p>
                  <w:pPr>
                    <w:spacing w:line="360" w:lineRule="auto"/>
                    <w:jc w:val="center"/>
                    <w:rPr>
                      <w:rFonts w:hint="eastAsia" w:ascii="宋体" w:hAnsi="宋体" w:eastAsia="宋体" w:cs="宋体"/>
                      <w:sz w:val="18"/>
                      <w:szCs w:val="18"/>
                    </w:rPr>
                  </w:pPr>
                </w:p>
              </w:tc>
              <w:tc>
                <w:tcPr>
                  <w:tcW w:w="2587" w:type="dxa"/>
                  <w:vAlign w:val="center"/>
                </w:tcPr>
                <w:p>
                  <w:pPr>
                    <w:spacing w:line="360" w:lineRule="auto"/>
                    <w:jc w:val="both"/>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杜绝资源能源浪费</w:t>
                  </w:r>
                </w:p>
              </w:tc>
              <w:tc>
                <w:tcPr>
                  <w:tcW w:w="1578" w:type="dxa"/>
                  <w:vAlign w:val="center"/>
                </w:tcPr>
                <w:p>
                  <w:pPr>
                    <w:spacing w:line="480" w:lineRule="exact"/>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资源能源合理利用率100%</w:t>
                  </w:r>
                </w:p>
              </w:tc>
              <w:tc>
                <w:tcPr>
                  <w:tcW w:w="1849" w:type="dxa"/>
                  <w:vAlign w:val="center"/>
                </w:tcPr>
                <w:p>
                  <w:pPr>
                    <w:spacing w:line="36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资源能源用量统计</w:t>
                  </w:r>
                </w:p>
              </w:tc>
              <w:tc>
                <w:tcPr>
                  <w:tcW w:w="2383" w:type="dxa"/>
                  <w:vAlign w:val="center"/>
                </w:tcPr>
                <w:p>
                  <w:pPr>
                    <w:spacing w:line="36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资源能源合理利用率100%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7" w:type="dxa"/>
                  <w:vMerge w:val="restart"/>
                  <w:vAlign w:val="center"/>
                </w:tcPr>
                <w:p>
                  <w:pPr>
                    <w:spacing w:line="360" w:lineRule="auto"/>
                    <w:ind w:firstLine="180" w:firstLineChars="100"/>
                    <w:jc w:val="both"/>
                    <w:rPr>
                      <w:rFonts w:hint="eastAsia" w:ascii="宋体" w:hAnsi="宋体" w:eastAsia="宋体" w:cs="宋体"/>
                      <w:sz w:val="18"/>
                      <w:szCs w:val="18"/>
                    </w:rPr>
                  </w:pPr>
                  <w:r>
                    <w:rPr>
                      <w:rFonts w:hint="eastAsia" w:ascii="宋体" w:hAnsi="宋体" w:eastAsia="宋体" w:cs="宋体"/>
                      <w:sz w:val="18"/>
                      <w:szCs w:val="18"/>
                    </w:rPr>
                    <w:t>S</w:t>
                  </w:r>
                </w:p>
              </w:tc>
              <w:tc>
                <w:tcPr>
                  <w:tcW w:w="2587" w:type="dxa"/>
                  <w:vAlign w:val="center"/>
                </w:tcPr>
                <w:p>
                  <w:pPr>
                    <w:snapToGrid w:val="0"/>
                    <w:spacing w:line="360" w:lineRule="auto"/>
                    <w:ind w:left="4500" w:leftChars="0" w:hanging="4500" w:hangingChars="2500"/>
                    <w:jc w:val="both"/>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安全事故发生次数为零</w:t>
                  </w:r>
                </w:p>
              </w:tc>
              <w:tc>
                <w:tcPr>
                  <w:tcW w:w="1578" w:type="dxa"/>
                  <w:vAlign w:val="center"/>
                </w:tcPr>
                <w:p>
                  <w:pPr>
                    <w:snapToGrid w:val="0"/>
                    <w:spacing w:line="36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安全事故统计</w:t>
                  </w:r>
                </w:p>
              </w:tc>
              <w:tc>
                <w:tcPr>
                  <w:tcW w:w="1849" w:type="dxa"/>
                  <w:vAlign w:val="center"/>
                </w:tcPr>
                <w:p>
                  <w:pPr>
                    <w:tabs>
                      <w:tab w:val="left" w:pos="882"/>
                    </w:tabs>
                    <w:snapToGrid w:val="0"/>
                    <w:spacing w:line="36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事故统计</w:t>
                  </w:r>
                  <w:r>
                    <w:rPr>
                      <w:rFonts w:hint="eastAsia" w:ascii="宋体" w:hAnsi="宋体" w:cs="宋体"/>
                      <w:b w:val="0"/>
                      <w:bCs w:val="0"/>
                      <w:sz w:val="18"/>
                      <w:szCs w:val="18"/>
                      <w:lang w:eastAsia="zh-CN"/>
                    </w:rPr>
                    <w:t>、</w:t>
                  </w:r>
                  <w:r>
                    <w:rPr>
                      <w:rFonts w:hint="eastAsia" w:ascii="宋体" w:hAnsi="宋体" w:eastAsia="宋体" w:cs="宋体"/>
                      <w:b w:val="0"/>
                      <w:bCs w:val="0"/>
                      <w:sz w:val="18"/>
                      <w:szCs w:val="18"/>
                    </w:rPr>
                    <w:t>统计人员</w:t>
                  </w:r>
                </w:p>
              </w:tc>
              <w:tc>
                <w:tcPr>
                  <w:tcW w:w="2383" w:type="dxa"/>
                  <w:vAlign w:val="center"/>
                </w:tcPr>
                <w:p>
                  <w:pPr>
                    <w:tabs>
                      <w:tab w:val="left" w:pos="882"/>
                    </w:tabs>
                    <w:snapToGrid w:val="0"/>
                    <w:spacing w:line="36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该期间，未发生、安全事故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7" w:type="dxa"/>
                  <w:vMerge w:val="continue"/>
                  <w:vAlign w:val="center"/>
                </w:tcPr>
                <w:p>
                  <w:pPr>
                    <w:snapToGrid w:val="0"/>
                    <w:spacing w:line="360" w:lineRule="auto"/>
                    <w:jc w:val="center"/>
                    <w:rPr>
                      <w:rFonts w:hint="eastAsia" w:ascii="宋体" w:hAnsi="宋体" w:eastAsia="宋体" w:cs="宋体"/>
                      <w:sz w:val="18"/>
                      <w:szCs w:val="18"/>
                    </w:rPr>
                  </w:pPr>
                </w:p>
              </w:tc>
              <w:tc>
                <w:tcPr>
                  <w:tcW w:w="2587" w:type="dxa"/>
                  <w:vAlign w:val="center"/>
                </w:tcPr>
                <w:p>
                  <w:pPr>
                    <w:snapToGrid w:val="0"/>
                    <w:spacing w:line="240" w:lineRule="auto"/>
                    <w:ind w:left="5250" w:hanging="4500" w:hangingChars="2500"/>
                    <w:jc w:val="both"/>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火灾事故发生次</w:t>
                  </w:r>
                </w:p>
                <w:p>
                  <w:pPr>
                    <w:snapToGrid w:val="0"/>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数为零</w:t>
                  </w:r>
                </w:p>
              </w:tc>
              <w:tc>
                <w:tcPr>
                  <w:tcW w:w="1578" w:type="dxa"/>
                  <w:vAlign w:val="center"/>
                </w:tcPr>
                <w:p>
                  <w:pPr>
                    <w:snapToGrid w:val="0"/>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火灾事故统计</w:t>
                  </w:r>
                </w:p>
              </w:tc>
              <w:tc>
                <w:tcPr>
                  <w:tcW w:w="1849" w:type="dxa"/>
                  <w:vAlign w:val="center"/>
                </w:tcPr>
                <w:p>
                  <w:pPr>
                    <w:tabs>
                      <w:tab w:val="left" w:pos="882"/>
                    </w:tabs>
                    <w:snapToGrid w:val="0"/>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火灾事故统计</w:t>
                  </w:r>
                  <w:r>
                    <w:rPr>
                      <w:rFonts w:hint="eastAsia" w:ascii="宋体" w:hAnsi="宋体" w:cs="宋体"/>
                      <w:b w:val="0"/>
                      <w:bCs w:val="0"/>
                      <w:sz w:val="18"/>
                      <w:szCs w:val="18"/>
                      <w:lang w:eastAsia="zh-CN"/>
                    </w:rPr>
                    <w:t>、</w:t>
                  </w:r>
                  <w:r>
                    <w:rPr>
                      <w:rFonts w:hint="eastAsia" w:ascii="宋体" w:hAnsi="宋体" w:eastAsia="宋体" w:cs="宋体"/>
                      <w:b w:val="0"/>
                      <w:bCs w:val="0"/>
                      <w:sz w:val="18"/>
                      <w:szCs w:val="18"/>
                    </w:rPr>
                    <w:t>统计人员</w:t>
                  </w:r>
                </w:p>
              </w:tc>
              <w:tc>
                <w:tcPr>
                  <w:tcW w:w="2383" w:type="dxa"/>
                  <w:vAlign w:val="center"/>
                </w:tcPr>
                <w:p>
                  <w:pPr>
                    <w:tabs>
                      <w:tab w:val="left" w:pos="882"/>
                    </w:tabs>
                    <w:snapToGrid w:val="0"/>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该期间，未发生火灾事故</w:t>
                  </w:r>
                </w:p>
              </w:tc>
            </w:tr>
          </w:tbl>
          <w:p>
            <w:pPr>
              <w:spacing w:line="360" w:lineRule="auto"/>
              <w:ind w:right="170"/>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bidi="ar"/>
              </w:rPr>
              <w:t>均能达到要求。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809" w:type="dxa"/>
          </w:tcPr>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基础设施</w:t>
            </w:r>
          </w:p>
        </w:tc>
        <w:tc>
          <w:tcPr>
            <w:tcW w:w="1311" w:type="dxa"/>
          </w:tcPr>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Q7.1.3</w:t>
            </w:r>
          </w:p>
        </w:tc>
        <w:tc>
          <w:tcPr>
            <w:tcW w:w="10850"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1、经了解组织的建筑设施：</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——办公面积300平方左右，主要为研发、</w:t>
            </w:r>
            <w:r>
              <w:rPr>
                <w:rFonts w:hint="eastAsia" w:ascii="宋体" w:hAnsi="宋体" w:eastAsia="宋体" w:cs="宋体"/>
                <w:iCs/>
                <w:color w:val="000000" w:themeColor="text1"/>
                <w:sz w:val="21"/>
                <w:szCs w:val="21"/>
                <w:lang w:bidi="ar"/>
              </w:rPr>
              <w:t>规划设计</w:t>
            </w:r>
            <w:r>
              <w:rPr>
                <w:rFonts w:hint="eastAsia" w:ascii="宋体" w:hAnsi="宋体" w:eastAsia="宋体" w:cs="宋体"/>
                <w:iCs/>
                <w:color w:val="000000" w:themeColor="text1"/>
                <w:sz w:val="21"/>
                <w:szCs w:val="21"/>
                <w:lang w:eastAsia="zh-CN" w:bidi="ar"/>
              </w:rPr>
              <w:t>、</w:t>
            </w:r>
            <w:r>
              <w:rPr>
                <w:rFonts w:hint="eastAsia" w:ascii="宋体" w:hAnsi="宋体" w:eastAsia="宋体" w:cs="宋体"/>
                <w:color w:val="000000" w:themeColor="text1"/>
                <w:sz w:val="21"/>
                <w:szCs w:val="21"/>
              </w:rPr>
              <w:t>办公和管理部门使用。</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2、查《设备管理台账》主要设备包括：电脑、打印机、图像编辑计算机、信息处理软件、卫星系统接收机、全站仪、</w:t>
            </w:r>
            <w:r>
              <w:rPr>
                <w:rFonts w:hint="eastAsia" w:ascii="宋体" w:hAnsi="宋体" w:cs="宋体"/>
                <w:color w:val="000000" w:themeColor="text1"/>
                <w:sz w:val="21"/>
                <w:szCs w:val="21"/>
                <w:lang w:val="en-US" w:eastAsia="zh-CN"/>
              </w:rPr>
              <w:t>测距仪、水准仪、</w:t>
            </w:r>
            <w:r>
              <w:rPr>
                <w:rFonts w:hint="eastAsia" w:ascii="宋体" w:hAnsi="宋体" w:eastAsia="宋体" w:cs="宋体"/>
                <w:color w:val="000000" w:themeColor="text1"/>
                <w:sz w:val="21"/>
                <w:szCs w:val="21"/>
              </w:rPr>
              <w:t>无人飞行器、空调、办公桌等设施，可以满足研发、测绘需要。</w:t>
            </w:r>
          </w:p>
          <w:p>
            <w:pPr>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3.经查，办公设施采取定期日常维护的方式进行，出现异常情况由厂家维修。</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查看设备、设施完好。</w:t>
            </w:r>
          </w:p>
          <w:p>
            <w:pPr>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4.抽查设备、设施维护保养记录，计量设备周期检定计划，满足要求。</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5、特种设备：无。</w:t>
            </w:r>
          </w:p>
          <w:p>
            <w:pPr>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6、支持性服务，暂无。</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   目前该公司基础设施符合要求，基本能满足公司运营的要求。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监视和测量资源</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Q7.1.5</w:t>
            </w:r>
          </w:p>
        </w:tc>
        <w:tc>
          <w:tcPr>
            <w:tcW w:w="10850"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公司根据业务需求配置了相应的检测设备，包括水准仪、GPS接收机、全站仪、手持测距仪等，能满足测绘，规划设计主要根据客户提供的图纸、勘察资料等进行设计，不用勘察、测量，设计成果通过评审鉴定方式确认。</w:t>
            </w:r>
          </w:p>
          <w:p>
            <w:pPr>
              <w:spacing w:line="360" w:lineRule="auto"/>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查，检测设备校准或检定情况，能提供在用检测设备的有效检定证书，</w:t>
            </w:r>
          </w:p>
          <w:p>
            <w:pPr>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所有计量器具均在有限期内，具体见附件。</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运行策划和控制</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Q8.1 </w:t>
            </w:r>
          </w:p>
        </w:tc>
        <w:tc>
          <w:tcPr>
            <w:tcW w:w="10850" w:type="dxa"/>
          </w:tcPr>
          <w:p>
            <w:pPr>
              <w:spacing w:line="360" w:lineRule="auto"/>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公司主要产品：</w:t>
            </w:r>
            <w:r>
              <w:t>土地规划设计；土地复垦开发整理;土地调查;资质内的测绘服务;地质灾害评估；社会稳定风险评估;计算机软件的开发</w:t>
            </w:r>
            <w:r>
              <w:rPr>
                <w:rFonts w:hint="eastAsia" w:ascii="宋体" w:hAnsi="宋体" w:eastAsia="宋体" w:cs="宋体"/>
                <w:color w:val="000000" w:themeColor="text1"/>
                <w:sz w:val="21"/>
                <w:szCs w:val="21"/>
                <w:shd w:val="clear" w:color="auto" w:fill="FFFFFF"/>
              </w:rPr>
              <w:t>。应用软件主要为土地测绘、规划的应用软件。</w:t>
            </w:r>
          </w:p>
          <w:p>
            <w:pPr>
              <w:spacing w:line="360" w:lineRule="auto"/>
              <w:ind w:firstLine="420" w:firstLineChars="200"/>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公司产品执行标准：GB 6962--2005 《1:500 1:1000 1:2000比例尺地形图航空摄影规范 》</w:t>
            </w:r>
          </w:p>
          <w:p>
            <w:pPr>
              <w:spacing w:line="360" w:lineRule="auto"/>
              <w:ind w:firstLine="420" w:firstLineChars="200"/>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GB 7930-2008《1:500 1:1000 1:2000地形图航空摄影测量内业规范 》</w:t>
            </w:r>
          </w:p>
          <w:p>
            <w:pPr>
              <w:spacing w:line="360" w:lineRule="auto"/>
              <w:ind w:firstLine="420" w:firstLineChars="200"/>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GB 7931-2008《1:500 1:1000 1:2000地形图航空摄影测量外业规范》</w:t>
            </w:r>
          </w:p>
          <w:p>
            <w:pPr>
              <w:spacing w:line="360" w:lineRule="auto"/>
              <w:ind w:firstLine="420" w:firstLineChars="200"/>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GB/T 17986.1 —2000《房产测量规范 第1单元 房产测量规定》</w:t>
            </w:r>
          </w:p>
          <w:p>
            <w:pPr>
              <w:spacing w:line="360" w:lineRule="auto"/>
              <w:ind w:firstLine="420" w:firstLineChars="200"/>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GB/T 18314—2016《全球定位系统（GPS）测量规范 》</w:t>
            </w:r>
          </w:p>
          <w:p>
            <w:pPr>
              <w:spacing w:line="360" w:lineRule="auto"/>
              <w:ind w:firstLine="420" w:firstLineChars="200"/>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GB</w:t>
            </w:r>
            <w:r>
              <w:rPr>
                <w:rFonts w:hint="eastAsia" w:ascii="宋体" w:hAnsi="宋体" w:eastAsia="宋体" w:cs="宋体"/>
                <w:color w:val="000000" w:themeColor="text1"/>
                <w:sz w:val="21"/>
                <w:szCs w:val="21"/>
                <w:shd w:val="clear" w:color="auto" w:fill="FFFFFF"/>
                <w:lang w:val="en-US" w:eastAsia="zh-CN"/>
              </w:rPr>
              <w:t xml:space="preserve"> </w:t>
            </w:r>
            <w:r>
              <w:rPr>
                <w:rFonts w:hint="eastAsia" w:ascii="宋体" w:hAnsi="宋体" w:eastAsia="宋体" w:cs="宋体"/>
                <w:color w:val="000000" w:themeColor="text1"/>
                <w:sz w:val="21"/>
                <w:szCs w:val="21"/>
                <w:shd w:val="clear" w:color="auto" w:fill="FFFFFF"/>
              </w:rPr>
              <w:t>50137-2011 城市用地分类与规划建设用地标准</w:t>
            </w:r>
            <w:r>
              <w:rPr>
                <w:rFonts w:hint="eastAsia" w:ascii="宋体" w:hAnsi="宋体" w:eastAsia="宋体" w:cs="宋体"/>
                <w:color w:val="000000" w:themeColor="text1"/>
                <w:sz w:val="21"/>
                <w:szCs w:val="21"/>
                <w:shd w:val="clear" w:color="auto" w:fill="FFFFFF"/>
                <w:lang w:val="en-US" w:eastAsia="zh-CN"/>
              </w:rPr>
              <w:t xml:space="preserve"> </w:t>
            </w:r>
            <w:r>
              <w:rPr>
                <w:rFonts w:hint="eastAsia" w:ascii="宋体" w:hAnsi="宋体" w:eastAsia="宋体" w:cs="宋体"/>
                <w:color w:val="000000" w:themeColor="text1"/>
                <w:sz w:val="21"/>
                <w:szCs w:val="21"/>
                <w:shd w:val="clear" w:color="auto" w:fill="FFFFFF"/>
              </w:rPr>
              <w:t>等和客户要求。</w:t>
            </w:r>
          </w:p>
          <w:p>
            <w:pPr>
              <w:spacing w:line="360" w:lineRule="auto"/>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规划设计部负责产品实现和服务提供的策划，产品策划主要依据顾客的要求以及国家标准，策划输出的具体结果包括以下内容：</w:t>
            </w:r>
          </w:p>
          <w:p>
            <w:pPr>
              <w:spacing w:line="360" w:lineRule="auto"/>
              <w:rPr>
                <w:rFonts w:hint="eastAsia" w:ascii="宋体" w:hAnsi="宋体" w:eastAsia="宋体" w:cs="宋体"/>
                <w:color w:val="000000" w:themeColor="text1"/>
                <w:sz w:val="21"/>
                <w:szCs w:val="21"/>
                <w:shd w:val="clear" w:color="auto" w:fill="FFFFFF"/>
              </w:rPr>
            </w:pPr>
            <w:r>
              <w:rPr>
                <w:rFonts w:hint="eastAsia" w:ascii="宋体" w:hAnsi="宋体" w:eastAsia="宋体" w:cs="宋体"/>
                <w:color w:val="000000" w:themeColor="text1"/>
                <w:sz w:val="21"/>
                <w:szCs w:val="21"/>
                <w:shd w:val="clear" w:color="auto" w:fill="FFFFFF"/>
              </w:rPr>
              <w:t>a）确定产品和服务的要求；--产品标准、设计规范等。</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b）建立过程准则以及产品和服务的接收准则；---验收标准、作业规范。</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c）确定符合产品和服务要求的资源；---流程图</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d）按照准则实施过程控制；---设计和服务过程监控</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e）保持、保留必要的文件和记录。---文件和质量记录</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策划输出经过评审及跟进、必要的更改控制及批准等以适合组织的运行需要。</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----需确认/特殊过程：设计、测绘过程</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----外包过程：无</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----经确认：暂无策划的更改。</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总则</w:t>
            </w:r>
          </w:p>
        </w:tc>
        <w:tc>
          <w:tcPr>
            <w:tcW w:w="1311" w:type="dxa"/>
          </w:tcPr>
          <w:p>
            <w:pPr>
              <w:widowControl/>
              <w:snapToGrid w:val="0"/>
              <w:spacing w:line="360" w:lineRule="auto"/>
              <w:jc w:val="left"/>
              <w:rPr>
                <w:rFonts w:hint="eastAsia" w:ascii="宋体" w:hAnsi="宋体" w:eastAsia="宋体" w:cs="宋体"/>
                <w:color w:val="000000" w:themeColor="text1"/>
                <w:sz w:val="21"/>
                <w:szCs w:val="21"/>
              </w:rPr>
            </w:pPr>
          </w:p>
          <w:p>
            <w:pPr>
              <w:widowControl/>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Q8.3</w:t>
            </w:r>
          </w:p>
          <w:p>
            <w:pPr>
              <w:widowControl/>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Q8.3.1 </w:t>
            </w:r>
          </w:p>
          <w:p>
            <w:pPr>
              <w:widowControl/>
              <w:snapToGrid w:val="0"/>
              <w:spacing w:line="360" w:lineRule="auto"/>
              <w:jc w:val="left"/>
              <w:rPr>
                <w:rFonts w:hint="eastAsia" w:ascii="宋体" w:hAnsi="宋体" w:eastAsia="宋体" w:cs="宋体"/>
                <w:color w:val="000000" w:themeColor="text1"/>
                <w:sz w:val="21"/>
                <w:szCs w:val="21"/>
              </w:rPr>
            </w:pPr>
          </w:p>
          <w:p>
            <w:pPr>
              <w:snapToGrid w:val="0"/>
              <w:spacing w:line="360" w:lineRule="auto"/>
              <w:jc w:val="left"/>
              <w:rPr>
                <w:rFonts w:hint="eastAsia" w:ascii="宋体" w:hAnsi="宋体" w:eastAsia="宋体" w:cs="宋体"/>
                <w:color w:val="000000" w:themeColor="text1"/>
                <w:sz w:val="21"/>
                <w:szCs w:val="21"/>
              </w:rPr>
            </w:pPr>
          </w:p>
        </w:tc>
        <w:tc>
          <w:tcPr>
            <w:tcW w:w="10850" w:type="dxa"/>
          </w:tcPr>
          <w:p>
            <w:pPr>
              <w:adjustRightInd w:val="0"/>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查，公司编制了《设计和开发控制程序》对设计和开发规定了流程要求及控制要求。</w:t>
            </w:r>
          </w:p>
          <w:p>
            <w:pPr>
              <w:adjustRightInd w:val="0"/>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查，公司的设计开发主要是针对客户提供需求进行土地规划设计和应用软件设计</w:t>
            </w:r>
            <w:bookmarkStart w:id="0" w:name="_Toc71261867"/>
            <w:r>
              <w:rPr>
                <w:rFonts w:hint="eastAsia" w:ascii="宋体" w:hAnsi="宋体" w:eastAsia="宋体" w:cs="宋体"/>
                <w:color w:val="000000" w:themeColor="text1"/>
                <w:sz w:val="21"/>
                <w:szCs w:val="21"/>
              </w:rPr>
              <w:t>。</w:t>
            </w:r>
          </w:p>
          <w:p>
            <w:pPr>
              <w:pStyle w:val="4"/>
              <w:spacing w:line="360" w:lineRule="auto"/>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提供《20</w:t>
            </w:r>
            <w:r>
              <w:rPr>
                <w:rFonts w:hint="eastAsia" w:ascii="宋体" w:hAnsi="宋体" w:eastAsia="宋体" w:cs="宋体"/>
                <w:b w:val="0"/>
                <w:bCs w:val="0"/>
                <w:color w:val="000000" w:themeColor="text1"/>
                <w:sz w:val="21"/>
                <w:szCs w:val="21"/>
                <w:lang w:val="en-US" w:eastAsia="zh-CN"/>
              </w:rPr>
              <w:t>2</w:t>
            </w:r>
            <w:r>
              <w:rPr>
                <w:rFonts w:hint="eastAsia" w:ascii="宋体" w:hAnsi="宋体" w:cs="宋体"/>
                <w:b w:val="0"/>
                <w:bCs w:val="0"/>
                <w:color w:val="000000" w:themeColor="text1"/>
                <w:sz w:val="21"/>
                <w:szCs w:val="21"/>
                <w:lang w:val="en-US" w:eastAsia="zh-CN"/>
              </w:rPr>
              <w:t>1</w:t>
            </w:r>
            <w:r>
              <w:rPr>
                <w:rFonts w:hint="eastAsia" w:ascii="宋体" w:hAnsi="宋体" w:eastAsia="宋体" w:cs="宋体"/>
                <w:b w:val="0"/>
                <w:bCs w:val="0"/>
                <w:color w:val="000000" w:themeColor="text1"/>
                <w:sz w:val="21"/>
                <w:szCs w:val="21"/>
              </w:rPr>
              <w:t>-202</w:t>
            </w:r>
            <w:r>
              <w:rPr>
                <w:rFonts w:hint="eastAsia" w:ascii="宋体" w:hAnsi="宋体" w:cs="宋体"/>
                <w:b w:val="0"/>
                <w:bCs w:val="0"/>
                <w:color w:val="000000" w:themeColor="text1"/>
                <w:sz w:val="21"/>
                <w:szCs w:val="21"/>
                <w:lang w:val="en-US" w:eastAsia="zh-CN"/>
              </w:rPr>
              <w:t>2年</w:t>
            </w:r>
            <w:r>
              <w:rPr>
                <w:rFonts w:hint="eastAsia" w:ascii="宋体" w:hAnsi="宋体" w:eastAsia="宋体" w:cs="宋体"/>
                <w:b w:val="0"/>
                <w:bCs w:val="0"/>
                <w:color w:val="000000" w:themeColor="text1"/>
                <w:sz w:val="21"/>
                <w:szCs w:val="21"/>
              </w:rPr>
              <w:t>合同备案表》</w:t>
            </w:r>
            <w:r>
              <w:rPr>
                <w:rFonts w:hint="eastAsia" w:ascii="宋体" w:hAnsi="宋体" w:cs="宋体"/>
                <w:b w:val="0"/>
                <w:bCs w:val="0"/>
                <w:color w:val="000000" w:themeColor="text1"/>
                <w:sz w:val="21"/>
                <w:szCs w:val="21"/>
                <w:lang w:eastAsia="zh-CN"/>
              </w:rPr>
              <w:t>：</w:t>
            </w:r>
            <w:r>
              <w:rPr>
                <w:rFonts w:hint="eastAsia" w:ascii="宋体" w:hAnsi="宋体" w:cs="宋体"/>
                <w:b w:val="0"/>
                <w:bCs w:val="0"/>
                <w:sz w:val="21"/>
                <w:szCs w:val="21"/>
                <w:lang w:val="en-US" w:eastAsia="zh-CN"/>
              </w:rPr>
              <w:t>测绘项目</w:t>
            </w:r>
            <w:r>
              <w:rPr>
                <w:rFonts w:hint="eastAsia" w:ascii="宋体" w:hAnsi="宋体" w:cs="宋体"/>
                <w:b w:val="0"/>
                <w:bCs w:val="0"/>
                <w:color w:val="000000" w:themeColor="text1"/>
                <w:sz w:val="21"/>
                <w:szCs w:val="21"/>
                <w:lang w:eastAsia="zh-CN"/>
              </w:rPr>
              <w:t>“</w:t>
            </w:r>
            <w:r>
              <w:rPr>
                <w:rFonts w:hint="eastAsia" w:ascii="宋体" w:hAnsi="宋体" w:cs="宋体"/>
                <w:b w:val="0"/>
                <w:bCs w:val="0"/>
                <w:sz w:val="21"/>
                <w:szCs w:val="21"/>
                <w:lang w:val="en-US" w:eastAsia="zh-CN"/>
              </w:rPr>
              <w:t>宿迁市中心城市西南片区“房地一-体”不动产登记</w:t>
            </w:r>
            <w:r>
              <w:rPr>
                <w:rFonts w:hint="eastAsia" w:ascii="宋体" w:hAnsi="宋体" w:cs="宋体"/>
                <w:b w:val="0"/>
                <w:bCs w:val="0"/>
                <w:color w:val="000000" w:themeColor="text1"/>
                <w:sz w:val="21"/>
                <w:szCs w:val="21"/>
                <w:lang w:eastAsia="zh-CN"/>
              </w:rPr>
              <w:t>”</w:t>
            </w:r>
            <w:r>
              <w:rPr>
                <w:rFonts w:hint="eastAsia" w:ascii="宋体" w:hAnsi="宋体" w:cs="宋体"/>
                <w:b w:val="0"/>
                <w:bCs w:val="0"/>
                <w:sz w:val="21"/>
                <w:szCs w:val="21"/>
                <w:lang w:val="en-US" w:eastAsia="zh-CN"/>
              </w:rPr>
              <w:t>、“滨海县产业园用地情况分受补充调查；”土地规划设计项目，“贾汪区大吴街道两妥村村庄规划编制的技术服务工作。”；土地复垦开发整理项目：“编制锡山区东港镇港南村高标准农田示范基地配套设施用地涉及占用永久基本农田补划方案及了个设施农用地复垦方案。”社会稳定风险评估项目，“日产1.58 万吨再生水项目社会稳定风险评估。”及</w:t>
            </w:r>
            <w:r>
              <w:rPr>
                <w:rFonts w:hint="eastAsia" w:ascii="宋体" w:hAnsi="宋体" w:cs="宋体"/>
                <w:b w:val="0"/>
                <w:bCs w:val="0"/>
                <w:kern w:val="0"/>
                <w:sz w:val="21"/>
                <w:szCs w:val="21"/>
                <w:lang w:val="en-US" w:eastAsia="zh-CN"/>
              </w:rPr>
              <w:t>“太仓市产业用土地储备库建设项目的技术服务”</w:t>
            </w:r>
            <w:r>
              <w:rPr>
                <w:rFonts w:hint="eastAsia" w:ascii="宋体" w:hAnsi="宋体" w:eastAsia="宋体" w:cs="宋体"/>
                <w:b w:val="0"/>
                <w:bCs w:val="0"/>
                <w:color w:val="000000" w:themeColor="text1"/>
                <w:kern w:val="0"/>
                <w:sz w:val="21"/>
                <w:szCs w:val="21"/>
              </w:rPr>
              <w:t>等</w:t>
            </w:r>
            <w:r>
              <w:rPr>
                <w:rFonts w:hint="eastAsia" w:ascii="宋体" w:hAnsi="宋体" w:cs="宋体"/>
                <w:b w:val="0"/>
                <w:bCs w:val="0"/>
                <w:color w:val="000000" w:themeColor="text1"/>
                <w:kern w:val="0"/>
                <w:sz w:val="21"/>
                <w:szCs w:val="21"/>
                <w:lang w:val="en-US" w:eastAsia="zh-CN"/>
              </w:rPr>
              <w:t>15</w:t>
            </w:r>
            <w:r>
              <w:rPr>
                <w:rFonts w:hint="eastAsia" w:ascii="宋体" w:hAnsi="宋体" w:eastAsia="宋体" w:cs="宋体"/>
                <w:b w:val="0"/>
                <w:bCs w:val="0"/>
                <w:color w:val="000000" w:themeColor="text1"/>
                <w:kern w:val="0"/>
                <w:sz w:val="21"/>
                <w:szCs w:val="21"/>
              </w:rPr>
              <w:t>项。</w:t>
            </w:r>
          </w:p>
          <w:p>
            <w:pPr>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抽：《新图第三次全国土地调查数据分析与共享服务云平台系统软件》软件设计项目、《</w:t>
            </w:r>
            <w:r>
              <w:rPr>
                <w:rFonts w:hint="eastAsia" w:ascii="宋体" w:hAnsi="宋体" w:cs="宋体"/>
                <w:b w:val="0"/>
                <w:bCs w:val="0"/>
                <w:sz w:val="21"/>
                <w:szCs w:val="21"/>
                <w:lang w:val="en-US" w:eastAsia="zh-CN"/>
              </w:rPr>
              <w:t>宿迁市中心城市西南片区“房地一-体”不动产登记</w:t>
            </w:r>
            <w:r>
              <w:rPr>
                <w:rFonts w:hint="eastAsia" w:ascii="宋体" w:hAnsi="宋体" w:eastAsia="宋体" w:cs="宋体"/>
                <w:color w:val="000000" w:themeColor="text1"/>
                <w:sz w:val="21"/>
                <w:szCs w:val="21"/>
              </w:rPr>
              <w:t>》土地</w:t>
            </w:r>
            <w:r>
              <w:rPr>
                <w:rFonts w:hint="eastAsia" w:ascii="宋体" w:hAnsi="宋体" w:cs="宋体"/>
                <w:b w:val="0"/>
                <w:bCs w:val="0"/>
                <w:sz w:val="21"/>
                <w:szCs w:val="21"/>
                <w:lang w:val="en-US" w:eastAsia="zh-CN"/>
              </w:rPr>
              <w:t>测绘</w:t>
            </w:r>
            <w:r>
              <w:rPr>
                <w:rFonts w:hint="eastAsia" w:ascii="宋体" w:hAnsi="宋体" w:eastAsia="宋体" w:cs="宋体"/>
                <w:color w:val="000000" w:themeColor="text1"/>
                <w:sz w:val="21"/>
                <w:szCs w:val="21"/>
              </w:rPr>
              <w:t>规划设计项目</w:t>
            </w:r>
            <w:bookmarkEnd w:id="0"/>
            <w:r>
              <w:rPr>
                <w:rFonts w:hint="eastAsia" w:ascii="宋体" w:hAnsi="宋体" w:eastAsia="宋体" w:cs="宋体"/>
                <w:color w:val="000000" w:themeColor="text1"/>
                <w:sz w:val="21"/>
                <w:szCs w:val="21"/>
              </w:rPr>
              <w:t>。</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809"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设计和开发策划</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Q8.3.2 </w:t>
            </w:r>
          </w:p>
          <w:p>
            <w:pPr>
              <w:spacing w:line="360" w:lineRule="auto"/>
              <w:rPr>
                <w:rFonts w:hint="eastAsia" w:ascii="宋体" w:hAnsi="宋体" w:eastAsia="宋体" w:cs="宋体"/>
                <w:color w:val="000000" w:themeColor="text1"/>
                <w:sz w:val="21"/>
                <w:szCs w:val="21"/>
              </w:rPr>
            </w:pPr>
          </w:p>
        </w:tc>
        <w:tc>
          <w:tcPr>
            <w:tcW w:w="10850" w:type="dxa"/>
          </w:tcPr>
          <w:p>
            <w:pPr>
              <w:snapToGrid w:val="0"/>
              <w:spacing w:line="360" w:lineRule="auto"/>
              <w:jc w:val="left"/>
              <w:rPr>
                <w:rFonts w:hint="eastAsia" w:ascii="宋体" w:hAnsi="宋体" w:eastAsia="宋体" w:cs="宋体"/>
                <w:color w:val="000000" w:themeColor="text1"/>
                <w:sz w:val="21"/>
                <w:szCs w:val="21"/>
              </w:rPr>
            </w:pPr>
            <w:r>
              <w:rPr>
                <w:rFonts w:hint="eastAsia" w:ascii="宋体" w:hAnsi="宋体" w:cs="宋体"/>
                <w:color w:val="000000" w:themeColor="text1"/>
                <w:sz w:val="21"/>
                <w:szCs w:val="21"/>
                <w:lang w:val="en-US" w:eastAsia="zh-CN"/>
              </w:rPr>
              <w:t>查</w:t>
            </w:r>
            <w:r>
              <w:rPr>
                <w:rFonts w:hint="eastAsia" w:ascii="宋体" w:hAnsi="宋体" w:cs="宋体"/>
                <w:color w:val="000000" w:themeColor="text1"/>
                <w:sz w:val="21"/>
                <w:szCs w:val="21"/>
                <w:lang w:eastAsia="zh-CN"/>
              </w:rPr>
              <w:t>，</w:t>
            </w:r>
            <w:r>
              <w:rPr>
                <w:rFonts w:hint="eastAsia" w:ascii="宋体" w:hAnsi="宋体" w:eastAsia="宋体" w:cs="宋体"/>
                <w:color w:val="000000" w:themeColor="text1"/>
                <w:sz w:val="21"/>
                <w:szCs w:val="21"/>
              </w:rPr>
              <w:t>项目设计策划资料</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查：《设计开发计划书》：</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负责人：张占奎</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计划实际：202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年</w:t>
            </w:r>
            <w:r>
              <w:rPr>
                <w:rFonts w:hint="eastAsia" w:ascii="宋体" w:hAnsi="宋体" w:cs="宋体"/>
                <w:color w:val="000000" w:themeColor="text1"/>
                <w:sz w:val="21"/>
                <w:szCs w:val="21"/>
                <w:lang w:val="en-US" w:eastAsia="zh-CN"/>
              </w:rPr>
              <w:t>5</w:t>
            </w:r>
            <w:r>
              <w:rPr>
                <w:rFonts w:hint="eastAsia" w:ascii="宋体" w:hAnsi="宋体" w:eastAsia="宋体" w:cs="宋体"/>
                <w:color w:val="000000" w:themeColor="text1"/>
                <w:sz w:val="21"/>
                <w:szCs w:val="21"/>
              </w:rPr>
              <w:t>月2</w:t>
            </w:r>
            <w:r>
              <w:rPr>
                <w:rFonts w:hint="eastAsia" w:ascii="宋体" w:hAnsi="宋体" w:cs="宋体"/>
                <w:color w:val="000000" w:themeColor="text1"/>
                <w:sz w:val="21"/>
                <w:szCs w:val="21"/>
                <w:lang w:val="en-US" w:eastAsia="zh-CN"/>
              </w:rPr>
              <w:t>0</w:t>
            </w:r>
            <w:r>
              <w:rPr>
                <w:rFonts w:hint="eastAsia" w:ascii="宋体" w:hAnsi="宋体" w:eastAsia="宋体" w:cs="宋体"/>
                <w:color w:val="000000" w:themeColor="text1"/>
                <w:sz w:val="21"/>
                <w:szCs w:val="21"/>
              </w:rPr>
              <w:t>日-202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年6月5日</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资源配备（设备、仪表、经费预算等）：</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台式电脑 组装；笔记本Thinkpad；扫描仪佳能LiDE220；HP绘图仪DesignjetT1300；AURORA黑白打印机ADC218</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DELL服务器Power Edge2950</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参加人员：张龙、尤才、叶晓文等。</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各阶段的划分与主要内容        负责人          时间</w:t>
            </w:r>
          </w:p>
          <w:p>
            <w:pPr>
              <w:snapToGrid w:val="0"/>
              <w:spacing w:line="360" w:lineRule="auto"/>
              <w:jc w:val="left"/>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资料搜集/底图制作           张  龙/叶晓文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3</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22</w:t>
            </w:r>
          </w:p>
          <w:p>
            <w:pPr>
              <w:snapToGrid w:val="0"/>
              <w:spacing w:line="360" w:lineRule="auto"/>
              <w:jc w:val="left"/>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外业调查                      尤才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4</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22</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方案编制/完成报告             张占奎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.6.20</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查：新图第三次全国土地调查数据分析与共享服务云平台系统软件《设计开发计划书》：</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负责人：邓春晨</w:t>
            </w:r>
          </w:p>
          <w:p>
            <w:pPr>
              <w:snapToGrid w:val="0"/>
              <w:spacing w:line="360" w:lineRule="auto"/>
              <w:jc w:val="left"/>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计划：202</w:t>
            </w:r>
            <w:r>
              <w:rPr>
                <w:rFonts w:hint="eastAsia" w:ascii="宋体" w:hAnsi="宋体" w:cs="宋体"/>
                <w:color w:val="000000" w:themeColor="text1"/>
                <w:sz w:val="21"/>
                <w:szCs w:val="21"/>
                <w:lang w:val="en-US" w:eastAsia="zh-CN"/>
              </w:rPr>
              <w:t>1</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12</w:t>
            </w:r>
            <w:r>
              <w:rPr>
                <w:rFonts w:hint="eastAsia" w:ascii="宋体" w:hAnsi="宋体" w:eastAsia="宋体" w:cs="宋体"/>
                <w:color w:val="000000" w:themeColor="text1"/>
                <w:sz w:val="21"/>
                <w:szCs w:val="21"/>
              </w:rPr>
              <w:t>.20-</w:t>
            </w:r>
            <w:r>
              <w:rPr>
                <w:rFonts w:hint="eastAsia" w:ascii="宋体" w:hAnsi="宋体" w:cs="宋体"/>
                <w:color w:val="000000" w:themeColor="text1"/>
                <w:sz w:val="21"/>
                <w:szCs w:val="21"/>
                <w:lang w:val="en-US" w:eastAsia="zh-CN"/>
              </w:rPr>
              <w:t>2022.4.30</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参加人员：邓春晨、韩少松等。</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计划书明确了任务内容</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阶段                                 负责人          </w:t>
            </w:r>
            <w:r>
              <w:rPr>
                <w:rFonts w:hint="eastAsia" w:ascii="宋体" w:hAnsi="宋体" w:cs="宋体"/>
                <w:color w:val="000000" w:themeColor="text1"/>
                <w:sz w:val="21"/>
                <w:szCs w:val="21"/>
                <w:lang w:val="en-US" w:eastAsia="zh-CN"/>
              </w:rPr>
              <w:t xml:space="preserve">  </w:t>
            </w:r>
            <w:r>
              <w:rPr>
                <w:rFonts w:hint="eastAsia" w:ascii="宋体" w:hAnsi="宋体" w:eastAsia="宋体" w:cs="宋体"/>
                <w:color w:val="000000" w:themeColor="text1"/>
                <w:sz w:val="21"/>
                <w:szCs w:val="21"/>
              </w:rPr>
              <w:t>时间</w:t>
            </w:r>
          </w:p>
          <w:p>
            <w:pPr>
              <w:snapToGrid w:val="0"/>
              <w:spacing w:line="360" w:lineRule="auto"/>
              <w:jc w:val="left"/>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rPr>
              <w:t xml:space="preserve">系统开发和测试                       韩少松        </w:t>
            </w:r>
            <w:r>
              <w:rPr>
                <w:rFonts w:hint="eastAsia" w:ascii="宋体" w:hAnsi="宋体" w:cs="宋体"/>
                <w:color w:val="000000" w:themeColor="text1"/>
                <w:sz w:val="21"/>
                <w:szCs w:val="21"/>
                <w:lang w:val="en-US" w:eastAsia="zh-CN"/>
              </w:rPr>
              <w:t xml:space="preserve">  </w:t>
            </w:r>
            <w:r>
              <w:rPr>
                <w:rFonts w:hint="eastAsia" w:ascii="宋体" w:hAnsi="宋体" w:eastAsia="宋体" w:cs="宋体"/>
                <w:color w:val="000000" w:themeColor="text1"/>
                <w:sz w:val="21"/>
                <w:szCs w:val="21"/>
              </w:rPr>
              <w:t>202</w:t>
            </w:r>
            <w:r>
              <w:rPr>
                <w:rFonts w:hint="eastAsia" w:ascii="宋体" w:hAnsi="宋体" w:cs="宋体"/>
                <w:color w:val="000000" w:themeColor="text1"/>
                <w:sz w:val="21"/>
                <w:szCs w:val="21"/>
                <w:lang w:val="en-US" w:eastAsia="zh-CN"/>
              </w:rPr>
              <w:t>1</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12</w:t>
            </w:r>
            <w:r>
              <w:rPr>
                <w:rFonts w:hint="eastAsia" w:ascii="宋体" w:hAnsi="宋体" w:eastAsia="宋体" w:cs="宋体"/>
                <w:color w:val="000000" w:themeColor="text1"/>
                <w:sz w:val="21"/>
                <w:szCs w:val="21"/>
              </w:rPr>
              <w:t>.2</w:t>
            </w:r>
            <w:r>
              <w:rPr>
                <w:rFonts w:hint="eastAsia" w:ascii="宋体" w:hAnsi="宋体" w:cs="宋体"/>
                <w:color w:val="000000" w:themeColor="text1"/>
                <w:sz w:val="21"/>
                <w:szCs w:val="21"/>
                <w:lang w:val="en-US" w:eastAsia="zh-CN"/>
              </w:rPr>
              <w:t>1</w:t>
            </w:r>
          </w:p>
          <w:p>
            <w:pPr>
              <w:snapToGrid w:val="0"/>
              <w:spacing w:line="360" w:lineRule="auto"/>
              <w:jc w:val="left"/>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安装调试和人员培训，系统试运行       邓春晨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28</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系统初验                             邓春晨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4</w:t>
            </w:r>
            <w:r>
              <w:rPr>
                <w:rFonts w:hint="eastAsia" w:ascii="宋体" w:hAnsi="宋体" w:eastAsia="宋体" w:cs="宋体"/>
                <w:color w:val="000000" w:themeColor="text1"/>
                <w:sz w:val="21"/>
                <w:szCs w:val="21"/>
              </w:rPr>
              <w:t xml:space="preserve">.10 </w:t>
            </w:r>
          </w:p>
          <w:p>
            <w:pPr>
              <w:snapToGrid w:val="0"/>
              <w:spacing w:line="360" w:lineRule="auto"/>
              <w:jc w:val="left"/>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正式发布                韩少松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6</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30</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w:t>
            </w:r>
          </w:p>
          <w:p>
            <w:pPr>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计划书明确的设计开发的工作内容、责任人、完成时间、目标、资源需求等。</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策划符合要求。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09"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设计和开发输入</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Q8.3.3 </w:t>
            </w:r>
          </w:p>
        </w:tc>
        <w:tc>
          <w:tcPr>
            <w:tcW w:w="10850" w:type="dxa"/>
          </w:tcPr>
          <w:p>
            <w:pPr>
              <w:adjustRightInd w:val="0"/>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w:t>
            </w:r>
            <w:r>
              <w:rPr>
                <w:rFonts w:hint="eastAsia" w:ascii="宋体" w:hAnsi="宋体" w:cs="宋体"/>
                <w:b w:val="0"/>
                <w:bCs w:val="0"/>
                <w:sz w:val="21"/>
                <w:szCs w:val="21"/>
                <w:lang w:val="en-US" w:eastAsia="zh-CN"/>
              </w:rPr>
              <w:t>宿迁市中心城市西南片区“房地一-体”不动产登记</w:t>
            </w:r>
            <w:r>
              <w:rPr>
                <w:rFonts w:hint="eastAsia" w:ascii="宋体" w:hAnsi="宋体" w:eastAsia="宋体" w:cs="宋体"/>
                <w:color w:val="000000" w:themeColor="text1"/>
                <w:sz w:val="21"/>
                <w:szCs w:val="21"/>
              </w:rPr>
              <w:t>》土地</w:t>
            </w:r>
            <w:r>
              <w:rPr>
                <w:rFonts w:hint="eastAsia" w:ascii="宋体" w:hAnsi="宋体" w:cs="宋体"/>
                <w:b w:val="0"/>
                <w:bCs w:val="0"/>
                <w:sz w:val="21"/>
                <w:szCs w:val="21"/>
                <w:lang w:val="en-US" w:eastAsia="zh-CN"/>
              </w:rPr>
              <w:t>测绘</w:t>
            </w:r>
            <w:r>
              <w:rPr>
                <w:rFonts w:hint="eastAsia" w:ascii="宋体" w:hAnsi="宋体" w:eastAsia="宋体" w:cs="宋体"/>
                <w:color w:val="000000" w:themeColor="text1"/>
                <w:sz w:val="21"/>
                <w:szCs w:val="21"/>
              </w:rPr>
              <w:t>规划设计项目的设计输入：</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1、技术服务合同；</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2、区背景资料、修改原由等；</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3、规划修改原则和依据；</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4、现行规划基本情况；</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5、项目要求：根据省、市农村不动产发证的工作要求，</w:t>
            </w:r>
            <w:r>
              <w:rPr>
                <w:rFonts w:hint="eastAsia" w:ascii="宋体" w:hAnsi="宋体" w:cs="宋体"/>
                <w:b w:val="0"/>
                <w:bCs w:val="0"/>
                <w:sz w:val="21"/>
                <w:szCs w:val="21"/>
                <w:lang w:val="en-US" w:eastAsia="zh-CN"/>
              </w:rPr>
              <w:t>宿迁市</w:t>
            </w:r>
            <w:r>
              <w:rPr>
                <w:rFonts w:hint="eastAsia" w:ascii="宋体" w:hAnsi="宋体" w:eastAsia="宋体" w:cs="宋体"/>
                <w:color w:val="000000" w:themeColor="text1"/>
                <w:sz w:val="21"/>
                <w:szCs w:val="21"/>
              </w:rPr>
              <w:t>共11个镇(街道)应登记61023宗，农村宅基地61020宗，集体建设用地3宗,登记率51%;已颁发36614宗，农村宅基地36613宗，集体建设用地1宗，发证率60%。</w:t>
            </w:r>
          </w:p>
          <w:p>
            <w:pPr>
              <w:adjustRightInd w:val="0"/>
              <w:snapToGrid w:val="0"/>
              <w:spacing w:line="360" w:lineRule="auto"/>
              <w:rPr>
                <w:rFonts w:hint="eastAsia" w:ascii="宋体" w:hAnsi="宋体" w:eastAsia="宋体" w:cs="宋体"/>
                <w:color w:val="000000" w:themeColor="text1"/>
                <w:sz w:val="21"/>
                <w:szCs w:val="21"/>
              </w:rPr>
            </w:pPr>
          </w:p>
          <w:p>
            <w:pPr>
              <w:adjustRightInd w:val="0"/>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查，新图第三次全国土地调查数据分析与共享服务云平台系统软件的设计输入：</w:t>
            </w:r>
          </w:p>
          <w:p>
            <w:pPr>
              <w:numPr>
                <w:ilvl w:val="0"/>
                <w:numId w:val="1"/>
              </w:numPr>
              <w:adjustRightInd w:val="0"/>
              <w:snapToGrid w:val="0"/>
              <w:spacing w:line="360" w:lineRule="auto"/>
              <w:ind w:left="0" w:firstLine="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技术合同书；</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2.项目目的、背景、活动流程、业务需求必要性分析；</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3.《软件需求分析报告》；</w:t>
            </w:r>
          </w:p>
          <w:p>
            <w:pPr>
              <w:adjustRightInd w:val="0"/>
              <w:snapToGrid w:val="0"/>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4．软件需实现功能：地图建设、市容环境模块、安全环境模块、稳定环境模块、便民服务模块等。</w:t>
            </w:r>
          </w:p>
          <w:p>
            <w:pPr>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查，设计输入评审,能提供输入评审记录，评审结论：输入完整、清楚、满足设计和开发的目的。</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09"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设计和开发控制</w:t>
            </w:r>
          </w:p>
        </w:tc>
        <w:tc>
          <w:tcPr>
            <w:tcW w:w="1311" w:type="dxa"/>
          </w:tcPr>
          <w:p>
            <w:pPr>
              <w:spacing w:line="360" w:lineRule="auto"/>
              <w:rPr>
                <w:rFonts w:hint="eastAsia" w:ascii="宋体" w:hAnsi="宋体" w:eastAsia="宋体" w:cs="宋体"/>
                <w:color w:val="000000" w:themeColor="text1"/>
                <w:sz w:val="21"/>
                <w:szCs w:val="21"/>
              </w:rPr>
            </w:pPr>
          </w:p>
          <w:p>
            <w:pPr>
              <w:pStyle w:val="4"/>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Q8.3.4 </w:t>
            </w:r>
          </w:p>
        </w:tc>
        <w:tc>
          <w:tcPr>
            <w:tcW w:w="10850" w:type="dxa"/>
          </w:tcPr>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1、查，《</w:t>
            </w:r>
            <w:r>
              <w:rPr>
                <w:rFonts w:hint="eastAsia" w:ascii="宋体" w:hAnsi="宋体" w:cs="宋体"/>
                <w:b w:val="0"/>
                <w:bCs w:val="0"/>
                <w:sz w:val="21"/>
                <w:szCs w:val="21"/>
                <w:lang w:val="en-US" w:eastAsia="zh-CN"/>
              </w:rPr>
              <w:t>宿迁市中心城市西南片区“房地一-体”不动产登记</w:t>
            </w:r>
            <w:r>
              <w:rPr>
                <w:rFonts w:hint="eastAsia" w:ascii="宋体" w:hAnsi="宋体" w:eastAsia="宋体" w:cs="宋体"/>
                <w:color w:val="000000" w:themeColor="text1"/>
                <w:sz w:val="21"/>
                <w:szCs w:val="21"/>
              </w:rPr>
              <w:t>》土地</w:t>
            </w:r>
            <w:r>
              <w:rPr>
                <w:rFonts w:hint="eastAsia" w:ascii="宋体" w:hAnsi="宋体" w:cs="宋体"/>
                <w:b w:val="0"/>
                <w:bCs w:val="0"/>
                <w:sz w:val="21"/>
                <w:szCs w:val="21"/>
                <w:lang w:val="en-US" w:eastAsia="zh-CN"/>
              </w:rPr>
              <w:t>测绘</w:t>
            </w:r>
            <w:r>
              <w:rPr>
                <w:rFonts w:hint="eastAsia" w:ascii="宋体" w:hAnsi="宋体" w:eastAsia="宋体" w:cs="宋体"/>
                <w:color w:val="000000" w:themeColor="text1"/>
                <w:sz w:val="21"/>
                <w:szCs w:val="21"/>
              </w:rPr>
              <w:t>规划设计项目总体规划设计过程质量控制，主要有方案评审、修改方案、修改方案请示。</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查，方案评审纪要：</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4</w:t>
            </w:r>
            <w:r>
              <w:rPr>
                <w:rFonts w:hint="eastAsia" w:ascii="宋体" w:hAnsi="宋体" w:eastAsia="宋体" w:cs="宋体"/>
                <w:color w:val="000000" w:themeColor="text1"/>
                <w:sz w:val="21"/>
                <w:szCs w:val="21"/>
              </w:rPr>
              <w:t>.25</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方案评审内容：</w:t>
            </w:r>
            <w:r>
              <w:rPr>
                <w:rFonts w:hint="eastAsia" w:ascii="宋体" w:hAnsi="宋体" w:cs="宋体"/>
                <w:b w:val="0"/>
                <w:bCs w:val="0"/>
                <w:sz w:val="21"/>
                <w:szCs w:val="21"/>
                <w:lang w:val="en-US" w:eastAsia="zh-CN"/>
              </w:rPr>
              <w:t>宿迁市中心城市西南片区“房地一-体”不动产登记</w:t>
            </w:r>
            <w:r>
              <w:rPr>
                <w:rFonts w:hint="eastAsia" w:ascii="宋体" w:hAnsi="宋体" w:eastAsia="宋体" w:cs="宋体"/>
                <w:color w:val="000000" w:themeColor="text1"/>
                <w:sz w:val="21"/>
                <w:szCs w:val="21"/>
              </w:rPr>
              <w:t>方案论证会。</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组织：徐州市自然资源和规划局贾汪分局</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专家：组长赵华，专家9人</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专家论证意见：</w:t>
            </w:r>
          </w:p>
          <w:p>
            <w:pPr>
              <w:adjustRightInd w:val="0"/>
              <w:snapToGrid w:val="0"/>
              <w:spacing w:line="360" w:lineRule="auto"/>
              <w:ind w:firstLine="840" w:firstLineChars="400"/>
              <w:rPr>
                <w:rFonts w:hint="eastAsia" w:ascii="宋体" w:hAnsi="宋体" w:eastAsia="宋体" w:cs="宋体"/>
                <w:color w:val="000000" w:themeColor="text1"/>
                <w:sz w:val="21"/>
                <w:szCs w:val="21"/>
              </w:rPr>
            </w:pPr>
            <w:r>
              <w:rPr>
                <w:rFonts w:hint="eastAsia" w:ascii="宋体" w:hAnsi="宋体" w:cs="宋体"/>
                <w:b w:val="0"/>
                <w:bCs w:val="0"/>
                <w:sz w:val="21"/>
                <w:szCs w:val="21"/>
                <w:lang w:val="en-US" w:eastAsia="zh-CN"/>
              </w:rPr>
              <w:t>宿迁市中心城市西南片区“房地一-体”不动产登记</w:t>
            </w:r>
            <w:r>
              <w:rPr>
                <w:rFonts w:hint="eastAsia" w:ascii="宋体" w:hAnsi="宋体" w:eastAsia="宋体" w:cs="宋体"/>
                <w:color w:val="000000" w:themeColor="text1"/>
                <w:sz w:val="21"/>
                <w:szCs w:val="21"/>
              </w:rPr>
              <w:t>方案的内容和格式符合相关要求,资料齐全,编制规范。</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综上所述，专家组原则同意该方案通过论证。</w:t>
            </w:r>
          </w:p>
          <w:p>
            <w:pPr>
              <w:adjustRightInd w:val="0"/>
              <w:snapToGrid w:val="0"/>
              <w:spacing w:line="360" w:lineRule="auto"/>
              <w:rPr>
                <w:rFonts w:hint="eastAsia" w:ascii="宋体" w:hAnsi="宋体" w:eastAsia="宋体" w:cs="宋体"/>
                <w:color w:val="000000" w:themeColor="text1"/>
                <w:sz w:val="21"/>
                <w:szCs w:val="21"/>
              </w:rPr>
            </w:pPr>
            <w:r>
              <w:rPr>
                <w:rFonts w:hint="eastAsia" w:ascii="宋体" w:hAnsi="宋体" w:cs="宋体"/>
                <w:color w:val="000000" w:themeColor="text1"/>
                <w:sz w:val="21"/>
                <w:szCs w:val="21"/>
                <w:lang w:val="en-US" w:eastAsia="zh-CN"/>
              </w:rPr>
              <w:t>提供</w:t>
            </w:r>
            <w:r>
              <w:rPr>
                <w:rFonts w:hint="eastAsia" w:ascii="宋体" w:hAnsi="宋体" w:eastAsia="宋体" w:cs="宋体"/>
                <w:color w:val="000000" w:themeColor="text1"/>
                <w:sz w:val="21"/>
                <w:szCs w:val="21"/>
              </w:rPr>
              <w:t>成果：</w:t>
            </w:r>
            <w:r>
              <w:rPr>
                <w:rFonts w:hint="eastAsia" w:ascii="宋体" w:hAnsi="宋体" w:cs="宋体"/>
                <w:color w:val="000000" w:themeColor="text1"/>
                <w:sz w:val="21"/>
                <w:szCs w:val="21"/>
                <w:lang w:eastAsia="zh-CN"/>
              </w:rPr>
              <w:t>《</w:t>
            </w:r>
            <w:r>
              <w:rPr>
                <w:rFonts w:hint="eastAsia" w:ascii="宋体" w:hAnsi="宋体" w:eastAsia="宋体" w:cs="宋体"/>
                <w:color w:val="000000" w:themeColor="text1"/>
                <w:sz w:val="21"/>
                <w:szCs w:val="21"/>
              </w:rPr>
              <w:t>盐城市滨海县第二。 类产业园、第三类产业园调查成果</w:t>
            </w:r>
            <w:r>
              <w:rPr>
                <w:rFonts w:hint="eastAsia" w:ascii="宋体" w:hAnsi="宋体" w:cs="宋体"/>
                <w:color w:val="000000" w:themeColor="text1"/>
                <w:sz w:val="21"/>
                <w:szCs w:val="21"/>
                <w:lang w:eastAsia="zh-CN"/>
              </w:rPr>
              <w:t>》</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项目单位：滨海县人民政府</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编制单位：</w:t>
            </w:r>
            <w:bookmarkStart w:id="1" w:name="组织名称"/>
            <w:r>
              <w:rPr>
                <w:rFonts w:hint="eastAsia" w:ascii="宋体" w:hAnsi="宋体" w:eastAsia="宋体" w:cs="宋体"/>
                <w:color w:val="000000" w:themeColor="text1"/>
                <w:sz w:val="21"/>
                <w:szCs w:val="21"/>
              </w:rPr>
              <w:t>江苏新图土地规划设计咨询有限公司</w:t>
            </w:r>
            <w:bookmarkEnd w:id="1"/>
          </w:p>
          <w:p>
            <w:pPr>
              <w:adjustRightInd w:val="0"/>
              <w:snapToGrid w:val="0"/>
              <w:spacing w:line="360" w:lineRule="auto"/>
              <w:ind w:firstLine="420" w:firstLineChars="200"/>
              <w:rPr>
                <w:rFonts w:hint="eastAsia" w:ascii="宋体" w:hAnsi="宋体" w:cs="宋体"/>
                <w:color w:val="000000" w:themeColor="text1"/>
                <w:sz w:val="21"/>
                <w:szCs w:val="21"/>
                <w:lang w:val="en-US" w:eastAsia="zh-CN"/>
              </w:rPr>
            </w:pPr>
            <w:r>
              <w:rPr>
                <w:rFonts w:hint="eastAsia" w:ascii="宋体" w:hAnsi="宋体" w:eastAsia="宋体" w:cs="宋体"/>
                <w:color w:val="000000" w:themeColor="text1"/>
                <w:sz w:val="21"/>
                <w:szCs w:val="21"/>
              </w:rPr>
              <w:t>时间：</w:t>
            </w:r>
            <w:r>
              <w:rPr>
                <w:rFonts w:hint="eastAsia" w:ascii="宋体" w:hAnsi="宋体" w:cs="宋体"/>
                <w:color w:val="000000" w:themeColor="text1"/>
                <w:sz w:val="21"/>
                <w:szCs w:val="21"/>
                <w:lang w:val="en-US" w:eastAsia="zh-CN"/>
              </w:rPr>
              <w:t>2022.4月</w:t>
            </w:r>
          </w:p>
          <w:p>
            <w:pPr>
              <w:pStyle w:val="15"/>
              <w:rPr>
                <w:rFonts w:hint="eastAsia" w:ascii="宋体" w:hAnsi="宋体" w:cs="宋体"/>
                <w:color w:val="000000" w:themeColor="text1"/>
                <w:sz w:val="21"/>
                <w:szCs w:val="21"/>
                <w:lang w:val="en-US" w:eastAsia="zh-CN"/>
              </w:rPr>
            </w:pPr>
            <w:r>
              <w:drawing>
                <wp:anchor distT="0" distB="0" distL="114300" distR="114300" simplePos="0" relativeHeight="251661312" behindDoc="0" locked="0" layoutInCell="1" allowOverlap="1">
                  <wp:simplePos x="0" y="0"/>
                  <wp:positionH relativeFrom="column">
                    <wp:posOffset>3883660</wp:posOffset>
                  </wp:positionH>
                  <wp:positionV relativeFrom="paragraph">
                    <wp:posOffset>94615</wp:posOffset>
                  </wp:positionV>
                  <wp:extent cx="2741295" cy="1847215"/>
                  <wp:effectExtent l="0" t="0" r="1905" b="698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2741295" cy="184721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1898015</wp:posOffset>
                  </wp:positionH>
                  <wp:positionV relativeFrom="paragraph">
                    <wp:posOffset>57785</wp:posOffset>
                  </wp:positionV>
                  <wp:extent cx="1866265" cy="2353945"/>
                  <wp:effectExtent l="0" t="0" r="635" b="825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866265" cy="235394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-635</wp:posOffset>
                  </wp:positionH>
                  <wp:positionV relativeFrom="paragraph">
                    <wp:posOffset>24130</wp:posOffset>
                  </wp:positionV>
                  <wp:extent cx="1799590" cy="2371090"/>
                  <wp:effectExtent l="0" t="0" r="3810"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799590" cy="2371090"/>
                          </a:xfrm>
                          <a:prstGeom prst="rect">
                            <a:avLst/>
                          </a:prstGeom>
                          <a:noFill/>
                          <a:ln>
                            <a:noFill/>
                          </a:ln>
                        </pic:spPr>
                      </pic:pic>
                    </a:graphicData>
                  </a:graphic>
                </wp:anchor>
              </w:drawing>
            </w:r>
          </w:p>
          <w:p>
            <w:pPr>
              <w:pStyle w:val="15"/>
              <w:rPr>
                <w:rFonts w:hint="eastAsia" w:ascii="宋体" w:hAnsi="宋体" w:cs="宋体"/>
                <w:color w:val="000000" w:themeColor="text1"/>
                <w:sz w:val="21"/>
                <w:szCs w:val="21"/>
                <w:lang w:val="en-US" w:eastAsia="zh-CN"/>
              </w:rPr>
            </w:pPr>
          </w:p>
          <w:p>
            <w:pPr>
              <w:pStyle w:val="15"/>
              <w:rPr>
                <w:rFonts w:hint="eastAsia" w:ascii="宋体" w:hAnsi="宋体" w:cs="宋体"/>
                <w:color w:val="000000" w:themeColor="text1"/>
                <w:sz w:val="21"/>
                <w:szCs w:val="21"/>
                <w:lang w:val="en-US" w:eastAsia="zh-CN"/>
              </w:rPr>
            </w:pPr>
          </w:p>
          <w:p>
            <w:pPr>
              <w:pStyle w:val="15"/>
              <w:rPr>
                <w:rFonts w:hint="eastAsia" w:ascii="宋体" w:hAnsi="宋体" w:cs="宋体"/>
                <w:color w:val="000000" w:themeColor="text1"/>
                <w:sz w:val="21"/>
                <w:szCs w:val="21"/>
                <w:lang w:val="en-US" w:eastAsia="zh-CN"/>
              </w:rPr>
            </w:pPr>
          </w:p>
          <w:p>
            <w:pPr>
              <w:pStyle w:val="15"/>
              <w:rPr>
                <w:rFonts w:hint="eastAsia" w:ascii="宋体" w:hAnsi="宋体" w:cs="宋体"/>
                <w:color w:val="000000" w:themeColor="text1"/>
                <w:sz w:val="21"/>
                <w:szCs w:val="21"/>
                <w:lang w:val="en-US" w:eastAsia="zh-CN"/>
              </w:rPr>
            </w:pPr>
          </w:p>
          <w:p>
            <w:pPr>
              <w:pStyle w:val="15"/>
              <w:rPr>
                <w:rFonts w:hint="eastAsia" w:ascii="宋体" w:hAnsi="宋体" w:cs="宋体"/>
                <w:color w:val="000000" w:themeColor="text1"/>
                <w:sz w:val="21"/>
                <w:szCs w:val="21"/>
                <w:lang w:val="en-US" w:eastAsia="zh-CN"/>
              </w:rPr>
            </w:pPr>
          </w:p>
          <w:p>
            <w:pPr>
              <w:pStyle w:val="15"/>
              <w:rPr>
                <w:rFonts w:hint="eastAsia" w:ascii="宋体" w:hAnsi="宋体" w:cs="宋体"/>
                <w:color w:val="000000" w:themeColor="text1"/>
                <w:sz w:val="21"/>
                <w:szCs w:val="21"/>
                <w:lang w:val="en-US" w:eastAsia="zh-CN"/>
              </w:rPr>
            </w:pPr>
          </w:p>
          <w:p>
            <w:pPr>
              <w:pStyle w:val="15"/>
              <w:rPr>
                <w:rFonts w:hint="eastAsia" w:ascii="宋体" w:hAnsi="宋体" w:cs="宋体"/>
                <w:color w:val="000000" w:themeColor="text1"/>
                <w:sz w:val="21"/>
                <w:szCs w:val="21"/>
                <w:lang w:val="en-US" w:eastAsia="zh-CN"/>
              </w:rPr>
            </w:pPr>
          </w:p>
          <w:p>
            <w:pPr>
              <w:adjustRightInd w:val="0"/>
              <w:snapToGrid w:val="0"/>
              <w:spacing w:line="360" w:lineRule="auto"/>
              <w:ind w:firstLine="420" w:firstLineChars="200"/>
              <w:rPr>
                <w:rFonts w:hint="eastAsia" w:ascii="宋体" w:hAnsi="宋体" w:eastAsia="宋体" w:cs="宋体"/>
                <w:color w:val="000000" w:themeColor="text1"/>
                <w:sz w:val="21"/>
                <w:szCs w:val="21"/>
              </w:rPr>
            </w:pPr>
          </w:p>
          <w:p>
            <w:pPr>
              <w:adjustRightInd w:val="0"/>
              <w:snapToGrid w:val="0"/>
              <w:spacing w:line="360" w:lineRule="auto"/>
              <w:ind w:firstLine="420" w:firstLineChars="200"/>
              <w:rPr>
                <w:rFonts w:hint="eastAsia" w:ascii="宋体" w:hAnsi="宋体" w:eastAsia="宋体" w:cs="宋体"/>
                <w:color w:val="000000" w:themeColor="text1"/>
                <w:sz w:val="21"/>
                <w:szCs w:val="21"/>
              </w:rPr>
            </w:pPr>
          </w:p>
          <w:p>
            <w:pPr>
              <w:adjustRightInd w:val="0"/>
              <w:snapToGrid w:val="0"/>
              <w:spacing w:line="360" w:lineRule="auto"/>
              <w:ind w:firstLine="420" w:firstLineChars="200"/>
              <w:rPr>
                <w:rFonts w:hint="eastAsia" w:ascii="宋体" w:hAnsi="宋体" w:eastAsia="宋体" w:cs="宋体"/>
                <w:color w:val="000000" w:themeColor="text1"/>
                <w:sz w:val="21"/>
                <w:szCs w:val="21"/>
              </w:rPr>
            </w:pPr>
          </w:p>
          <w:p>
            <w:pPr>
              <w:adjustRightInd w:val="0"/>
              <w:snapToGrid w:val="0"/>
              <w:spacing w:line="360" w:lineRule="auto"/>
              <w:ind w:firstLine="420" w:firstLineChars="200"/>
              <w:rPr>
                <w:rFonts w:hint="eastAsia" w:ascii="宋体" w:hAnsi="宋体" w:eastAsia="宋体" w:cs="宋体"/>
                <w:color w:val="000000" w:themeColor="text1"/>
                <w:sz w:val="21"/>
                <w:szCs w:val="21"/>
              </w:rPr>
            </w:pP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查，《新图第三次全国土地调查数据分析与共享服务云平台系统软件》设计过程质量控制，主要有软件方案评审、软件测试。</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查，软件系统方案设计评审记录：</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1</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12</w:t>
            </w:r>
            <w:r>
              <w:rPr>
                <w:rFonts w:hint="eastAsia" w:ascii="宋体" w:hAnsi="宋体" w:eastAsia="宋体" w:cs="宋体"/>
                <w:color w:val="000000" w:themeColor="text1"/>
                <w:sz w:val="21"/>
                <w:szCs w:val="21"/>
              </w:rPr>
              <w:t>.22</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该项目的方案设计评审主要有：目标、原则（实用性、可维护性、技术先进性和成熟性等）、系统整体结构、基础平台、应用支撑平台、功能、业务流程、模块接口、数据表、数据标准等是否符合设计规范、环境适应性等。</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评审结果：合格。</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评审人：周进、尤才、韩少松</w:t>
            </w:r>
          </w:p>
          <w:p>
            <w:pPr>
              <w:adjustRightInd w:val="0"/>
              <w:snapToGrid w:val="0"/>
              <w:spacing w:line="360" w:lineRule="auto"/>
              <w:ind w:firstLine="420" w:firstLineChars="200"/>
              <w:rPr>
                <w:rFonts w:hint="eastAsia" w:ascii="宋体" w:hAnsi="宋体" w:eastAsia="宋体" w:cs="宋体"/>
                <w:color w:val="000000" w:themeColor="text1"/>
                <w:sz w:val="21"/>
                <w:szCs w:val="21"/>
              </w:rPr>
            </w:pP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查测试管理</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查，软件功能测试报告：</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1</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12</w:t>
            </w:r>
            <w:r>
              <w:rPr>
                <w:rFonts w:hint="eastAsia" w:ascii="宋体" w:hAnsi="宋体" w:eastAsia="宋体" w:cs="宋体"/>
                <w:color w:val="000000" w:themeColor="text1"/>
                <w:sz w:val="21"/>
                <w:szCs w:val="21"/>
              </w:rPr>
              <w:t>.25</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测试内容：</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系统初始化        上电能够正常初始化</w:t>
            </w:r>
          </w:p>
          <w:p>
            <w:pPr>
              <w:adjustRightInd w:val="0"/>
              <w:snapToGrid w:val="0"/>
              <w:spacing w:line="360" w:lineRule="auto"/>
              <w:ind w:left="1890" w:hanging="1890" w:hangingChars="9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构架界面    显示市容、安全、稳定、便民一级菜单，根据客户配置界面功能和着色。</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地图       制作辖区地图、测量距离和面积、区域空间查询、专题图层显示等</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便民服务      物业管理数据接入、查询、制表，链接栖霞区账上云社区等</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结论：合格</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测试人：韩少松</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.25</w:t>
            </w:r>
          </w:p>
          <w:p>
            <w:pPr>
              <w:adjustRightInd w:val="0"/>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提供该设计项目的确认记录：</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采用客户出运行验收的方式进行确认，软件正在试运行中</w:t>
            </w:r>
          </w:p>
          <w:p>
            <w:pPr>
              <w:spacing w:line="360" w:lineRule="auto"/>
              <w:ind w:firstLine="210" w:firstLineChars="1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设计项目的过程控制策划符合管理要求。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设计和开发输出</w:t>
            </w:r>
          </w:p>
        </w:tc>
        <w:tc>
          <w:tcPr>
            <w:tcW w:w="1311"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Q8.3.5 </w:t>
            </w:r>
          </w:p>
        </w:tc>
        <w:tc>
          <w:tcPr>
            <w:tcW w:w="10850" w:type="dxa"/>
          </w:tcPr>
          <w:p>
            <w:pPr>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查，规划设计项目输出： </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成果：贾汪区大吴镇两妥村村庄规划，</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项目单位：徐州市贾汪区人民政府大吴街道办事处</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编制单位：江苏新图土地规划设计咨询有限公司</w:t>
            </w:r>
          </w:p>
          <w:p>
            <w:pPr>
              <w:adjustRightInd w:val="0"/>
              <w:snapToGrid w:val="0"/>
              <w:spacing w:line="360" w:lineRule="auto"/>
              <w:ind w:firstLine="420" w:firstLineChars="200"/>
              <w:rPr>
                <w:rFonts w:hint="eastAsia" w:ascii="宋体" w:hAnsi="宋体" w:eastAsia="宋体" w:cs="宋体"/>
                <w:color w:val="000000" w:themeColor="text1"/>
                <w:sz w:val="21"/>
                <w:szCs w:val="21"/>
              </w:rPr>
            </w:pPr>
            <w:r>
              <w:drawing>
                <wp:anchor distT="0" distB="0" distL="114300" distR="114300" simplePos="0" relativeHeight="251664384" behindDoc="0" locked="0" layoutInCell="1" allowOverlap="1">
                  <wp:simplePos x="0" y="0"/>
                  <wp:positionH relativeFrom="column">
                    <wp:posOffset>4564380</wp:posOffset>
                  </wp:positionH>
                  <wp:positionV relativeFrom="paragraph">
                    <wp:posOffset>242570</wp:posOffset>
                  </wp:positionV>
                  <wp:extent cx="2167255" cy="1521460"/>
                  <wp:effectExtent l="0" t="0" r="4445" b="254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2167255" cy="152146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2383790</wp:posOffset>
                  </wp:positionH>
                  <wp:positionV relativeFrom="paragraph">
                    <wp:posOffset>219075</wp:posOffset>
                  </wp:positionV>
                  <wp:extent cx="2156460" cy="1543050"/>
                  <wp:effectExtent l="0" t="0" r="2540" b="635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156460" cy="154305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-36830</wp:posOffset>
                  </wp:positionH>
                  <wp:positionV relativeFrom="paragraph">
                    <wp:posOffset>216535</wp:posOffset>
                  </wp:positionV>
                  <wp:extent cx="2390775" cy="1623695"/>
                  <wp:effectExtent l="0" t="0" r="9525" b="190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2390775" cy="1623695"/>
                          </a:xfrm>
                          <a:prstGeom prst="rect">
                            <a:avLst/>
                          </a:prstGeom>
                          <a:noFill/>
                          <a:ln>
                            <a:noFill/>
                          </a:ln>
                        </pic:spPr>
                      </pic:pic>
                    </a:graphicData>
                  </a:graphic>
                </wp:anchor>
              </w:drawing>
            </w: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年</w:t>
            </w:r>
            <w:r>
              <w:rPr>
                <w:rFonts w:hint="eastAsia" w:ascii="宋体" w:hAnsi="宋体" w:cs="宋体"/>
                <w:color w:val="000000" w:themeColor="text1"/>
                <w:sz w:val="21"/>
                <w:szCs w:val="21"/>
                <w:lang w:val="en-US" w:eastAsia="zh-CN"/>
              </w:rPr>
              <w:t>4</w:t>
            </w:r>
            <w:r>
              <w:rPr>
                <w:rFonts w:hint="eastAsia" w:ascii="宋体" w:hAnsi="宋体" w:eastAsia="宋体" w:cs="宋体"/>
                <w:color w:val="000000" w:themeColor="text1"/>
                <w:sz w:val="21"/>
                <w:szCs w:val="21"/>
              </w:rPr>
              <w:t>月</w:t>
            </w: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r>
              <w:drawing>
                <wp:anchor distT="0" distB="0" distL="114300" distR="114300" simplePos="0" relativeHeight="251665408" behindDoc="0" locked="0" layoutInCell="1" allowOverlap="1">
                  <wp:simplePos x="0" y="0"/>
                  <wp:positionH relativeFrom="column">
                    <wp:posOffset>29845</wp:posOffset>
                  </wp:positionH>
                  <wp:positionV relativeFrom="paragraph">
                    <wp:posOffset>210185</wp:posOffset>
                  </wp:positionV>
                  <wp:extent cx="2293620" cy="1557655"/>
                  <wp:effectExtent l="0" t="0" r="5080" b="444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293620" cy="1557655"/>
                          </a:xfrm>
                          <a:prstGeom prst="rect">
                            <a:avLst/>
                          </a:prstGeom>
                          <a:noFill/>
                          <a:ln>
                            <a:noFill/>
                          </a:ln>
                        </pic:spPr>
                      </pic:pic>
                    </a:graphicData>
                  </a:graphic>
                </wp:anchor>
              </w:drawing>
            </w:r>
          </w:p>
          <w:p>
            <w:pPr>
              <w:pStyle w:val="15"/>
              <w:rPr>
                <w:rFonts w:hint="eastAsia" w:ascii="宋体" w:hAnsi="宋体" w:eastAsia="宋体" w:cs="宋体"/>
                <w:color w:val="000000" w:themeColor="text1"/>
                <w:sz w:val="21"/>
                <w:szCs w:val="21"/>
              </w:rPr>
            </w:pPr>
            <w:r>
              <w:drawing>
                <wp:anchor distT="0" distB="0" distL="114300" distR="114300" simplePos="0" relativeHeight="251667456" behindDoc="0" locked="0" layoutInCell="1" allowOverlap="1">
                  <wp:simplePos x="0" y="0"/>
                  <wp:positionH relativeFrom="column">
                    <wp:posOffset>4613910</wp:posOffset>
                  </wp:positionH>
                  <wp:positionV relativeFrom="paragraph">
                    <wp:posOffset>80010</wp:posOffset>
                  </wp:positionV>
                  <wp:extent cx="2113280" cy="1491615"/>
                  <wp:effectExtent l="0" t="0" r="7620" b="698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2113280" cy="149161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2430145</wp:posOffset>
                  </wp:positionH>
                  <wp:positionV relativeFrom="paragraph">
                    <wp:posOffset>58420</wp:posOffset>
                  </wp:positionV>
                  <wp:extent cx="2103120" cy="1484630"/>
                  <wp:effectExtent l="0" t="0" r="5080" b="127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2103120" cy="1484630"/>
                          </a:xfrm>
                          <a:prstGeom prst="rect">
                            <a:avLst/>
                          </a:prstGeom>
                          <a:noFill/>
                          <a:ln>
                            <a:noFill/>
                          </a:ln>
                        </pic:spPr>
                      </pic:pic>
                    </a:graphicData>
                  </a:graphic>
                </wp:anchor>
              </w:drawing>
            </w: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pStyle w:val="15"/>
              <w:rPr>
                <w:rFonts w:hint="eastAsia" w:ascii="宋体" w:hAnsi="宋体" w:eastAsia="宋体" w:cs="宋体"/>
                <w:color w:val="000000" w:themeColor="text1"/>
                <w:sz w:val="21"/>
                <w:szCs w:val="21"/>
              </w:rPr>
            </w:pPr>
          </w:p>
          <w:p>
            <w:pPr>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查，软件设计项目输出</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提供软件设计开发输出主要是软件系统成果，已申请了软件著作权。</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申请了新图社会稳定风险评估软件著作权，证书号：软著登字第5444822号；</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申请了新图全民所有自然资源资产咨询负债表管理软件著作权，证书号：软著登字第5442736号；</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申请了新图国有土地资源资产核算管理软件著作权，证书号：软著登字第5440879号；</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申请了新图第三次全国土地调查建库软件著作权，证书号：软著登字第4874303号；</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申请了新图空间规划平台软件著作权，证书号：软著登字第4873233号；</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设计和开发的输出管理符合规定的要求。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设计和开发变更</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Q8.3.6 </w:t>
            </w:r>
          </w:p>
        </w:tc>
        <w:tc>
          <w:tcPr>
            <w:tcW w:w="10850" w:type="dxa"/>
          </w:tcPr>
          <w:p>
            <w:pPr>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查，公司策划了设计变更的管理要求。</w:t>
            </w:r>
          </w:p>
          <w:p>
            <w:pPr>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以上项目设计过程暂无变更，软件·测试出现的bug已及时处理，通过了测试。</w:t>
            </w:r>
          </w:p>
          <w:p>
            <w:pPr>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公司的设计过程受控。其设计过程符合要求。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809" w:type="dxa"/>
          </w:tcPr>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产品和服务放行；</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Q8.6 </w:t>
            </w:r>
          </w:p>
        </w:tc>
        <w:tc>
          <w:tcPr>
            <w:tcW w:w="10850"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公司为验证产品和服务的要求是否得到满足对需实施监视和检验的阶段、过程、项目及记录等予以规定，查见公司检验规范规定了进货、过程、成品的检验方法、标准。</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公司对特殊放行或紧急放行情况予以界定，原则上，一般情况下不许特殊放行或紧急放行；若特殊情况下，要实施紧急放行时，一定要得到设计部长许可、公司总经理批准，适用时得到顾客的批准后方可实施。体系运行至今尚未发生特殊放行或紧急放行的情况。</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公司明确对各阶段产品和服务的放行均须实施必要的记录并保留。详见如下输入、过程及输出检验证据抽样</w:t>
            </w:r>
          </w:p>
          <w:p>
            <w:pPr>
              <w:numPr>
                <w:numId w:val="0"/>
              </w:numPr>
              <w:spacing w:line="360" w:lineRule="auto"/>
              <w:ind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进货检验，主要为办公产品（主要对外观、规格型号等进行验证）</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抽查进货验证记录，在入库单上签字确认</w:t>
            </w:r>
          </w:p>
          <w:p>
            <w:pPr>
              <w:numPr>
                <w:ilvl w:val="0"/>
                <w:numId w:val="2"/>
              </w:num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产品名称：打印机</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检验项目：外观、合格证、型号；   </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检验结论：合格         </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检验员：李扬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4</w:t>
            </w:r>
            <w:r>
              <w:rPr>
                <w:rFonts w:hint="eastAsia" w:ascii="宋体" w:hAnsi="宋体" w:eastAsia="宋体" w:cs="宋体"/>
                <w:color w:val="000000" w:themeColor="text1"/>
                <w:sz w:val="21"/>
                <w:szCs w:val="21"/>
              </w:rPr>
              <w:t>.20</w:t>
            </w:r>
          </w:p>
          <w:p>
            <w:pPr>
              <w:numPr>
                <w:ilvl w:val="0"/>
                <w:numId w:val="2"/>
              </w:num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产品名称：打印纸</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检验项目：规格、外观核对；   </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检验结论：合格         </w:t>
            </w:r>
          </w:p>
          <w:p>
            <w:pPr>
              <w:spacing w:line="360" w:lineRule="auto"/>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检验员：李扬     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.3.</w:t>
            </w:r>
            <w:r>
              <w:rPr>
                <w:rFonts w:hint="eastAsia" w:ascii="宋体" w:hAnsi="宋体" w:cs="宋体"/>
                <w:color w:val="000000" w:themeColor="text1"/>
                <w:sz w:val="21"/>
                <w:szCs w:val="21"/>
                <w:lang w:val="en-US" w:eastAsia="zh-CN"/>
              </w:rPr>
              <w:t>25</w:t>
            </w:r>
          </w:p>
          <w:p>
            <w:pPr>
              <w:pStyle w:val="4"/>
              <w:spacing w:line="360" w:lineRule="auto"/>
              <w:rPr>
                <w:rFonts w:hint="eastAsia" w:ascii="宋体" w:hAnsi="宋体" w:eastAsia="宋体" w:cs="宋体"/>
                <w:color w:val="000000" w:themeColor="text1"/>
                <w:sz w:val="21"/>
                <w:szCs w:val="21"/>
              </w:rPr>
            </w:pPr>
          </w:p>
          <w:p>
            <w:pPr>
              <w:numPr>
                <w:ilvl w:val="0"/>
                <w:numId w:val="3"/>
              </w:num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过程检验，主要对设计、测绘过程进行监控和评审。</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查，规划论证，听证纪要：</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w:t>
            </w:r>
            <w:r>
              <w:rPr>
                <w:rFonts w:hint="eastAsia" w:ascii="宋体" w:hAnsi="宋体" w:cs="宋体"/>
                <w:color w:val="000000" w:themeColor="text1"/>
                <w:sz w:val="21"/>
                <w:szCs w:val="21"/>
                <w:lang w:val="en-US" w:eastAsia="zh-CN"/>
              </w:rPr>
              <w:t>22</w:t>
            </w:r>
            <w:r>
              <w:rPr>
                <w:rFonts w:hint="eastAsia" w:ascii="宋体" w:hAnsi="宋体" w:eastAsia="宋体" w:cs="宋体"/>
                <w:color w:val="000000" w:themeColor="text1"/>
                <w:sz w:val="21"/>
                <w:szCs w:val="21"/>
              </w:rPr>
              <w:t>.2.28</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该听证事项：徐连铁路大许南牵引站配套220千伏输变电工程建设项目土地复垦方案。</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听证主持： 田笑（省经研院）</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听证形成意见：本次复垦报告可研过程符合国家产业政策，项目建设具备环境可行性。与会代表同意本次成果。</w:t>
            </w:r>
          </w:p>
          <w:p>
            <w:pPr>
              <w:pStyle w:val="15"/>
              <w:rPr>
                <w:rFonts w:hint="eastAsia"/>
              </w:rPr>
            </w:pPr>
          </w:p>
          <w:p>
            <w:pPr>
              <w:adjustRightInd w:val="0"/>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查，《新图第三次全国土地调查数据分析与共享服务云平台系统软件》设计过程质量控制，主要有软件方案评审、软件测试评审记录：</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4</w:t>
            </w:r>
            <w:r>
              <w:rPr>
                <w:rFonts w:hint="eastAsia" w:ascii="宋体" w:hAnsi="宋体" w:eastAsia="宋体" w:cs="宋体"/>
                <w:color w:val="000000" w:themeColor="text1"/>
                <w:sz w:val="21"/>
                <w:szCs w:val="21"/>
              </w:rPr>
              <w:t>.20</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该项目的方案设计评审主要有：目标、原则（实用性、可维护性、技术先进性和成熟性等）、系统整体结构、基础平台、应用支撑平台、功能、业务流程、模块接口、数据表、数据标准等是否符合设计规范、环境适应性等。</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评审结果：合格。</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评审人：周进、尤才、韩少松</w:t>
            </w:r>
          </w:p>
          <w:p>
            <w:pPr>
              <w:adjustRightInd w:val="0"/>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查优硕CRM（客户关系管理） 系统软件设计过程质量控制，主要有软件方案评审、软件测试报告：</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1</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11</w:t>
            </w:r>
            <w:r>
              <w:rPr>
                <w:rFonts w:hint="eastAsia" w:ascii="宋体" w:hAnsi="宋体" w:eastAsia="宋体" w:cs="宋体"/>
                <w:color w:val="000000" w:themeColor="text1"/>
                <w:sz w:val="21"/>
                <w:szCs w:val="21"/>
              </w:rPr>
              <w:t>.25</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测试内容：</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系统初始化        上电能够正常初始化</w:t>
            </w:r>
          </w:p>
          <w:p>
            <w:pPr>
              <w:adjustRightInd w:val="0"/>
              <w:snapToGrid w:val="0"/>
              <w:spacing w:line="360" w:lineRule="auto"/>
              <w:ind w:left="1890" w:hanging="1890" w:hangingChars="9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构架界面    显示市容、安全、稳定、便民一级菜单，根据客户配置界面功能和着色。</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地图       制作辖区地图、测量距离和面积、区域空间查询、专题图层显示等</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便民服务      物业管理数据接入、查询、制表，链接栖霞区账上云社区等</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结论：合格</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测试人：韩绍松</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1</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11</w:t>
            </w:r>
            <w:r>
              <w:rPr>
                <w:rFonts w:hint="eastAsia" w:ascii="宋体" w:hAnsi="宋体" w:eastAsia="宋体" w:cs="宋体"/>
                <w:color w:val="000000" w:themeColor="text1"/>
                <w:sz w:val="21"/>
                <w:szCs w:val="21"/>
              </w:rPr>
              <w:t>.25</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抽测绘《检测记录表》</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工程名称：锡山区东港镇港南村高标准农田示范基地</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年</w:t>
            </w:r>
            <w:r>
              <w:rPr>
                <w:rFonts w:hint="eastAsia" w:ascii="宋体" w:hAnsi="宋体" w:cs="宋体"/>
                <w:color w:val="000000" w:themeColor="text1"/>
                <w:sz w:val="21"/>
                <w:szCs w:val="21"/>
                <w:lang w:val="en-US" w:eastAsia="zh-CN"/>
              </w:rPr>
              <w:t>2</w:t>
            </w:r>
            <w:r>
              <w:rPr>
                <w:rFonts w:hint="eastAsia" w:ascii="宋体" w:hAnsi="宋体" w:eastAsia="宋体" w:cs="宋体"/>
                <w:color w:val="000000" w:themeColor="text1"/>
                <w:sz w:val="21"/>
                <w:szCs w:val="21"/>
              </w:rPr>
              <w:t>月</w:t>
            </w:r>
            <w:r>
              <w:rPr>
                <w:rFonts w:hint="eastAsia" w:ascii="宋体" w:hAnsi="宋体" w:cs="宋体"/>
                <w:color w:val="000000" w:themeColor="text1"/>
                <w:sz w:val="21"/>
                <w:szCs w:val="21"/>
                <w:lang w:val="en-US" w:eastAsia="zh-CN"/>
              </w:rPr>
              <w:t>12</w:t>
            </w:r>
            <w:r>
              <w:rPr>
                <w:rFonts w:hint="eastAsia" w:ascii="宋体" w:hAnsi="宋体" w:eastAsia="宋体" w:cs="宋体"/>
                <w:color w:val="000000" w:themeColor="text1"/>
                <w:sz w:val="21"/>
                <w:szCs w:val="21"/>
              </w:rPr>
              <w:t>日</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测试内容：农田示范基地边长误差</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测试点：135点，平均误差2.7cm。</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编写：孙晓茜，审查：尤才，批准：张占奎。</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抽土地调查《测绘统计表》</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工程名称：滨海县2019年耕地质量等别年度更新评价工作 </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时间：2020年6月20日</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测试内容：地物点点位精度检测统计表</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作业点：滨海县五汛镇</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测试点：109点，平均误差1.7cm。</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编写：任安领，审查：尤才，批准：张占奎。</w:t>
            </w:r>
          </w:p>
          <w:p>
            <w:pPr>
              <w:adjustRightInd w:val="0"/>
              <w:snapToGrid w:val="0"/>
              <w:spacing w:line="360" w:lineRule="auto"/>
              <w:ind w:left="1995" w:hanging="1995" w:hangingChars="950"/>
              <w:rPr>
                <w:rFonts w:hint="eastAsia" w:ascii="宋体" w:hAnsi="宋体" w:eastAsia="宋体" w:cs="宋体"/>
                <w:color w:val="000000" w:themeColor="text1"/>
                <w:sz w:val="21"/>
                <w:szCs w:val="21"/>
              </w:rPr>
            </w:pPr>
          </w:p>
          <w:p>
            <w:pPr>
              <w:adjustRightInd w:val="0"/>
              <w:snapToGrid w:val="0"/>
              <w:spacing w:line="360" w:lineRule="auto"/>
              <w:ind w:left="1995" w:hanging="1995" w:hangingChars="95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成品检验：产品通过形成成果和客户验收的方式进行。 </w:t>
            </w:r>
          </w:p>
          <w:p>
            <w:pPr>
              <w:pStyle w:val="6"/>
              <w:spacing w:line="360" w:lineRule="auto"/>
              <w:ind w:left="0" w:leftChars="0" w:firstLine="0" w:firstLine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查产品验收</w:t>
            </w:r>
          </w:p>
          <w:p>
            <w:pPr>
              <w:adjustRightInd w:val="0"/>
              <w:snapToGrid w:val="0"/>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地灾项目：滨海县自然资源和规划局滨湖路、丹桂路一期二期、丰收大道、火箭路、金地路、菩提路、仲景路、子卿路地质灾害危险性评估等采购项目</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时间：20</w:t>
            </w:r>
            <w:r>
              <w:rPr>
                <w:rFonts w:hint="eastAsia" w:ascii="宋体" w:hAnsi="宋体" w:cs="宋体"/>
                <w:color w:val="000000" w:themeColor="text1"/>
                <w:sz w:val="21"/>
                <w:szCs w:val="21"/>
                <w:lang w:val="en-US" w:eastAsia="zh-CN"/>
              </w:rPr>
              <w:t>21</w:t>
            </w:r>
            <w:r>
              <w:rPr>
                <w:rFonts w:hint="eastAsia" w:ascii="宋体" w:hAnsi="宋体" w:eastAsia="宋体" w:cs="宋体"/>
                <w:color w:val="000000" w:themeColor="text1"/>
                <w:sz w:val="21"/>
                <w:szCs w:val="21"/>
              </w:rPr>
              <w:t>.</w:t>
            </w:r>
            <w:r>
              <w:rPr>
                <w:rFonts w:hint="eastAsia" w:ascii="宋体" w:hAnsi="宋体" w:cs="宋体"/>
                <w:color w:val="000000" w:themeColor="text1"/>
                <w:sz w:val="21"/>
                <w:szCs w:val="21"/>
                <w:lang w:val="en-US" w:eastAsia="zh-CN"/>
              </w:rPr>
              <w:t>6</w:t>
            </w:r>
            <w:r>
              <w:rPr>
                <w:rFonts w:hint="eastAsia" w:ascii="宋体" w:hAnsi="宋体" w:eastAsia="宋体" w:cs="宋体"/>
                <w:color w:val="000000" w:themeColor="text1"/>
                <w:sz w:val="21"/>
                <w:szCs w:val="21"/>
              </w:rPr>
              <w:t>.25</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成果：滨海县滨湖路工程项目地质灾害危险性评估报告</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报告内容：概况、地质环境条件、地质灾害危险性现状评估、地质灾害危险性预测评估、地质灾害危险性综合评估及防治措施、结论与建议。</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编制：刘晗竹，审核：尤才，批准：张占奎      </w:t>
            </w:r>
          </w:p>
          <w:p>
            <w:pPr>
              <w:spacing w:line="360" w:lineRule="auto"/>
              <w:ind w:firstLine="408"/>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产品监视过程基本受控。</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adjustRightInd w:val="0"/>
              <w:snapToGrid w:val="0"/>
              <w:spacing w:line="360" w:lineRule="auto"/>
              <w:jc w:val="left"/>
              <w:rPr>
                <w:rFonts w:hint="eastAsia" w:ascii="宋体" w:hAnsi="宋体" w:eastAsia="宋体" w:cs="宋体"/>
                <w:color w:val="000000" w:themeColor="text1"/>
                <w:sz w:val="21"/>
                <w:szCs w:val="21"/>
              </w:rPr>
            </w:pPr>
          </w:p>
          <w:p>
            <w:pPr>
              <w:adjustRightInd w:val="0"/>
              <w:snapToGrid w:val="0"/>
              <w:spacing w:line="360" w:lineRule="auto"/>
              <w:jc w:val="left"/>
              <w:rPr>
                <w:rFonts w:hint="eastAsia" w:ascii="宋体" w:hAnsi="宋体" w:eastAsia="宋体" w:cs="宋体"/>
                <w:color w:val="000000" w:themeColor="text1"/>
                <w:sz w:val="21"/>
                <w:szCs w:val="21"/>
              </w:rPr>
            </w:pPr>
          </w:p>
          <w:p>
            <w:pPr>
              <w:adjustRightInd w:val="0"/>
              <w:snapToGrid w:val="0"/>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不合格输出的控制</w:t>
            </w:r>
          </w:p>
        </w:tc>
        <w:tc>
          <w:tcPr>
            <w:tcW w:w="1311" w:type="dxa"/>
          </w:tcPr>
          <w:p>
            <w:pPr>
              <w:spacing w:line="360" w:lineRule="auto"/>
              <w:jc w:val="left"/>
              <w:rPr>
                <w:rFonts w:hint="eastAsia" w:ascii="宋体" w:hAnsi="宋体" w:eastAsia="宋体" w:cs="宋体"/>
                <w:color w:val="000000" w:themeColor="text1"/>
                <w:sz w:val="21"/>
                <w:szCs w:val="21"/>
              </w:rPr>
            </w:pPr>
          </w:p>
          <w:p>
            <w:pPr>
              <w:spacing w:line="360" w:lineRule="auto"/>
              <w:jc w:val="left"/>
              <w:rPr>
                <w:rFonts w:hint="eastAsia" w:ascii="宋体" w:hAnsi="宋体" w:eastAsia="宋体" w:cs="宋体"/>
                <w:color w:val="000000" w:themeColor="text1"/>
                <w:sz w:val="21"/>
                <w:szCs w:val="21"/>
              </w:rPr>
            </w:pPr>
          </w:p>
          <w:p>
            <w:pPr>
              <w:spacing w:line="360" w:lineRule="auto"/>
              <w:jc w:val="left"/>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Q8.7 </w:t>
            </w:r>
          </w:p>
        </w:tc>
        <w:tc>
          <w:tcPr>
            <w:tcW w:w="10850" w:type="dxa"/>
          </w:tcPr>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 查，公司编制了《不合格控制程序》对不合格的控制及其职责、权限及要求进行了规定。</w:t>
            </w:r>
          </w:p>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经查，针对发生的不合格设计部对不合格品进行了评审，确定了结论、措施和对纠正后的不合格品进行了验证。</w:t>
            </w:r>
          </w:p>
          <w:p>
            <w:pPr>
              <w:spacing w:line="360" w:lineRule="auto"/>
              <w:ind w:firstLine="465"/>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该公司</w:t>
            </w:r>
            <w:r>
              <w:rPr>
                <w:rFonts w:hint="eastAsia" w:ascii="宋体" w:hAnsi="宋体" w:cs="宋体"/>
                <w:color w:val="000000" w:themeColor="text1"/>
                <w:sz w:val="21"/>
                <w:szCs w:val="21"/>
                <w:lang w:val="en-US" w:eastAsia="zh-CN"/>
              </w:rPr>
              <w:t>2020年</w:t>
            </w:r>
            <w:r>
              <w:rPr>
                <w:rFonts w:hint="eastAsia" w:ascii="宋体" w:hAnsi="宋体" w:eastAsia="宋体" w:cs="宋体"/>
                <w:color w:val="000000" w:themeColor="text1"/>
                <w:sz w:val="21"/>
                <w:szCs w:val="21"/>
              </w:rPr>
              <w:t>以来未发生对不合格进行让步放行的情况，部门对不合格品的性质、处理的措施及结论的结果进行了记录及保持</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pStyle w:val="4"/>
              <w:spacing w:line="360" w:lineRule="auto"/>
              <w:rPr>
                <w:rFonts w:hint="eastAsia" w:ascii="宋体" w:hAnsi="宋体" w:eastAsia="宋体" w:cs="宋体"/>
                <w:color w:val="000000" w:themeColor="text1"/>
                <w:sz w:val="21"/>
                <w:szCs w:val="21"/>
              </w:rPr>
            </w:pP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环境因素</w:t>
            </w:r>
          </w:p>
          <w:p>
            <w:pPr>
              <w:adjustRightInd w:val="0"/>
              <w:snapToGrid w:val="0"/>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危险源识别</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E</w:t>
            </w:r>
            <w:r>
              <w:rPr>
                <w:rFonts w:hint="eastAsia" w:ascii="宋体" w:hAnsi="宋体" w:cs="宋体"/>
                <w:color w:val="000000" w:themeColor="text1"/>
                <w:sz w:val="21"/>
                <w:szCs w:val="21"/>
                <w:lang w:val="en-US" w:eastAsia="zh-CN"/>
              </w:rPr>
              <w:t>O：</w:t>
            </w:r>
            <w:r>
              <w:rPr>
                <w:rFonts w:hint="eastAsia" w:ascii="宋体" w:hAnsi="宋体" w:eastAsia="宋体" w:cs="宋体"/>
                <w:color w:val="000000" w:themeColor="text1"/>
                <w:sz w:val="21"/>
                <w:szCs w:val="21"/>
              </w:rPr>
              <w:t>6.1.2</w:t>
            </w:r>
          </w:p>
        </w:tc>
        <w:tc>
          <w:tcPr>
            <w:tcW w:w="10850" w:type="dxa"/>
          </w:tcPr>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依据《环境因素、危险因素的识别与评价》，根据不同的时态、状态识别了环境因素，通过对其发生的可能性、危害性等进行评价，设计部确定的重要环境因素有：潜在火灾、办公场所固废的排放。识别、评价基本合理。</w:t>
            </w:r>
          </w:p>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查，设计部经过辨识与评审形成了《危险源辨识与风险评价表》共识别出9项危险源，包括电气使用不当造成火灾；设备漏电、线路老化造成触电伤人；上下班途中、公事外出途中交通事故、中暑等潜在危险源。</w:t>
            </w:r>
          </w:p>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采用的是经验判断法、过程分析法识别。打分法确定重大风险：1火灾）；2触电）。危险源辨识基本充分、风险等级评价基本合理。查，风险控制措施有：  安全知识、消防知识宣传、教育及培训；定期安全检查等。</w:t>
            </w:r>
          </w:p>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危险源识别基本充分，控制措施需要完善。</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09" w:type="dxa"/>
          </w:tcPr>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both"/>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运行策划和控制</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pStyle w:val="5"/>
              <w:spacing w:line="360" w:lineRule="auto"/>
              <w:ind w:left="0" w:leftChars="0" w:firstLine="0" w:firstLineChars="0"/>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E</w:t>
            </w:r>
            <w:r>
              <w:rPr>
                <w:rFonts w:hint="eastAsia" w:ascii="宋体" w:hAnsi="宋体" w:eastAsia="宋体" w:cs="宋体"/>
                <w:color w:val="000000" w:themeColor="text1"/>
                <w:sz w:val="21"/>
                <w:szCs w:val="21"/>
                <w:lang w:val="en-US" w:eastAsia="zh-CN"/>
              </w:rPr>
              <w:t>O</w:t>
            </w:r>
            <w:r>
              <w:rPr>
                <w:rFonts w:hint="eastAsia" w:ascii="宋体" w:hAnsi="宋体" w:eastAsia="宋体" w:cs="宋体"/>
                <w:color w:val="000000" w:themeColor="text1"/>
                <w:sz w:val="21"/>
                <w:szCs w:val="21"/>
              </w:rPr>
              <w:t>8.1 </w:t>
            </w:r>
          </w:p>
          <w:p>
            <w:pPr>
              <w:spacing w:line="360" w:lineRule="auto"/>
              <w:rPr>
                <w:rFonts w:hint="eastAsia" w:ascii="宋体" w:hAnsi="宋体" w:eastAsia="宋体" w:cs="宋体"/>
                <w:color w:val="000000" w:themeColor="text1"/>
                <w:sz w:val="21"/>
                <w:szCs w:val="21"/>
              </w:rPr>
            </w:pPr>
          </w:p>
        </w:tc>
        <w:tc>
          <w:tcPr>
            <w:tcW w:w="10850" w:type="dxa"/>
          </w:tcPr>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规划设计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pStyle w:val="6"/>
              <w:spacing w:line="360" w:lineRule="auto"/>
              <w:ind w:left="0" w:leftChars="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据介绍，公司产品服务流程为：</w:t>
            </w:r>
          </w:p>
          <w:p>
            <w:pPr>
              <w:spacing w:before="40" w:after="40" w:line="360" w:lineRule="auto"/>
              <w:rPr>
                <w:rFonts w:hint="eastAsia" w:ascii="宋体" w:hAnsi="宋体"/>
                <w:color w:val="000000" w:themeColor="text1"/>
                <w:szCs w:val="21"/>
              </w:rPr>
            </w:pPr>
            <w:r>
              <w:rPr>
                <w:rFonts w:hint="eastAsia" w:ascii="宋体" w:hAnsi="宋体"/>
                <w:color w:val="000000" w:themeColor="text1"/>
                <w:szCs w:val="21"/>
              </w:rPr>
              <w:t>数据测绘流程：客户需求</w:t>
            </w:r>
            <w:r>
              <w:rPr>
                <w:rFonts w:hint="eastAsia"/>
                <w:lang w:eastAsia="zh-CN"/>
              </w:rPr>
              <w:t>→</w:t>
            </w:r>
            <w:r>
              <w:rPr>
                <w:rFonts w:hint="eastAsia" w:ascii="宋体" w:hAnsi="宋体"/>
                <w:color w:val="000000" w:themeColor="text1"/>
                <w:szCs w:val="21"/>
              </w:rPr>
              <w:t>合同评审</w:t>
            </w:r>
            <w:r>
              <w:rPr>
                <w:rFonts w:hint="eastAsia"/>
                <w:lang w:eastAsia="zh-CN"/>
              </w:rPr>
              <w:t>→</w:t>
            </w:r>
            <w:r>
              <w:rPr>
                <w:rFonts w:hint="eastAsia" w:ascii="宋体" w:hAnsi="宋体"/>
                <w:color w:val="000000" w:themeColor="text1"/>
                <w:szCs w:val="21"/>
              </w:rPr>
              <w:t>签订合同</w:t>
            </w:r>
            <w:r>
              <w:rPr>
                <w:rFonts w:hint="eastAsia"/>
                <w:lang w:eastAsia="zh-CN"/>
              </w:rPr>
              <w:t>→</w:t>
            </w:r>
            <w:r>
              <w:rPr>
                <w:rFonts w:hint="eastAsia" w:ascii="宋体" w:hAnsi="宋体"/>
                <w:color w:val="000000" w:themeColor="text1"/>
                <w:szCs w:val="21"/>
              </w:rPr>
              <w:t>现场勘察、现场测绘</w:t>
            </w:r>
            <w:r>
              <w:rPr>
                <w:rFonts w:hint="eastAsia"/>
                <w:lang w:eastAsia="zh-CN"/>
              </w:rPr>
              <w:t>→</w:t>
            </w:r>
            <w:r>
              <w:rPr>
                <w:rFonts w:hint="eastAsia" w:ascii="宋体" w:hAnsi="宋体"/>
                <w:color w:val="000000" w:themeColor="text1"/>
                <w:szCs w:val="21"/>
              </w:rPr>
              <w:t>整理资料</w:t>
            </w:r>
            <w:r>
              <w:rPr>
                <w:rFonts w:hint="eastAsia"/>
                <w:lang w:eastAsia="zh-CN"/>
              </w:rPr>
              <w:t>→编制报告→交付客户</w:t>
            </w:r>
          </w:p>
          <w:p>
            <w:pPr>
              <w:spacing w:before="40" w:after="40" w:line="360" w:lineRule="auto"/>
              <w:rPr>
                <w:rFonts w:hint="eastAsia" w:ascii="宋体" w:hAnsi="宋体" w:eastAsia="宋体" w:cs="Times New Roman"/>
                <w:color w:val="000000" w:themeColor="text1"/>
                <w:szCs w:val="21"/>
              </w:rPr>
            </w:pPr>
            <w:r>
              <w:rPr>
                <w:rFonts w:hint="eastAsia" w:ascii="宋体" w:hAnsi="宋体"/>
                <w:color w:val="000000" w:themeColor="text1"/>
                <w:szCs w:val="21"/>
              </w:rPr>
              <w:t>土地规划</w:t>
            </w:r>
            <w:r>
              <w:rPr>
                <w:rFonts w:hint="eastAsia" w:ascii="宋体" w:hAnsi="宋体" w:eastAsia="宋体" w:cs="Times New Roman"/>
                <w:color w:val="000000" w:themeColor="text1"/>
                <w:szCs w:val="21"/>
              </w:rPr>
              <w:t>设计</w:t>
            </w:r>
            <w:r>
              <w:rPr>
                <w:rFonts w:hint="eastAsia" w:ascii="宋体" w:hAnsi="宋体" w:eastAsia="宋体" w:cs="Times New Roman"/>
                <w:color w:val="000000" w:themeColor="text1"/>
                <w:szCs w:val="21"/>
                <w:lang w:eastAsia="zh-CN"/>
              </w:rPr>
              <w:t>、</w:t>
            </w:r>
            <w:r>
              <w:rPr>
                <w:rFonts w:hint="eastAsia" w:ascii="宋体" w:hAnsi="宋体" w:eastAsia="宋体" w:cs="Times New Roman"/>
                <w:color w:val="000000" w:themeColor="text1"/>
                <w:szCs w:val="21"/>
              </w:rPr>
              <w:t>土地复垦开发整理</w:t>
            </w:r>
            <w:r>
              <w:rPr>
                <w:rFonts w:hint="eastAsia" w:ascii="宋体" w:hAnsi="宋体" w:eastAsia="宋体" w:cs="Times New Roman"/>
                <w:color w:val="000000" w:themeColor="text1"/>
                <w:szCs w:val="21"/>
                <w:lang w:eastAsia="zh-CN"/>
              </w:rPr>
              <w:t>、</w:t>
            </w:r>
            <w:r>
              <w:rPr>
                <w:rFonts w:hint="eastAsia" w:ascii="宋体" w:hAnsi="宋体" w:eastAsia="宋体" w:cs="Times New Roman"/>
                <w:color w:val="000000" w:themeColor="text1"/>
                <w:szCs w:val="21"/>
              </w:rPr>
              <w:t>土地调查</w:t>
            </w:r>
            <w:r>
              <w:rPr>
                <w:rFonts w:hint="eastAsia" w:ascii="宋体" w:hAnsi="宋体" w:eastAsia="宋体" w:cs="Times New Roman"/>
                <w:color w:val="000000" w:themeColor="text1"/>
                <w:szCs w:val="21"/>
                <w:lang w:eastAsia="zh-CN"/>
              </w:rPr>
              <w:t>、</w:t>
            </w:r>
            <w:r>
              <w:rPr>
                <w:rFonts w:hint="eastAsia" w:ascii="宋体" w:hAnsi="宋体" w:eastAsia="宋体" w:cs="Times New Roman"/>
                <w:color w:val="000000" w:themeColor="text1"/>
                <w:szCs w:val="21"/>
              </w:rPr>
              <w:t>地质灾害评估</w:t>
            </w:r>
            <w:r>
              <w:rPr>
                <w:rFonts w:hint="eastAsia" w:ascii="宋体" w:hAnsi="宋体" w:eastAsia="宋体" w:cs="Times New Roman"/>
                <w:color w:val="000000" w:themeColor="text1"/>
                <w:szCs w:val="21"/>
                <w:lang w:eastAsia="zh-CN"/>
              </w:rPr>
              <w:t>、</w:t>
            </w:r>
            <w:r>
              <w:rPr>
                <w:rFonts w:hint="eastAsia" w:ascii="宋体" w:hAnsi="宋体" w:eastAsia="宋体" w:cs="Times New Roman"/>
                <w:color w:val="000000" w:themeColor="text1"/>
                <w:szCs w:val="21"/>
              </w:rPr>
              <w:t>社会稳定风险评估流程：合同签订</w:t>
            </w:r>
            <w:r>
              <w:rPr>
                <w:rFonts w:hint="eastAsia" w:ascii="宋体" w:hAnsi="宋体" w:eastAsia="宋体" w:cs="Times New Roman"/>
                <w:color w:val="000000" w:themeColor="text1"/>
                <w:szCs w:val="21"/>
                <w:lang w:eastAsia="zh-CN"/>
              </w:rPr>
              <w:t>→</w:t>
            </w:r>
            <w:r>
              <w:rPr>
                <w:rFonts w:hint="eastAsia" w:ascii="宋体" w:hAnsi="宋体" w:eastAsia="宋体" w:cs="Times New Roman"/>
                <w:color w:val="000000" w:themeColor="text1"/>
                <w:szCs w:val="21"/>
                <w:lang w:val="en-US" w:eastAsia="zh-CN"/>
              </w:rPr>
              <w:t>收集资料</w:t>
            </w:r>
            <w:r>
              <w:rPr>
                <w:rFonts w:hint="eastAsia" w:ascii="宋体" w:hAnsi="宋体" w:eastAsia="宋体" w:cs="Times New Roman"/>
                <w:color w:val="000000" w:themeColor="text1"/>
                <w:szCs w:val="21"/>
                <w:lang w:eastAsia="zh-CN"/>
              </w:rPr>
              <w:t>→</w:t>
            </w:r>
            <w:r>
              <w:rPr>
                <w:rFonts w:hint="eastAsia" w:ascii="宋体" w:hAnsi="宋体" w:eastAsia="宋体" w:cs="Times New Roman"/>
                <w:color w:val="000000" w:themeColor="text1"/>
                <w:szCs w:val="21"/>
              </w:rPr>
              <w:t>数据整理、出图</w:t>
            </w:r>
            <w:r>
              <w:rPr>
                <w:rFonts w:hint="eastAsia" w:ascii="宋体" w:hAnsi="宋体" w:eastAsia="宋体" w:cs="Times New Roman"/>
                <w:color w:val="000000" w:themeColor="text1"/>
                <w:szCs w:val="21"/>
                <w:lang w:eastAsia="zh-CN"/>
              </w:rPr>
              <w:t>→</w:t>
            </w:r>
            <w:r>
              <w:rPr>
                <w:rFonts w:hint="eastAsia" w:ascii="宋体" w:hAnsi="宋体" w:eastAsia="宋体" w:cs="Times New Roman"/>
                <w:color w:val="000000" w:themeColor="text1"/>
                <w:szCs w:val="21"/>
              </w:rPr>
              <w:t>报告编制</w:t>
            </w:r>
            <w:r>
              <w:rPr>
                <w:rFonts w:hint="eastAsia" w:ascii="宋体" w:hAnsi="宋体" w:eastAsia="宋体" w:cs="Times New Roman"/>
                <w:color w:val="000000" w:themeColor="text1"/>
                <w:szCs w:val="21"/>
                <w:lang w:eastAsia="zh-CN"/>
              </w:rPr>
              <w:t>→交付客户</w:t>
            </w:r>
            <w:r>
              <w:rPr>
                <w:rFonts w:hint="eastAsia" w:ascii="宋体" w:hAnsi="宋体" w:eastAsia="宋体" w:cs="Times New Roman"/>
                <w:color w:val="000000" w:themeColor="text1"/>
                <w:szCs w:val="21"/>
              </w:rPr>
              <w:t>。</w:t>
            </w:r>
          </w:p>
          <w:p>
            <w:pPr>
              <w:pStyle w:val="6"/>
              <w:spacing w:line="360" w:lineRule="auto"/>
              <w:ind w:left="0" w:leftChars="0" w:firstLine="0" w:firstLineChars="0"/>
              <w:rPr>
                <w:rFonts w:hint="eastAsia" w:ascii="宋体" w:hAnsi="宋体" w:eastAsia="宋体" w:cs="Times New Roman"/>
                <w:color w:val="000000" w:themeColor="text1"/>
                <w:szCs w:val="21"/>
                <w:lang w:eastAsia="zh-CN"/>
              </w:rPr>
            </w:pPr>
            <w:r>
              <w:rPr>
                <w:rFonts w:hint="eastAsia" w:ascii="宋体" w:hAnsi="宋体" w:eastAsia="宋体" w:cs="Times New Roman"/>
                <w:color w:val="000000" w:themeColor="text1"/>
                <w:szCs w:val="21"/>
              </w:rPr>
              <w:t>计算机软件的开发流程</w:t>
            </w:r>
            <w:r>
              <w:rPr>
                <w:rFonts w:hint="eastAsia" w:ascii="宋体" w:hAnsi="宋体" w:eastAsia="宋体" w:cs="Times New Roman"/>
                <w:color w:val="000000" w:themeColor="text1"/>
                <w:szCs w:val="21"/>
                <w:lang w:eastAsia="zh-CN"/>
              </w:rPr>
              <w:t>：编制技术方案→技术方案评审→设计开发计划→设计开发实施→设计评审→设计确认→客户确认</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查不可接受风险源：</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1）火灾；2）触电；</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查重要环境因素：</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1）潜在火灾；2）固废排放；</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查看，公司制订的相应的安全管理制度及管理方案，对不可接受风险源进行管控。</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据称：对火灾应急设施、安防设施运行情况等进行了检查维护。如：</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查，服务</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张贴有“请勿吸烟”标识；</w:t>
            </w:r>
          </w:p>
          <w:p>
            <w:pPr>
              <w:pStyle w:val="6"/>
              <w:spacing w:line="360" w:lineRule="auto"/>
              <w:rPr>
                <w:rFonts w:hint="eastAsia" w:ascii="宋体" w:hAnsi="宋体" w:eastAsia="宋体" w:cs="宋体"/>
                <w:color w:val="000000" w:themeColor="text1"/>
                <w:sz w:val="21"/>
                <w:szCs w:val="21"/>
              </w:rPr>
            </w:pP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查看：服务</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未发现大功率电器使用。</w:t>
            </w:r>
          </w:p>
          <w:p>
            <w:pPr>
              <w:pStyle w:val="6"/>
              <w:spacing w:line="360" w:lineRule="auto"/>
              <w:rPr>
                <w:rFonts w:hint="eastAsia" w:ascii="宋体" w:hAnsi="宋体" w:eastAsia="宋体" w:cs="宋体"/>
                <w:color w:val="000000" w:themeColor="text1"/>
                <w:sz w:val="21"/>
                <w:szCs w:val="21"/>
              </w:rPr>
            </w:pP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查看：</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电线有穿管保护，固定布局、</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有禁止吸烟提醒。</w:t>
            </w:r>
          </w:p>
          <w:p>
            <w:pPr>
              <w:pStyle w:val="6"/>
              <w:spacing w:line="360" w:lineRule="auto"/>
              <w:rPr>
                <w:rFonts w:hint="eastAsia" w:ascii="宋体" w:hAnsi="宋体" w:eastAsia="宋体" w:cs="宋体"/>
                <w:color w:val="000000" w:themeColor="text1"/>
                <w:sz w:val="21"/>
                <w:szCs w:val="21"/>
              </w:rPr>
            </w:pP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查看：查见公司办公过程中产生的废弃物等一般固废有处理，能提供固废管理运行检查记录。</w:t>
            </w:r>
          </w:p>
          <w:p>
            <w:pPr>
              <w:pStyle w:val="6"/>
              <w:spacing w:line="360" w:lineRule="auto"/>
              <w:rPr>
                <w:rFonts w:hint="eastAsia" w:ascii="宋体" w:hAnsi="宋体" w:eastAsia="宋体" w:cs="宋体"/>
                <w:color w:val="000000" w:themeColor="text1"/>
                <w:sz w:val="21"/>
                <w:szCs w:val="21"/>
              </w:rPr>
            </w:pP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查看：有园区公共场所、走廊有分类垃圾桶、灭火器、消防栓放置区并有专人检查记录；</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809" w:type="dxa"/>
          </w:tcPr>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p>
          <w:p>
            <w:pPr>
              <w:adjustRightInd w:val="0"/>
              <w:snapToGrid w:val="0"/>
              <w:spacing w:line="360" w:lineRule="auto"/>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应急准备和响应</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E</w:t>
            </w:r>
            <w:r>
              <w:rPr>
                <w:rFonts w:hint="eastAsia" w:ascii="宋体" w:hAnsi="宋体" w:eastAsia="宋体" w:cs="宋体"/>
                <w:color w:val="000000" w:themeColor="text1"/>
                <w:sz w:val="21"/>
                <w:szCs w:val="21"/>
                <w:lang w:val="en-US" w:eastAsia="zh-CN"/>
              </w:rPr>
              <w:t>O：</w:t>
            </w:r>
            <w:r>
              <w:rPr>
                <w:rFonts w:hint="eastAsia" w:ascii="宋体" w:hAnsi="宋体" w:eastAsia="宋体" w:cs="宋体"/>
                <w:color w:val="000000" w:themeColor="text1"/>
                <w:sz w:val="21"/>
                <w:szCs w:val="21"/>
              </w:rPr>
              <w:t>8.2</w:t>
            </w:r>
          </w:p>
          <w:p>
            <w:pPr>
              <w:spacing w:line="360" w:lineRule="auto"/>
              <w:rPr>
                <w:rFonts w:hint="eastAsia" w:ascii="宋体" w:hAnsi="宋体" w:eastAsia="宋体" w:cs="宋体"/>
                <w:color w:val="000000" w:themeColor="text1"/>
                <w:sz w:val="21"/>
                <w:szCs w:val="21"/>
              </w:rPr>
            </w:pPr>
          </w:p>
        </w:tc>
        <w:tc>
          <w:tcPr>
            <w:tcW w:w="10850"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规划设计部按照策划的《应急准备和响应程序》《火灾应急预案》等，明确了相应的运行准则。</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技术服务、研发过程中加强用电安全，防止触电事故和火灾事故的发生，安装了漏电保护器。</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提供</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查消毒水、测温枪及预防新冠肺炎措施隔断及“禁止吸烟”，“小心触电” 等环保、安全警示标识。</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配有急救药箱，箱内有创可贴、消毒酒精、碘伏、棉棒、藿香正气水等。</w:t>
            </w:r>
          </w:p>
          <w:p>
            <w:pPr>
              <w:pStyle w:val="6"/>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自体系运行以来未出现应急事故情况。</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标识和可追溯性</w:t>
            </w:r>
          </w:p>
        </w:tc>
        <w:tc>
          <w:tcPr>
            <w:tcW w:w="1311"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Q8.5.2</w:t>
            </w:r>
          </w:p>
        </w:tc>
        <w:tc>
          <w:tcPr>
            <w:tcW w:w="10850" w:type="dxa"/>
            <w:vAlign w:val="center"/>
          </w:tcPr>
          <w:p>
            <w:pPr>
              <w:spacing w:line="360" w:lineRule="auto"/>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公司编制《档案管理制度》。</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防止在设计过程</w:t>
            </w:r>
            <w:r>
              <w:rPr>
                <w:rFonts w:hint="eastAsia" w:ascii="宋体" w:hAnsi="宋体" w:eastAsia="宋体" w:cs="宋体"/>
                <w:color w:val="000000" w:themeColor="text1"/>
                <w:sz w:val="21"/>
                <w:szCs w:val="21"/>
              </w:rPr>
              <w:t>及检测原始数据</w:t>
            </w:r>
            <w:r>
              <w:rPr>
                <w:rFonts w:hint="eastAsia" w:ascii="宋体" w:hAnsi="宋体" w:eastAsia="宋体" w:cs="宋体"/>
                <w:color w:val="000000" w:themeColor="text1"/>
                <w:sz w:val="21"/>
                <w:szCs w:val="21"/>
                <w:lang w:eastAsia="zh-TW"/>
              </w:rPr>
              <w:t>引起混淆和误用，通常文件</w:t>
            </w:r>
            <w:r>
              <w:rPr>
                <w:rFonts w:hint="eastAsia" w:ascii="宋体" w:hAnsi="宋体" w:eastAsia="宋体" w:cs="宋体"/>
                <w:color w:val="000000" w:themeColor="text1"/>
                <w:sz w:val="21"/>
                <w:szCs w:val="21"/>
              </w:rPr>
              <w:t>的编号与</w:t>
            </w:r>
            <w:r>
              <w:rPr>
                <w:rFonts w:hint="eastAsia" w:ascii="宋体" w:hAnsi="宋体" w:eastAsia="宋体" w:cs="宋体"/>
                <w:color w:val="000000" w:themeColor="text1"/>
                <w:sz w:val="21"/>
                <w:szCs w:val="21"/>
                <w:lang w:eastAsia="zh-TW"/>
              </w:rPr>
              <w:t>电脑中数据</w:t>
            </w:r>
            <w:r>
              <w:rPr>
                <w:rFonts w:hint="eastAsia" w:ascii="宋体" w:hAnsi="宋体" w:eastAsia="宋体" w:cs="宋体"/>
                <w:color w:val="000000" w:themeColor="text1"/>
                <w:sz w:val="21"/>
                <w:szCs w:val="21"/>
              </w:rPr>
              <w:t>一致</w:t>
            </w:r>
            <w:r>
              <w:rPr>
                <w:rFonts w:hint="eastAsia" w:ascii="宋体" w:hAnsi="宋体" w:eastAsia="宋体" w:cs="宋体"/>
                <w:color w:val="000000" w:themeColor="text1"/>
                <w:sz w:val="21"/>
                <w:szCs w:val="21"/>
                <w:lang w:eastAsia="zh-TW"/>
              </w:rPr>
              <w:t>产品标识表明了以下特征：</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a）</w:t>
            </w:r>
            <w:r>
              <w:rPr>
                <w:rFonts w:hint="eastAsia" w:ascii="宋体" w:hAnsi="宋体" w:eastAsia="宋体" w:cs="宋体"/>
                <w:color w:val="000000" w:themeColor="text1"/>
                <w:sz w:val="21"/>
                <w:szCs w:val="21"/>
                <w:lang w:eastAsia="zh-TW"/>
              </w:rPr>
              <w:t>名称</w:t>
            </w:r>
            <w:r>
              <w:rPr>
                <w:rFonts w:hint="eastAsia" w:ascii="宋体" w:hAnsi="宋体" w:eastAsia="宋体" w:cs="宋体"/>
                <w:color w:val="000000" w:themeColor="text1"/>
                <w:sz w:val="21"/>
                <w:szCs w:val="21"/>
              </w:rPr>
              <w:t>、出厂编号、型号/规格、制造单位、证书编号、依据标准、环境温度、环境湿度、软件版本号、日期、人员等信息。</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b）测量状态标识，可在设计验证的有关规定中阐明测量状态的标识，一般在校审记录中标明测量状态。</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c）可追溯性标识</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产品标识的管理符合标准要求。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809"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防护</w:t>
            </w:r>
          </w:p>
        </w:tc>
        <w:tc>
          <w:tcPr>
            <w:tcW w:w="1311"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Q8.5.4</w:t>
            </w:r>
          </w:p>
        </w:tc>
        <w:tc>
          <w:tcPr>
            <w:tcW w:w="10850" w:type="dxa"/>
            <w:vAlign w:val="center"/>
          </w:tcPr>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rPr>
              <w:t>质量</w:t>
            </w:r>
            <w:r>
              <w:rPr>
                <w:rFonts w:hint="eastAsia" w:ascii="宋体" w:hAnsi="宋体" w:eastAsia="宋体" w:cs="宋体"/>
                <w:color w:val="000000" w:themeColor="text1"/>
                <w:sz w:val="21"/>
                <w:szCs w:val="21"/>
                <w:lang w:eastAsia="zh-TW"/>
              </w:rPr>
              <w:t>技术部负责档案文件、编程代码的防护，包括标识、搬运、包装、贮存和保护。</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设计</w:t>
            </w:r>
            <w:r>
              <w:rPr>
                <w:rFonts w:hint="eastAsia" w:ascii="宋体" w:hAnsi="宋体" w:eastAsia="宋体" w:cs="宋体"/>
                <w:color w:val="000000" w:themeColor="text1"/>
                <w:sz w:val="21"/>
                <w:szCs w:val="21"/>
              </w:rPr>
              <w:t>、检测</w:t>
            </w:r>
            <w:r>
              <w:rPr>
                <w:rFonts w:hint="eastAsia" w:ascii="宋体" w:hAnsi="宋体" w:eastAsia="宋体" w:cs="宋体"/>
                <w:color w:val="000000" w:themeColor="text1"/>
                <w:sz w:val="21"/>
                <w:szCs w:val="21"/>
                <w:lang w:eastAsia="zh-TW"/>
              </w:rPr>
              <w:t>的文件</w:t>
            </w:r>
            <w:r>
              <w:rPr>
                <w:rFonts w:hint="eastAsia" w:ascii="宋体" w:hAnsi="宋体" w:eastAsia="宋体" w:cs="宋体"/>
                <w:color w:val="000000" w:themeColor="text1"/>
                <w:sz w:val="21"/>
                <w:szCs w:val="21"/>
              </w:rPr>
              <w:t>、</w:t>
            </w:r>
            <w:r>
              <w:rPr>
                <w:rFonts w:hint="eastAsia" w:ascii="宋体" w:hAnsi="宋体" w:eastAsia="宋体" w:cs="宋体"/>
                <w:color w:val="000000" w:themeColor="text1"/>
                <w:sz w:val="21"/>
                <w:szCs w:val="21"/>
                <w:lang w:eastAsia="zh-TW"/>
              </w:rPr>
              <w:t>在内部交接和交付顾客期间，包括存档期内，都符合相关防护要求。</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lang w:eastAsia="zh-TW"/>
              </w:rPr>
              <w:t>检查：档案橱内文件分类存放，有专用文件夹，标明了文件档案的名称。档案橱上锁保密，电脑设置了密码，安装有电脑保密系统软件，文件编程代码有密码保护。</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产品防护的管理符合标准要求。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1809"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顾客或外部供方财产</w:t>
            </w:r>
          </w:p>
        </w:tc>
        <w:tc>
          <w:tcPr>
            <w:tcW w:w="1311"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Q8.5.3</w:t>
            </w:r>
          </w:p>
        </w:tc>
        <w:tc>
          <w:tcPr>
            <w:tcW w:w="10850" w:type="dxa"/>
            <w:vAlign w:val="center"/>
          </w:tcPr>
          <w:p>
            <w:pPr>
              <w:spacing w:line="360" w:lineRule="auto"/>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该公司顾客或外部财产主要为顾客的技术要求、商业信息和订单合同，</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lang w:eastAsia="zh-TW"/>
              </w:rPr>
              <w:t>未发现有其他顾客财产的涉及。客户财产由</w:t>
            </w:r>
            <w:r>
              <w:rPr>
                <w:rFonts w:hint="eastAsia" w:ascii="宋体" w:hAnsi="宋体" w:eastAsia="宋体" w:cs="宋体"/>
                <w:color w:val="000000" w:themeColor="text1"/>
                <w:sz w:val="21"/>
                <w:szCs w:val="21"/>
              </w:rPr>
              <w:t>质量</w:t>
            </w:r>
            <w:r>
              <w:rPr>
                <w:rFonts w:hint="eastAsia" w:ascii="宋体" w:hAnsi="宋体" w:eastAsia="宋体" w:cs="宋体"/>
                <w:color w:val="000000" w:themeColor="text1"/>
                <w:sz w:val="21"/>
                <w:szCs w:val="21"/>
                <w:lang w:eastAsia="zh-TW"/>
              </w:rPr>
              <w:t>技术部负责管理，经查未发生客户财产丢失或损坏以及顾客的保密信息外泄的情况。</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809"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交付后的活动</w:t>
            </w:r>
          </w:p>
        </w:tc>
        <w:tc>
          <w:tcPr>
            <w:tcW w:w="1311" w:type="dxa"/>
          </w:tcPr>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rPr>
                <w:rFonts w:hint="eastAsia" w:ascii="宋体" w:hAnsi="宋体" w:eastAsia="宋体" w:cs="宋体"/>
                <w:bCs/>
                <w:color w:val="000000" w:themeColor="text1"/>
                <w:sz w:val="21"/>
                <w:szCs w:val="21"/>
              </w:rPr>
            </w:pPr>
            <w:r>
              <w:rPr>
                <w:rFonts w:hint="eastAsia" w:ascii="宋体" w:hAnsi="宋体" w:eastAsia="宋体" w:cs="宋体"/>
                <w:color w:val="000000" w:themeColor="text1"/>
                <w:sz w:val="21"/>
                <w:szCs w:val="21"/>
              </w:rPr>
              <w:t>Q8.5.5</w:t>
            </w:r>
            <w:r>
              <w:rPr>
                <w:rFonts w:hint="eastAsia" w:ascii="宋体" w:hAnsi="宋体" w:eastAsia="宋体" w:cs="宋体"/>
                <w:bCs/>
                <w:color w:val="000000" w:themeColor="text1"/>
                <w:sz w:val="21"/>
                <w:szCs w:val="21"/>
              </w:rPr>
              <w:t xml:space="preserve"> </w:t>
            </w:r>
          </w:p>
        </w:tc>
        <w:tc>
          <w:tcPr>
            <w:tcW w:w="10850"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与客户业务负责人进行沟通：组织通过与客户签订合同的形式对交付后的活动进行规定；内容包括了：法律法规要求，交付后不合格的处理，产品的用途，顾客的要求等；</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暂无交付后违反法律法规要求、违法合同要求、严重客户投诉的情况，据负责人介绍如以后有会收到客户投诉通过邮件或者会议将信息传递给相关过程/部门。</w:t>
            </w:r>
          </w:p>
          <w:p>
            <w:pPr>
              <w:spacing w:line="360" w:lineRule="auto"/>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 xml:space="preserve"> 基本满足要求。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变更控制</w:t>
            </w:r>
          </w:p>
        </w:tc>
        <w:tc>
          <w:tcPr>
            <w:tcW w:w="1311" w:type="dxa"/>
            <w:vAlign w:val="center"/>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Q8.5.6</w:t>
            </w:r>
          </w:p>
        </w:tc>
        <w:tc>
          <w:tcPr>
            <w:tcW w:w="10850" w:type="dxa"/>
            <w:vAlign w:val="center"/>
          </w:tcPr>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TW"/>
              </w:rPr>
              <w:t>据</w:t>
            </w:r>
            <w:r>
              <w:rPr>
                <w:rFonts w:hint="eastAsia" w:ascii="宋体" w:hAnsi="宋体" w:eastAsia="宋体" w:cs="宋体"/>
                <w:color w:val="000000" w:themeColor="text1"/>
                <w:sz w:val="21"/>
                <w:szCs w:val="21"/>
              </w:rPr>
              <w:t>质量</w:t>
            </w:r>
            <w:r>
              <w:rPr>
                <w:rFonts w:hint="eastAsia" w:ascii="宋体" w:hAnsi="宋体" w:eastAsia="宋体" w:cs="宋体"/>
                <w:color w:val="000000" w:themeColor="text1"/>
                <w:sz w:val="21"/>
                <w:szCs w:val="21"/>
                <w:lang w:eastAsia="zh-TW"/>
              </w:rPr>
              <w:t>技术负责人介绍目前顾客、供方比较稳定，有关的法律法规没有发生变化，公司的设备、设施、人员、</w:t>
            </w:r>
            <w:r>
              <w:rPr>
                <w:rFonts w:hint="eastAsia" w:ascii="宋体" w:hAnsi="宋体" w:eastAsia="宋体" w:cs="宋体"/>
                <w:color w:val="000000" w:themeColor="text1"/>
                <w:sz w:val="21"/>
                <w:szCs w:val="21"/>
              </w:rPr>
              <w:t>检测规程</w:t>
            </w:r>
            <w:r>
              <w:rPr>
                <w:rFonts w:hint="eastAsia" w:ascii="宋体" w:hAnsi="宋体" w:eastAsia="宋体" w:cs="宋体"/>
                <w:color w:val="000000" w:themeColor="text1"/>
                <w:sz w:val="21"/>
                <w:szCs w:val="21"/>
                <w:lang w:eastAsia="zh-TW"/>
              </w:rPr>
              <w:t>都比较固定，在设计服务过程中发生的更改</w:t>
            </w:r>
            <w:r>
              <w:rPr>
                <w:rFonts w:hint="eastAsia" w:ascii="宋体" w:hAnsi="宋体" w:eastAsia="宋体" w:cs="宋体"/>
                <w:color w:val="000000" w:themeColor="text1"/>
                <w:sz w:val="21"/>
                <w:szCs w:val="21"/>
              </w:rPr>
              <w:t>需</w:t>
            </w:r>
            <w:r>
              <w:rPr>
                <w:rFonts w:hint="eastAsia" w:ascii="宋体" w:hAnsi="宋体" w:eastAsia="宋体" w:cs="宋体"/>
                <w:color w:val="000000" w:themeColor="text1"/>
                <w:sz w:val="21"/>
                <w:szCs w:val="21"/>
                <w:lang w:eastAsia="zh-TW"/>
              </w:rPr>
              <w:t>得到评审确认</w:t>
            </w:r>
            <w:r>
              <w:rPr>
                <w:rFonts w:hint="eastAsia" w:ascii="宋体" w:hAnsi="宋体" w:eastAsia="宋体" w:cs="宋体"/>
                <w:color w:val="000000" w:themeColor="text1"/>
                <w:sz w:val="21"/>
                <w:szCs w:val="21"/>
              </w:rPr>
              <w:t>。</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spacing w:line="360" w:lineRule="auto"/>
              <w:rPr>
                <w:rFonts w:hint="eastAsia" w:ascii="宋体" w:hAnsi="宋体" w:eastAsia="宋体" w:cs="宋体"/>
                <w:color w:val="000000" w:themeColor="text1"/>
                <w:spacing w:val="-10"/>
                <w:sz w:val="21"/>
                <w:szCs w:val="21"/>
              </w:rPr>
            </w:pPr>
            <w:r>
              <w:rPr>
                <w:rFonts w:hint="eastAsia" w:ascii="宋体" w:hAnsi="宋体" w:eastAsia="宋体" w:cs="宋体"/>
                <w:color w:val="000000" w:themeColor="text1"/>
                <w:sz w:val="21"/>
                <w:szCs w:val="21"/>
              </w:rPr>
              <w:t>产品和服务的放行</w:t>
            </w:r>
          </w:p>
        </w:tc>
        <w:tc>
          <w:tcPr>
            <w:tcW w:w="1311" w:type="dxa"/>
          </w:tcPr>
          <w:p>
            <w:pPr>
              <w:spacing w:line="360" w:lineRule="auto"/>
              <w:ind w:left="105"/>
              <w:rPr>
                <w:rFonts w:hint="eastAsia" w:ascii="宋体" w:hAnsi="宋体" w:eastAsia="宋体" w:cs="宋体"/>
                <w:color w:val="000000" w:themeColor="text1"/>
                <w:sz w:val="21"/>
                <w:szCs w:val="21"/>
              </w:rPr>
            </w:pPr>
          </w:p>
          <w:p>
            <w:pPr>
              <w:spacing w:line="360" w:lineRule="auto"/>
              <w:rPr>
                <w:rFonts w:hint="eastAsia" w:ascii="宋体" w:hAnsi="宋体" w:eastAsia="宋体" w:cs="宋体"/>
                <w:color w:val="000000" w:themeColor="text1"/>
                <w:sz w:val="21"/>
                <w:szCs w:val="21"/>
              </w:rPr>
            </w:pPr>
          </w:p>
          <w:p>
            <w:pPr>
              <w:spacing w:line="360" w:lineRule="auto"/>
              <w:ind w:left="105"/>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Q8.6 </w:t>
            </w:r>
          </w:p>
          <w:p>
            <w:pPr>
              <w:spacing w:line="360" w:lineRule="auto"/>
              <w:ind w:left="105"/>
              <w:rPr>
                <w:rFonts w:hint="eastAsia" w:ascii="宋体" w:hAnsi="宋体" w:eastAsia="宋体" w:cs="宋体"/>
                <w:color w:val="000000" w:themeColor="text1"/>
                <w:sz w:val="21"/>
                <w:szCs w:val="21"/>
              </w:rPr>
            </w:pPr>
          </w:p>
        </w:tc>
        <w:tc>
          <w:tcPr>
            <w:tcW w:w="10850" w:type="dxa"/>
          </w:tcPr>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rPr>
              <w:t>设计软件</w:t>
            </w:r>
            <w:r>
              <w:rPr>
                <w:rFonts w:hint="eastAsia" w:ascii="宋体" w:hAnsi="宋体" w:eastAsia="宋体" w:cs="宋体"/>
                <w:color w:val="000000" w:themeColor="text1"/>
                <w:sz w:val="21"/>
                <w:szCs w:val="21"/>
                <w:lang w:eastAsia="zh-TW"/>
              </w:rPr>
              <w:t>经验证后，由技术人员进行相关全套资料的整理，在整理过程中查看内容是否正确，全套资料整理完成后递交</w:t>
            </w:r>
            <w:r>
              <w:rPr>
                <w:rFonts w:hint="eastAsia" w:ascii="宋体" w:hAnsi="宋体" w:eastAsia="宋体" w:cs="宋体"/>
                <w:color w:val="000000" w:themeColor="text1"/>
                <w:sz w:val="21"/>
                <w:szCs w:val="21"/>
              </w:rPr>
              <w:t>质量</w:t>
            </w:r>
            <w:r>
              <w:rPr>
                <w:rFonts w:hint="eastAsia" w:ascii="宋体" w:hAnsi="宋体" w:eastAsia="宋体" w:cs="宋体"/>
                <w:color w:val="000000" w:themeColor="text1"/>
                <w:sz w:val="21"/>
                <w:szCs w:val="21"/>
                <w:lang w:eastAsia="zh-TW"/>
              </w:rPr>
              <w:t>技术部经理和总经理进行复核，确认无误后才交付。</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客户</w:t>
            </w:r>
            <w:r>
              <w:rPr>
                <w:rFonts w:hint="eastAsia" w:ascii="宋体" w:hAnsi="宋体" w:eastAsia="宋体" w:cs="宋体"/>
                <w:color w:val="000000" w:themeColor="text1"/>
                <w:sz w:val="21"/>
                <w:szCs w:val="21"/>
              </w:rPr>
              <w:t xml:space="preserve">的计量设备检测校准证书 </w:t>
            </w:r>
            <w:r>
              <w:rPr>
                <w:rFonts w:hint="eastAsia" w:ascii="宋体" w:hAnsi="宋体" w:eastAsia="宋体" w:cs="宋体"/>
                <w:color w:val="000000" w:themeColor="text1"/>
                <w:sz w:val="21"/>
                <w:szCs w:val="21"/>
                <w:lang w:eastAsia="zh-TW"/>
              </w:rPr>
              <w:t>由公司出具报告并备案存档。</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采购产品验证及销售服务质量检查参见市场开发部8.2、8.5.1审核记录。</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TW"/>
              </w:rPr>
              <w:t>公司产品的监视和测量控制基本符合规定要求。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809" w:type="dxa"/>
          </w:tcPr>
          <w:p>
            <w:pPr>
              <w:spacing w:line="360" w:lineRule="auto"/>
              <w:rPr>
                <w:rFonts w:hint="eastAsia" w:ascii="宋体" w:hAnsi="宋体" w:eastAsia="宋体" w:cs="宋体"/>
                <w:b/>
                <w:color w:val="000000" w:themeColor="text1"/>
                <w:sz w:val="21"/>
                <w:szCs w:val="21"/>
              </w:rPr>
            </w:pPr>
            <w:r>
              <w:rPr>
                <w:rFonts w:hint="eastAsia" w:ascii="宋体" w:hAnsi="宋体" w:eastAsia="宋体" w:cs="宋体"/>
                <w:color w:val="000000" w:themeColor="text1"/>
                <w:sz w:val="21"/>
                <w:szCs w:val="21"/>
              </w:rPr>
              <w:t>不合格输出的控制</w:t>
            </w:r>
          </w:p>
        </w:tc>
        <w:tc>
          <w:tcPr>
            <w:tcW w:w="1311"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Q8.7 </w:t>
            </w:r>
          </w:p>
          <w:p>
            <w:pPr>
              <w:spacing w:line="360" w:lineRule="auto"/>
              <w:ind w:left="105"/>
              <w:rPr>
                <w:rFonts w:hint="eastAsia" w:ascii="宋体" w:hAnsi="宋体" w:eastAsia="宋体" w:cs="宋体"/>
                <w:color w:val="000000" w:themeColor="text1"/>
                <w:sz w:val="21"/>
                <w:szCs w:val="21"/>
              </w:rPr>
            </w:pPr>
          </w:p>
        </w:tc>
        <w:tc>
          <w:tcPr>
            <w:tcW w:w="10850" w:type="dxa"/>
          </w:tcPr>
          <w:p>
            <w:pPr>
              <w:spacing w:line="360" w:lineRule="auto"/>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公司制定并执行了《不合格输出控制程序》，文件对不合格品的识别、控制方法、职责权限作出了具体规定，基本符合标准要求。</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设计</w:t>
            </w:r>
            <w:r>
              <w:rPr>
                <w:rFonts w:hint="eastAsia" w:ascii="宋体" w:hAnsi="宋体" w:eastAsia="宋体" w:cs="宋体"/>
                <w:color w:val="000000" w:themeColor="text1"/>
                <w:sz w:val="21"/>
                <w:szCs w:val="21"/>
              </w:rPr>
              <w:t>、检测</w:t>
            </w:r>
            <w:r>
              <w:rPr>
                <w:rFonts w:hint="eastAsia" w:ascii="宋体" w:hAnsi="宋体" w:eastAsia="宋体" w:cs="宋体"/>
                <w:color w:val="000000" w:themeColor="text1"/>
                <w:sz w:val="21"/>
                <w:szCs w:val="21"/>
                <w:lang w:eastAsia="zh-TW"/>
              </w:rPr>
              <w:t>过程中的不合格品即校审、评审、验证、确认各阶段的不符合，通常采用设计更改的方式进行。经了解，暂无设计过程的不合格品发生进行更改。</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公司能够使</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lang w:eastAsia="zh-TW"/>
              </w:rPr>
              <w:t>不合格品得到有效识别，并防止非预期使用和交付。</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产品交付后没有发现不合格的情况，不合格品控制有效。</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809" w:type="dxa"/>
            <w:vAlign w:val="top"/>
          </w:tcPr>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r>
              <w:rPr>
                <w:rFonts w:hint="eastAsia" w:ascii="宋体" w:hAnsi="宋体" w:eastAsia="宋体" w:cs="宋体"/>
                <w:bCs/>
                <w:color w:val="000000" w:themeColor="text1"/>
                <w:sz w:val="21"/>
                <w:szCs w:val="21"/>
              </w:rPr>
              <w:t>环境因素</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bCs/>
                <w:color w:val="000000" w:themeColor="text1"/>
                <w:sz w:val="21"/>
                <w:szCs w:val="21"/>
              </w:rPr>
              <w:t>危险源</w:t>
            </w:r>
          </w:p>
        </w:tc>
        <w:tc>
          <w:tcPr>
            <w:tcW w:w="1311" w:type="dxa"/>
            <w:vAlign w:val="top"/>
          </w:tcPr>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r>
              <w:rPr>
                <w:rFonts w:hint="eastAsia" w:ascii="宋体" w:hAnsi="宋体" w:eastAsia="宋体" w:cs="宋体"/>
                <w:bCs/>
                <w:color w:val="000000" w:themeColor="text1"/>
                <w:sz w:val="21"/>
                <w:szCs w:val="21"/>
              </w:rPr>
              <w:t>EO6.1.2</w:t>
            </w:r>
          </w:p>
          <w:p>
            <w:pPr>
              <w:spacing w:line="360" w:lineRule="auto"/>
              <w:rPr>
                <w:rFonts w:hint="eastAsia" w:ascii="宋体" w:hAnsi="宋体" w:eastAsia="宋体" w:cs="宋体"/>
                <w:color w:val="000000" w:themeColor="text1"/>
                <w:sz w:val="21"/>
                <w:szCs w:val="21"/>
              </w:rPr>
            </w:pPr>
          </w:p>
        </w:tc>
        <w:tc>
          <w:tcPr>
            <w:tcW w:w="10850" w:type="dxa"/>
            <w:vAlign w:val="top"/>
          </w:tcPr>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提供了《环境因素的识别、评价控制程序》、《危险源辨识、风险评价和控制措施确定控制程序》，对环境因素、危险源的识别、评价结果、控制手段等做出了规定。</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部门负责人介绍了对环境因素、危险源进行了辨识，考虑了三种时态，过去、现在和将来，三种状态，正常、异常和紧急，按照办公区域及工作过程，另外按照区域及工作过程等进行了辨识。</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查《</w:t>
            </w:r>
            <w:r>
              <w:rPr>
                <w:rFonts w:hint="eastAsia" w:ascii="宋体" w:hAnsi="宋体" w:eastAsia="宋体" w:cs="宋体"/>
                <w:color w:val="000000" w:themeColor="text1"/>
                <w:sz w:val="21"/>
                <w:szCs w:val="21"/>
              </w:rPr>
              <w:t>规划设计部</w:t>
            </w:r>
            <w:r>
              <w:rPr>
                <w:rFonts w:hint="eastAsia" w:ascii="宋体" w:hAnsi="宋体" w:eastAsia="宋体" w:cs="宋体"/>
                <w:color w:val="000000" w:themeColor="text1"/>
                <w:sz w:val="21"/>
                <w:szCs w:val="21"/>
                <w:lang w:eastAsia="zh-TW"/>
              </w:rPr>
              <w:t>环境因素识别评价表》，对本部门</w:t>
            </w:r>
            <w:r>
              <w:rPr>
                <w:rFonts w:hint="eastAsia" w:ascii="宋体" w:hAnsi="宋体" w:eastAsia="宋体" w:cs="宋体"/>
                <w:color w:val="000000" w:themeColor="text1"/>
                <w:sz w:val="21"/>
                <w:szCs w:val="21"/>
              </w:rPr>
              <w:t>检测</w:t>
            </w:r>
            <w:r>
              <w:rPr>
                <w:rFonts w:hint="eastAsia" w:ascii="宋体" w:hAnsi="宋体" w:eastAsia="宋体" w:cs="宋体"/>
                <w:color w:val="000000" w:themeColor="text1"/>
                <w:sz w:val="21"/>
                <w:szCs w:val="21"/>
                <w:lang w:eastAsia="zh-TW"/>
              </w:rPr>
              <w:t>和办公等有关过程的环境因素。分别识别了日常办公过程中的固废（废电池、灯管、墨盒、笔）造成的地面污染、水资源利用（拖地、厕所用水）的水资源消耗、照明、空调、办公设施等电能消耗、意外火灾引起的污染大气、污染地面、资源消耗、</w:t>
            </w:r>
            <w:r>
              <w:rPr>
                <w:rFonts w:hint="eastAsia" w:ascii="宋体" w:hAnsi="宋体" w:eastAsia="宋体" w:cs="宋体"/>
                <w:color w:val="000000" w:themeColor="text1"/>
                <w:sz w:val="21"/>
                <w:szCs w:val="21"/>
              </w:rPr>
              <w:t>检测</w:t>
            </w:r>
            <w:r>
              <w:rPr>
                <w:rFonts w:hint="eastAsia" w:ascii="宋体" w:hAnsi="宋体" w:eastAsia="宋体" w:cs="宋体"/>
                <w:color w:val="000000" w:themeColor="text1"/>
                <w:sz w:val="21"/>
                <w:szCs w:val="21"/>
                <w:lang w:eastAsia="zh-TW"/>
              </w:rPr>
              <w:t>过程（固废、噪声排放、火灾、电能消耗、粉尘排放、噪声超标）、设备维修（废弃丢弃、漏油、更换新部件）等环境因素。</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查到：《重要环境因素清单》，公司涉及重要环境因素：固体废弃物的排放、潜在火灾等，本部门涉及的重要环境因素：均有涉及。</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lang w:eastAsia="zh-TW"/>
              </w:rPr>
              <w:t>查《危险源辨识及风险评价表》，部门：</w:t>
            </w:r>
            <w:r>
              <w:rPr>
                <w:rFonts w:hint="eastAsia" w:ascii="宋体" w:hAnsi="宋体" w:eastAsia="宋体" w:cs="宋体"/>
                <w:color w:val="000000" w:themeColor="text1"/>
                <w:sz w:val="21"/>
                <w:szCs w:val="21"/>
              </w:rPr>
              <w:t>规划设计部</w:t>
            </w:r>
            <w:r>
              <w:rPr>
                <w:rFonts w:hint="eastAsia" w:ascii="宋体" w:hAnsi="宋体" w:eastAsia="宋体" w:cs="宋体"/>
                <w:color w:val="000000" w:themeColor="text1"/>
                <w:sz w:val="21"/>
                <w:szCs w:val="21"/>
                <w:lang w:eastAsia="zh-TW"/>
              </w:rPr>
              <w:t>，识别了办公和</w:t>
            </w:r>
            <w:r>
              <w:rPr>
                <w:rFonts w:hint="eastAsia" w:ascii="宋体" w:hAnsi="宋体" w:eastAsia="宋体" w:cs="宋体"/>
                <w:color w:val="000000" w:themeColor="text1"/>
                <w:sz w:val="21"/>
                <w:szCs w:val="21"/>
              </w:rPr>
              <w:t>检测</w:t>
            </w:r>
            <w:r>
              <w:rPr>
                <w:rFonts w:hint="eastAsia" w:ascii="宋体" w:hAnsi="宋体" w:eastAsia="宋体" w:cs="宋体"/>
                <w:color w:val="000000" w:themeColor="text1"/>
                <w:sz w:val="21"/>
                <w:szCs w:val="21"/>
                <w:lang w:eastAsia="zh-TW"/>
              </w:rPr>
              <w:t>过程中垃圾不及时可能导致的疾病传染、人离开未断电源可能导致的的火灾、</w:t>
            </w:r>
            <w:r>
              <w:rPr>
                <w:rFonts w:hint="eastAsia" w:ascii="宋体" w:hAnsi="宋体" w:eastAsia="宋体" w:cs="宋体"/>
                <w:color w:val="000000" w:themeColor="text1"/>
                <w:sz w:val="21"/>
                <w:szCs w:val="21"/>
              </w:rPr>
              <w:t>检测</w:t>
            </w:r>
            <w:r>
              <w:rPr>
                <w:rFonts w:hint="eastAsia" w:ascii="宋体" w:hAnsi="宋体" w:eastAsia="宋体" w:cs="宋体"/>
                <w:color w:val="000000" w:themeColor="text1"/>
                <w:sz w:val="21"/>
                <w:szCs w:val="21"/>
                <w:lang w:eastAsia="zh-TW"/>
              </w:rPr>
              <w:t>过程违规操作可能导致的人身伤害等危险源。</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TW"/>
              </w:rPr>
              <w:t xml:space="preserve">查到：《不可接受风险清单》，公司涉及重大危险源 </w:t>
            </w:r>
            <w:r>
              <w:rPr>
                <w:rFonts w:hint="eastAsia" w:ascii="宋体" w:hAnsi="宋体" w:eastAsia="宋体" w:cs="宋体"/>
                <w:color w:val="000000" w:themeColor="text1"/>
                <w:sz w:val="21"/>
                <w:szCs w:val="21"/>
              </w:rPr>
              <w:t>2</w:t>
            </w:r>
            <w:r>
              <w:rPr>
                <w:rFonts w:hint="eastAsia" w:ascii="宋体" w:hAnsi="宋体" w:eastAsia="宋体" w:cs="宋体"/>
                <w:color w:val="000000" w:themeColor="text1"/>
                <w:sz w:val="21"/>
                <w:szCs w:val="21"/>
                <w:lang w:eastAsia="zh-TW"/>
              </w:rPr>
              <w:t>项：潜在火灾、触电</w:t>
            </w:r>
            <w:r>
              <w:rPr>
                <w:rFonts w:hint="eastAsia" w:ascii="宋体" w:hAnsi="宋体" w:eastAsia="宋体" w:cs="宋体"/>
                <w:color w:val="000000" w:themeColor="text1"/>
                <w:sz w:val="21"/>
                <w:szCs w:val="21"/>
              </w:rPr>
              <w:t>，</w:t>
            </w:r>
            <w:r>
              <w:rPr>
                <w:rFonts w:hint="eastAsia" w:ascii="宋体" w:hAnsi="宋体" w:eastAsia="宋体" w:cs="宋体"/>
                <w:color w:val="000000" w:themeColor="text1"/>
                <w:sz w:val="21"/>
                <w:szCs w:val="21"/>
                <w:lang w:eastAsia="zh-TW"/>
              </w:rPr>
              <w:t>本部门涉及的不可接受风险：</w:t>
            </w:r>
            <w:r>
              <w:rPr>
                <w:rFonts w:hint="eastAsia" w:ascii="宋体" w:hAnsi="宋体" w:eastAsia="宋体" w:cs="宋体"/>
                <w:color w:val="000000" w:themeColor="text1"/>
                <w:sz w:val="21"/>
                <w:szCs w:val="21"/>
              </w:rPr>
              <w:t>均有涉及。</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TW"/>
              </w:rPr>
              <w:t>对于</w:t>
            </w:r>
            <w:r>
              <w:rPr>
                <w:rFonts w:hint="eastAsia" w:ascii="宋体" w:hAnsi="宋体" w:eastAsia="宋体" w:cs="宋体"/>
                <w:color w:val="000000" w:themeColor="text1"/>
                <w:sz w:val="21"/>
                <w:szCs w:val="21"/>
              </w:rPr>
              <w:t>环境因素、重要环境因素及危险源、不可接受风险等通过运行控制、管理方案、应急准备与响应进行控制。</w:t>
            </w:r>
          </w:p>
          <w:p>
            <w:pPr>
              <w:spacing w:line="360" w:lineRule="auto"/>
              <w:ind w:firstLine="420" w:firstLineChars="200"/>
              <w:rPr>
                <w:rFonts w:hint="eastAsia" w:ascii="宋体" w:hAnsi="宋体" w:eastAsia="宋体" w:cs="宋体"/>
                <w:color w:val="000000" w:themeColor="text1"/>
                <w:sz w:val="21"/>
                <w:szCs w:val="21"/>
                <w:lang w:eastAsia="zh-TW"/>
              </w:rPr>
            </w:pPr>
            <w:r>
              <w:rPr>
                <w:rFonts w:hint="eastAsia" w:ascii="宋体" w:hAnsi="宋体" w:eastAsia="宋体" w:cs="宋体"/>
                <w:color w:val="000000" w:themeColor="text1"/>
                <w:sz w:val="21"/>
                <w:szCs w:val="21"/>
              </w:rPr>
              <w:t>规划设计部环境因素、危险源的识别、评价基本符合标准要求。</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809" w:type="dxa"/>
          </w:tcPr>
          <w:p>
            <w:pPr>
              <w:spacing w:line="360" w:lineRule="auto"/>
              <w:rPr>
                <w:rFonts w:hint="eastAsia" w:ascii="宋体" w:hAnsi="宋体" w:eastAsia="宋体" w:cs="宋体"/>
                <w:bCs/>
                <w:color w:val="000000" w:themeColor="text1"/>
                <w:sz w:val="21"/>
                <w:szCs w:val="21"/>
              </w:rPr>
            </w:pPr>
            <w:bookmarkStart w:id="2" w:name="_GoBack"/>
            <w:bookmarkEnd w:id="2"/>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bCs/>
                <w:color w:val="000000" w:themeColor="text1"/>
                <w:sz w:val="21"/>
                <w:szCs w:val="21"/>
              </w:rPr>
              <w:t>运行控制</w:t>
            </w:r>
          </w:p>
        </w:tc>
        <w:tc>
          <w:tcPr>
            <w:tcW w:w="1311" w:type="dxa"/>
          </w:tcPr>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r>
              <w:rPr>
                <w:rFonts w:hint="eastAsia" w:ascii="宋体" w:hAnsi="宋体" w:eastAsia="宋体" w:cs="宋体"/>
                <w:bCs/>
                <w:color w:val="000000" w:themeColor="text1"/>
                <w:sz w:val="21"/>
                <w:szCs w:val="21"/>
              </w:rPr>
              <w:t>EO8.1</w:t>
            </w:r>
          </w:p>
          <w:p>
            <w:pPr>
              <w:spacing w:line="360" w:lineRule="auto"/>
              <w:rPr>
                <w:rFonts w:hint="eastAsia" w:ascii="宋体" w:hAnsi="宋体" w:eastAsia="宋体" w:cs="宋体"/>
                <w:color w:val="000000" w:themeColor="text1"/>
                <w:sz w:val="21"/>
                <w:szCs w:val="21"/>
              </w:rPr>
            </w:pPr>
          </w:p>
        </w:tc>
        <w:tc>
          <w:tcPr>
            <w:tcW w:w="10850" w:type="dxa"/>
          </w:tcPr>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编制与环境、安全体系运行控制有关的文件有编制了《应急准备和响应控制程序》，确定的紧急情况有：火灾、触电，提供了紧急情况的《应急预案》。</w:t>
            </w:r>
          </w:p>
          <w:p>
            <w:pPr>
              <w:spacing w:line="360" w:lineRule="auto"/>
              <w:ind w:firstLine="421"/>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1、废水管控、废气管控：公司检测过程无废水、废气外排。</w:t>
            </w:r>
          </w:p>
          <w:p>
            <w:pPr>
              <w:spacing w:line="360" w:lineRule="auto"/>
              <w:ind w:firstLine="421"/>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2、固废管控：质量技术部将 废弃物放置固定位置，积攒一定量后出售回收单位再利用。</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3、能源资源管控：注意节水、节电，人走关闭设备和照明开关，</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未发现有漏水和浪费电能的现象。</w:t>
            </w:r>
          </w:p>
          <w:p>
            <w:pPr>
              <w:spacing w:line="360" w:lineRule="auto"/>
              <w:ind w:firstLine="421"/>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4、潜在火灾管控：</w:t>
            </w:r>
            <w:r>
              <w:rPr>
                <w:rFonts w:hint="eastAsia" w:ascii="宋体" w:hAnsi="宋体" w:eastAsia="宋体" w:cs="宋体"/>
                <w:color w:val="000000" w:themeColor="text1"/>
                <w:sz w:val="21"/>
                <w:szCs w:val="21"/>
                <w:lang w:val="en-US" w:eastAsia="zh-CN"/>
              </w:rPr>
              <w:t>办公室</w:t>
            </w:r>
            <w:r>
              <w:rPr>
                <w:rFonts w:hint="eastAsia" w:ascii="宋体" w:hAnsi="宋体" w:eastAsia="宋体" w:cs="宋体"/>
                <w:color w:val="000000" w:themeColor="text1"/>
                <w:sz w:val="21"/>
                <w:szCs w:val="21"/>
              </w:rPr>
              <w:t>内配备了灭火器，均符合要求。</w:t>
            </w:r>
          </w:p>
          <w:p>
            <w:pPr>
              <w:spacing w:line="360" w:lineRule="auto"/>
              <w:ind w:firstLine="421"/>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5、安全防护：公司给员工发放手套、口罩、防护眼镜等劳保用品， 设备上悬挂安全警示牌。设备旋转部位和凸出部位，安装有防护罩等，设备运行状况良好。</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6、能提供防止员工意外伤害加重的急救药品如创可贴、杀菌药水等。</w:t>
            </w:r>
          </w:p>
          <w:p>
            <w:pPr>
              <w:spacing w:line="360" w:lineRule="auto"/>
              <w:ind w:firstLine="421"/>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7、为主要长期员工上社保，查见交款证明。</w:t>
            </w:r>
          </w:p>
          <w:p>
            <w:pPr>
              <w:spacing w:line="360" w:lineRule="auto"/>
              <w:ind w:firstLine="421"/>
              <w:rPr>
                <w:rFonts w:hint="eastAsia" w:ascii="宋体" w:hAnsi="宋体" w:eastAsia="宋体" w:cs="宋体"/>
                <w:b/>
                <w:bCs/>
                <w:color w:val="000000" w:themeColor="text1"/>
                <w:sz w:val="21"/>
                <w:szCs w:val="21"/>
              </w:rPr>
            </w:pPr>
            <w:r>
              <w:rPr>
                <w:rFonts w:hint="eastAsia" w:ascii="宋体" w:hAnsi="宋体" w:eastAsia="宋体" w:cs="宋体"/>
                <w:color w:val="000000" w:themeColor="text1"/>
                <w:sz w:val="21"/>
                <w:szCs w:val="21"/>
              </w:rPr>
              <w:t>8、员工饮用水为纯净水通过饮水机饮用。</w:t>
            </w:r>
          </w:p>
        </w:tc>
        <w:tc>
          <w:tcPr>
            <w:tcW w:w="739" w:type="dxa"/>
          </w:tcPr>
          <w:p>
            <w:pPr>
              <w:spacing w:line="360" w:lineRule="auto"/>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809" w:type="dxa"/>
          </w:tcPr>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color w:val="000000" w:themeColor="text1"/>
                <w:sz w:val="21"/>
                <w:szCs w:val="21"/>
              </w:rPr>
            </w:pPr>
            <w:r>
              <w:rPr>
                <w:rFonts w:hint="eastAsia" w:ascii="宋体" w:hAnsi="宋体" w:eastAsia="宋体" w:cs="宋体"/>
                <w:bCs/>
                <w:color w:val="000000" w:themeColor="text1"/>
                <w:sz w:val="21"/>
                <w:szCs w:val="21"/>
              </w:rPr>
              <w:t>应急准备和相应</w:t>
            </w:r>
          </w:p>
        </w:tc>
        <w:tc>
          <w:tcPr>
            <w:tcW w:w="1311" w:type="dxa"/>
          </w:tcPr>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p>
          <w:p>
            <w:pPr>
              <w:spacing w:line="360" w:lineRule="auto"/>
              <w:rPr>
                <w:rFonts w:hint="eastAsia" w:ascii="宋体" w:hAnsi="宋体" w:eastAsia="宋体" w:cs="宋体"/>
                <w:bCs/>
                <w:color w:val="000000" w:themeColor="text1"/>
                <w:sz w:val="21"/>
                <w:szCs w:val="21"/>
              </w:rPr>
            </w:pPr>
            <w:r>
              <w:rPr>
                <w:rFonts w:hint="eastAsia" w:ascii="宋体" w:hAnsi="宋体" w:eastAsia="宋体" w:cs="宋体"/>
                <w:bCs/>
                <w:color w:val="000000" w:themeColor="text1"/>
                <w:sz w:val="21"/>
                <w:szCs w:val="21"/>
              </w:rPr>
              <w:t>EO8.2</w:t>
            </w:r>
          </w:p>
          <w:p>
            <w:pPr>
              <w:spacing w:line="360" w:lineRule="auto"/>
              <w:rPr>
                <w:rFonts w:hint="eastAsia" w:ascii="宋体" w:hAnsi="宋体" w:eastAsia="宋体" w:cs="宋体"/>
                <w:color w:val="000000" w:themeColor="text1"/>
                <w:sz w:val="21"/>
                <w:szCs w:val="21"/>
              </w:rPr>
            </w:pPr>
          </w:p>
        </w:tc>
        <w:tc>
          <w:tcPr>
            <w:tcW w:w="10850" w:type="dxa"/>
          </w:tcPr>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规划设计部按照策划的《应急准备和响应控制程序程序》《火灾应急预案》等，明确了相应的运行准则。</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技术服务、研发过程中加强用电安全，防止触电事故和火灾事故的发生，安装了漏电保护器。</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提供</w:t>
            </w:r>
            <w:r>
              <w:rPr>
                <w:rFonts w:hint="eastAsia" w:ascii="宋体" w:hAnsi="宋体" w:cs="宋体"/>
                <w:color w:val="000000" w:themeColor="text1"/>
                <w:sz w:val="21"/>
                <w:szCs w:val="21"/>
                <w:lang w:eastAsia="zh-CN"/>
              </w:rPr>
              <w:t>远程</w:t>
            </w:r>
            <w:r>
              <w:rPr>
                <w:rFonts w:hint="eastAsia" w:ascii="宋体" w:hAnsi="宋体" w:eastAsia="宋体" w:cs="宋体"/>
                <w:color w:val="000000" w:themeColor="text1"/>
                <w:sz w:val="21"/>
                <w:szCs w:val="21"/>
              </w:rPr>
              <w:t>查灭火器在有效期内，实验室有“禁止吸烟”，“小心触电” 等环保、安全警示标识。</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配有急救药箱，箱内有创可贴、消毒酒精、碘伏、棉棒等。</w:t>
            </w:r>
          </w:p>
          <w:p>
            <w:pPr>
              <w:spacing w:line="360" w:lineRule="auto"/>
              <w:rPr>
                <w:rFonts w:hint="eastAsia" w:ascii="宋体" w:hAnsi="宋体" w:eastAsia="宋体"/>
                <w:color w:val="000000" w:themeColor="text1"/>
                <w:szCs w:val="21"/>
                <w:lang w:eastAsia="zh-CN"/>
              </w:rPr>
            </w:pPr>
            <w:r>
              <w:rPr>
                <w:rFonts w:hint="eastAsia" w:ascii="宋体" w:hAnsi="宋体" w:cs="宋体"/>
                <w:color w:val="000000" w:themeColor="text1"/>
                <w:szCs w:val="21"/>
              </w:rPr>
              <w:t>查</w:t>
            </w:r>
            <w:r>
              <w:rPr>
                <w:rFonts w:hint="eastAsia" w:ascii="宋体" w:hAnsi="宋体" w:cs="宋体"/>
                <w:color w:val="000000" w:themeColor="text1"/>
                <w:szCs w:val="21"/>
                <w:lang w:val="en-US" w:eastAsia="zh-CN"/>
              </w:rPr>
              <w:t>2020年由于疫情园区未</w:t>
            </w:r>
            <w:r>
              <w:rPr>
                <w:rFonts w:hint="eastAsia" w:ascii="宋体" w:hAnsi="宋体" w:cs="宋体"/>
                <w:color w:val="000000" w:themeColor="text1"/>
                <w:szCs w:val="21"/>
              </w:rPr>
              <w:t>组织的火灾预案演练</w:t>
            </w:r>
            <w:r>
              <w:rPr>
                <w:rFonts w:hint="eastAsia" w:ascii="宋体" w:hAnsi="宋体" w:cs="宋体"/>
                <w:color w:val="000000" w:themeColor="text1"/>
                <w:szCs w:val="21"/>
                <w:lang w:eastAsia="zh-CN"/>
              </w:rPr>
              <w:t>。</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color w:val="000000" w:themeColor="text1"/>
                <w:szCs w:val="21"/>
              </w:rPr>
              <w:t>疫情期间，</w:t>
            </w:r>
            <w:r>
              <w:rPr>
                <w:rFonts w:hint="eastAsia" w:ascii="宋体" w:hAnsi="宋体" w:cs="宋体"/>
                <w:sz w:val="21"/>
                <w:szCs w:val="21"/>
                <w:lang w:bidi="ar"/>
              </w:rPr>
              <w:t>20</w:t>
            </w:r>
            <w:r>
              <w:rPr>
                <w:rFonts w:hint="eastAsia" w:ascii="宋体" w:hAnsi="宋体" w:cs="宋体"/>
                <w:sz w:val="21"/>
                <w:szCs w:val="21"/>
                <w:lang w:val="en-US" w:eastAsia="zh-CN" w:bidi="ar"/>
              </w:rPr>
              <w:t>20</w:t>
            </w:r>
            <w:r>
              <w:rPr>
                <w:rFonts w:hint="eastAsia" w:ascii="宋体" w:hAnsi="宋体" w:cs="宋体"/>
                <w:sz w:val="21"/>
                <w:szCs w:val="21"/>
                <w:lang w:bidi="ar"/>
              </w:rPr>
              <w:t>年1</w:t>
            </w:r>
            <w:r>
              <w:rPr>
                <w:rFonts w:hint="eastAsia" w:ascii="宋体" w:hAnsi="宋体" w:cs="宋体"/>
                <w:sz w:val="21"/>
                <w:szCs w:val="21"/>
                <w:lang w:val="en-US" w:eastAsia="zh-CN" w:bidi="ar"/>
              </w:rPr>
              <w:t>2</w:t>
            </w:r>
            <w:r>
              <w:rPr>
                <w:rFonts w:hint="eastAsia" w:ascii="宋体" w:hAnsi="宋体" w:cs="宋体"/>
                <w:sz w:val="21"/>
                <w:szCs w:val="21"/>
                <w:lang w:bidi="ar"/>
              </w:rPr>
              <w:t>月15日</w:t>
            </w:r>
            <w:r>
              <w:rPr>
                <w:rFonts w:hint="eastAsia" w:ascii="宋体" w:hAnsi="宋体" w:cs="宋体"/>
                <w:sz w:val="21"/>
                <w:szCs w:val="21"/>
                <w:lang w:eastAsia="zh-CN" w:bidi="ar"/>
              </w:rPr>
              <w:t>，</w:t>
            </w:r>
            <w:r>
              <w:rPr>
                <w:rFonts w:hint="eastAsia" w:ascii="宋体" w:hAnsi="宋体"/>
                <w:color w:val="000000" w:themeColor="text1"/>
                <w:szCs w:val="21"/>
              </w:rPr>
              <w:t>全体工作人员的在办公室组织下，参加了公司组织的“火灾消防知识培训</w:t>
            </w:r>
            <w:r>
              <w:rPr>
                <w:rFonts w:hint="eastAsia" w:ascii="宋体" w:hAnsi="宋体" w:cs="宋体"/>
                <w:color w:val="000000" w:themeColor="text1"/>
                <w:szCs w:val="21"/>
                <w:lang w:val="en-US" w:eastAsia="zh-CN"/>
              </w:rPr>
              <w:t>视频</w:t>
            </w:r>
            <w:r>
              <w:rPr>
                <w:rFonts w:hint="eastAsia" w:ascii="宋体" w:hAnsi="宋体"/>
                <w:color w:val="000000" w:themeColor="text1"/>
                <w:szCs w:val="21"/>
              </w:rPr>
              <w:t>”和“新型冠状防疫手册”的培训。</w:t>
            </w:r>
            <w:r>
              <w:rPr>
                <w:rFonts w:hint="eastAsia" w:ascii="宋体" w:hAnsi="宋体" w:eastAsia="宋体" w:cs="宋体"/>
                <w:color w:val="000000" w:themeColor="text1"/>
                <w:sz w:val="21"/>
                <w:szCs w:val="21"/>
              </w:rPr>
              <w:t>自体系运行以来未出现应急事故情况。</w:t>
            </w:r>
          </w:p>
        </w:tc>
        <w:tc>
          <w:tcPr>
            <w:tcW w:w="739" w:type="dxa"/>
          </w:tcPr>
          <w:p>
            <w:pPr>
              <w:spacing w:line="360" w:lineRule="auto"/>
              <w:rPr>
                <w:rFonts w:hint="eastAsia" w:ascii="宋体" w:hAnsi="宋体" w:eastAsia="宋体" w:cs="宋体"/>
                <w:color w:val="000000" w:themeColor="text1"/>
                <w:sz w:val="21"/>
                <w:szCs w:val="21"/>
              </w:rPr>
            </w:pPr>
          </w:p>
        </w:tc>
      </w:tr>
    </w:tbl>
    <w:p>
      <w:pPr>
        <w:rPr>
          <w:rFonts w:ascii="楷体" w:hAnsi="楷体" w:eastAsia="楷体"/>
        </w:rPr>
      </w:pPr>
    </w:p>
    <w:p>
      <w:pPr>
        <w:pStyle w:val="9"/>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23</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1312" behindDoc="0" locked="0" layoutInCell="1" allowOverlap="1">
          <wp:simplePos x="0" y="0"/>
          <wp:positionH relativeFrom="column">
            <wp:posOffset>-13970</wp:posOffset>
          </wp:positionH>
          <wp:positionV relativeFrom="paragraph">
            <wp:posOffset>635</wp:posOffset>
          </wp:positionV>
          <wp:extent cx="481330" cy="484505"/>
          <wp:effectExtent l="0" t="0" r="1270" b="1079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10"/>
      <w:pBdr>
        <w:bottom w:val="none" w:color="auto" w:sz="0" w:space="1"/>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pPr>
                  <w:rPr>
                    <w:sz w:val="18"/>
                    <w:szCs w:val="18"/>
                  </w:rPr>
                </w:pPr>
                <w:r>
                  <w:rPr>
                    <w:rFonts w:hint="eastAsia"/>
                    <w:sz w:val="18"/>
                    <w:szCs w:val="18"/>
                  </w:rPr>
                  <w:t>ISC-B-II-12(05版）</w:t>
                </w:r>
              </w:p>
              <w:p/>
            </w:txbxContent>
          </v:textbox>
        </v:shape>
      </w:pict>
    </w:r>
    <w:r>
      <w:rPr>
        <w:rStyle w:val="19"/>
        <w:rFonts w:hint="default"/>
      </w:rPr>
      <w:t xml:space="preserve">        </w:t>
    </w:r>
    <w:r>
      <w:rPr>
        <w:rStyle w:val="19"/>
        <w:rFonts w:hint="default"/>
        <w:w w:val="90"/>
      </w:rPr>
      <w:t>Beijing International Standard united Certification Co.,Ltd.</w:t>
    </w:r>
    <w:r>
      <w:rPr>
        <w:rStyle w:val="19"/>
        <w:rFonts w:hint="default"/>
        <w:w w:val="90"/>
        <w:szCs w:val="21"/>
      </w:rPr>
      <w:t xml:space="preserve">  </w:t>
    </w:r>
    <w:r>
      <w:rPr>
        <w:rStyle w:val="19"/>
        <w:rFonts w:hint="default"/>
        <w:w w:val="90"/>
        <w:sz w:val="20"/>
      </w:rPr>
      <w:t xml:space="preserve"> </w:t>
    </w:r>
    <w:r>
      <w:rPr>
        <w:rStyle w:val="19"/>
        <w:rFonts w:hint="default"/>
        <w:w w:val="90"/>
      </w:rPr>
      <w:t xml:space="preserve">                   </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D23C6E"/>
    <w:multiLevelType w:val="multilevel"/>
    <w:tmpl w:val="54D23C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9E575B2"/>
    <w:multiLevelType w:val="multilevel"/>
    <w:tmpl w:val="59E575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B9255F1"/>
    <w:multiLevelType w:val="multilevel"/>
    <w:tmpl w:val="7B9255F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JhN2U4Y2Q5MGE2Mzc1MDlkNDVmNzZkYmRlMTYyYjcifQ=="/>
  </w:docVars>
  <w:rsids>
    <w:rsidRoot w:val="009973B4"/>
    <w:rsid w:val="000214B6"/>
    <w:rsid w:val="00022B3B"/>
    <w:rsid w:val="0003373A"/>
    <w:rsid w:val="00047171"/>
    <w:rsid w:val="0004784D"/>
    <w:rsid w:val="0005199E"/>
    <w:rsid w:val="00054FDA"/>
    <w:rsid w:val="0005697E"/>
    <w:rsid w:val="00064733"/>
    <w:rsid w:val="000666AB"/>
    <w:rsid w:val="00067211"/>
    <w:rsid w:val="00077664"/>
    <w:rsid w:val="000849D2"/>
    <w:rsid w:val="00093496"/>
    <w:rsid w:val="000A5E44"/>
    <w:rsid w:val="000B1394"/>
    <w:rsid w:val="000B2962"/>
    <w:rsid w:val="000B40BD"/>
    <w:rsid w:val="000C123B"/>
    <w:rsid w:val="000D108C"/>
    <w:rsid w:val="000D5E06"/>
    <w:rsid w:val="000E2B69"/>
    <w:rsid w:val="000E4607"/>
    <w:rsid w:val="000E79D8"/>
    <w:rsid w:val="000F35F1"/>
    <w:rsid w:val="001037D5"/>
    <w:rsid w:val="001105B5"/>
    <w:rsid w:val="00110E51"/>
    <w:rsid w:val="00112DDC"/>
    <w:rsid w:val="00124422"/>
    <w:rsid w:val="00130839"/>
    <w:rsid w:val="001421D7"/>
    <w:rsid w:val="00155DE4"/>
    <w:rsid w:val="001657FA"/>
    <w:rsid w:val="001701AA"/>
    <w:rsid w:val="00176F07"/>
    <w:rsid w:val="001816F4"/>
    <w:rsid w:val="001858CC"/>
    <w:rsid w:val="001953AA"/>
    <w:rsid w:val="001965EC"/>
    <w:rsid w:val="001A2C67"/>
    <w:rsid w:val="001A2D7F"/>
    <w:rsid w:val="001A3DF8"/>
    <w:rsid w:val="001A4705"/>
    <w:rsid w:val="001C414C"/>
    <w:rsid w:val="001E2378"/>
    <w:rsid w:val="001F5CB1"/>
    <w:rsid w:val="00210A0C"/>
    <w:rsid w:val="00212CA6"/>
    <w:rsid w:val="00216789"/>
    <w:rsid w:val="002178DD"/>
    <w:rsid w:val="00222532"/>
    <w:rsid w:val="00224FEC"/>
    <w:rsid w:val="00226102"/>
    <w:rsid w:val="00237445"/>
    <w:rsid w:val="00244D31"/>
    <w:rsid w:val="00245C6E"/>
    <w:rsid w:val="00250259"/>
    <w:rsid w:val="00252A58"/>
    <w:rsid w:val="002603B9"/>
    <w:rsid w:val="00266D1E"/>
    <w:rsid w:val="0027207F"/>
    <w:rsid w:val="0029508B"/>
    <w:rsid w:val="002A0E6E"/>
    <w:rsid w:val="002A16D5"/>
    <w:rsid w:val="002B3D51"/>
    <w:rsid w:val="002B5942"/>
    <w:rsid w:val="002B698C"/>
    <w:rsid w:val="002C1094"/>
    <w:rsid w:val="002C221B"/>
    <w:rsid w:val="002C3E0D"/>
    <w:rsid w:val="002D0595"/>
    <w:rsid w:val="002D41FB"/>
    <w:rsid w:val="002E1E1D"/>
    <w:rsid w:val="00305AF4"/>
    <w:rsid w:val="00305CB7"/>
    <w:rsid w:val="00305F8E"/>
    <w:rsid w:val="00330719"/>
    <w:rsid w:val="00334C7D"/>
    <w:rsid w:val="00337922"/>
    <w:rsid w:val="00337B1A"/>
    <w:rsid w:val="00340867"/>
    <w:rsid w:val="00342857"/>
    <w:rsid w:val="00343742"/>
    <w:rsid w:val="003471D1"/>
    <w:rsid w:val="003627B6"/>
    <w:rsid w:val="00362BE6"/>
    <w:rsid w:val="00362ED9"/>
    <w:rsid w:val="003708D5"/>
    <w:rsid w:val="003712C7"/>
    <w:rsid w:val="003715B9"/>
    <w:rsid w:val="00374046"/>
    <w:rsid w:val="00376A47"/>
    <w:rsid w:val="00380837"/>
    <w:rsid w:val="00382136"/>
    <w:rsid w:val="003836CA"/>
    <w:rsid w:val="00386A98"/>
    <w:rsid w:val="003A7DC8"/>
    <w:rsid w:val="003B10EF"/>
    <w:rsid w:val="003B2BCD"/>
    <w:rsid w:val="003B69F5"/>
    <w:rsid w:val="003C4CF5"/>
    <w:rsid w:val="003C7F1E"/>
    <w:rsid w:val="003D6BE3"/>
    <w:rsid w:val="003F20A5"/>
    <w:rsid w:val="003F3796"/>
    <w:rsid w:val="003F5ED7"/>
    <w:rsid w:val="004012B5"/>
    <w:rsid w:val="00403752"/>
    <w:rsid w:val="00405D5F"/>
    <w:rsid w:val="00407008"/>
    <w:rsid w:val="00410914"/>
    <w:rsid w:val="00422E32"/>
    <w:rsid w:val="00430003"/>
    <w:rsid w:val="004304FA"/>
    <w:rsid w:val="0043494E"/>
    <w:rsid w:val="00441C5F"/>
    <w:rsid w:val="00451D10"/>
    <w:rsid w:val="00465FE1"/>
    <w:rsid w:val="00485574"/>
    <w:rsid w:val="00491735"/>
    <w:rsid w:val="0049488A"/>
    <w:rsid w:val="004A39E1"/>
    <w:rsid w:val="004A4776"/>
    <w:rsid w:val="004B0102"/>
    <w:rsid w:val="004B217F"/>
    <w:rsid w:val="004C027B"/>
    <w:rsid w:val="004C07FE"/>
    <w:rsid w:val="004D0624"/>
    <w:rsid w:val="004D1394"/>
    <w:rsid w:val="004E0DBF"/>
    <w:rsid w:val="004E5D23"/>
    <w:rsid w:val="004F008A"/>
    <w:rsid w:val="004F12EB"/>
    <w:rsid w:val="004F4590"/>
    <w:rsid w:val="00513583"/>
    <w:rsid w:val="005137A3"/>
    <w:rsid w:val="00517783"/>
    <w:rsid w:val="00521CF0"/>
    <w:rsid w:val="005276EC"/>
    <w:rsid w:val="00527995"/>
    <w:rsid w:val="00527E23"/>
    <w:rsid w:val="00536930"/>
    <w:rsid w:val="00564E53"/>
    <w:rsid w:val="00564FC3"/>
    <w:rsid w:val="00574EE4"/>
    <w:rsid w:val="00583277"/>
    <w:rsid w:val="00587F11"/>
    <w:rsid w:val="005919A2"/>
    <w:rsid w:val="00592C3E"/>
    <w:rsid w:val="005A000F"/>
    <w:rsid w:val="005A5A31"/>
    <w:rsid w:val="005B01D8"/>
    <w:rsid w:val="005B6888"/>
    <w:rsid w:val="005C27D9"/>
    <w:rsid w:val="005D4C40"/>
    <w:rsid w:val="005E3B26"/>
    <w:rsid w:val="005E794C"/>
    <w:rsid w:val="005F3F2C"/>
    <w:rsid w:val="005F4CDA"/>
    <w:rsid w:val="005F6C65"/>
    <w:rsid w:val="005F7148"/>
    <w:rsid w:val="00600F02"/>
    <w:rsid w:val="0060444D"/>
    <w:rsid w:val="00612015"/>
    <w:rsid w:val="006148DF"/>
    <w:rsid w:val="006233A5"/>
    <w:rsid w:val="006302F5"/>
    <w:rsid w:val="006379CB"/>
    <w:rsid w:val="00642776"/>
    <w:rsid w:val="00644FE2"/>
    <w:rsid w:val="006457AD"/>
    <w:rsid w:val="00645FB8"/>
    <w:rsid w:val="00647894"/>
    <w:rsid w:val="00651986"/>
    <w:rsid w:val="006545E8"/>
    <w:rsid w:val="00665980"/>
    <w:rsid w:val="0067640C"/>
    <w:rsid w:val="00686B64"/>
    <w:rsid w:val="00695256"/>
    <w:rsid w:val="00695303"/>
    <w:rsid w:val="00695570"/>
    <w:rsid w:val="00696AF1"/>
    <w:rsid w:val="006A0FEF"/>
    <w:rsid w:val="006A3B31"/>
    <w:rsid w:val="006A68F3"/>
    <w:rsid w:val="006A71E1"/>
    <w:rsid w:val="006B4116"/>
    <w:rsid w:val="006B4127"/>
    <w:rsid w:val="006C0D0C"/>
    <w:rsid w:val="006C40B9"/>
    <w:rsid w:val="006D5592"/>
    <w:rsid w:val="006E678B"/>
    <w:rsid w:val="006F6902"/>
    <w:rsid w:val="0070133F"/>
    <w:rsid w:val="0070495A"/>
    <w:rsid w:val="00711F4C"/>
    <w:rsid w:val="0071239D"/>
    <w:rsid w:val="007170AA"/>
    <w:rsid w:val="00722762"/>
    <w:rsid w:val="00722A8E"/>
    <w:rsid w:val="0072354E"/>
    <w:rsid w:val="00732A46"/>
    <w:rsid w:val="00732B66"/>
    <w:rsid w:val="00734C50"/>
    <w:rsid w:val="00737195"/>
    <w:rsid w:val="007406DE"/>
    <w:rsid w:val="00742AEF"/>
    <w:rsid w:val="00743A75"/>
    <w:rsid w:val="00743E79"/>
    <w:rsid w:val="00751C37"/>
    <w:rsid w:val="00762DD4"/>
    <w:rsid w:val="007757F3"/>
    <w:rsid w:val="007815DC"/>
    <w:rsid w:val="00782659"/>
    <w:rsid w:val="007924AF"/>
    <w:rsid w:val="007A47FB"/>
    <w:rsid w:val="007A69EB"/>
    <w:rsid w:val="007B106B"/>
    <w:rsid w:val="007B275D"/>
    <w:rsid w:val="007E6AEB"/>
    <w:rsid w:val="007F01EC"/>
    <w:rsid w:val="007F0D4C"/>
    <w:rsid w:val="007F1C66"/>
    <w:rsid w:val="007F7DF2"/>
    <w:rsid w:val="008027A4"/>
    <w:rsid w:val="008062F9"/>
    <w:rsid w:val="008079FA"/>
    <w:rsid w:val="008170FE"/>
    <w:rsid w:val="00851943"/>
    <w:rsid w:val="00855AE0"/>
    <w:rsid w:val="0086271A"/>
    <w:rsid w:val="00864902"/>
    <w:rsid w:val="00867B86"/>
    <w:rsid w:val="00877B85"/>
    <w:rsid w:val="00881B7A"/>
    <w:rsid w:val="008973EE"/>
    <w:rsid w:val="008A7B29"/>
    <w:rsid w:val="008B30A0"/>
    <w:rsid w:val="008B5618"/>
    <w:rsid w:val="008D089D"/>
    <w:rsid w:val="008D2567"/>
    <w:rsid w:val="008F0B04"/>
    <w:rsid w:val="0090649C"/>
    <w:rsid w:val="009078E2"/>
    <w:rsid w:val="009221F6"/>
    <w:rsid w:val="00930694"/>
    <w:rsid w:val="0093521F"/>
    <w:rsid w:val="00945677"/>
    <w:rsid w:val="00962F78"/>
    <w:rsid w:val="00964A29"/>
    <w:rsid w:val="00965048"/>
    <w:rsid w:val="0096609F"/>
    <w:rsid w:val="00971600"/>
    <w:rsid w:val="009973B4"/>
    <w:rsid w:val="009A000B"/>
    <w:rsid w:val="009A30D3"/>
    <w:rsid w:val="009A3DD9"/>
    <w:rsid w:val="009A4562"/>
    <w:rsid w:val="009A4A4C"/>
    <w:rsid w:val="009B6639"/>
    <w:rsid w:val="009B6CB4"/>
    <w:rsid w:val="009B7388"/>
    <w:rsid w:val="009E02D5"/>
    <w:rsid w:val="009E30DA"/>
    <w:rsid w:val="009F2E5F"/>
    <w:rsid w:val="009F7EED"/>
    <w:rsid w:val="00A138EC"/>
    <w:rsid w:val="00A303E7"/>
    <w:rsid w:val="00A3050C"/>
    <w:rsid w:val="00A321CB"/>
    <w:rsid w:val="00A35FBB"/>
    <w:rsid w:val="00A54E47"/>
    <w:rsid w:val="00A562B1"/>
    <w:rsid w:val="00A62FD9"/>
    <w:rsid w:val="00A741A1"/>
    <w:rsid w:val="00A77C65"/>
    <w:rsid w:val="00A801DE"/>
    <w:rsid w:val="00A80B3F"/>
    <w:rsid w:val="00A8159C"/>
    <w:rsid w:val="00A83562"/>
    <w:rsid w:val="00A86A9D"/>
    <w:rsid w:val="00A90A22"/>
    <w:rsid w:val="00A918ED"/>
    <w:rsid w:val="00A93A32"/>
    <w:rsid w:val="00AA2E7E"/>
    <w:rsid w:val="00AB1BBD"/>
    <w:rsid w:val="00AB41FC"/>
    <w:rsid w:val="00AB7D2F"/>
    <w:rsid w:val="00AC0FC6"/>
    <w:rsid w:val="00AF0AAB"/>
    <w:rsid w:val="00B04731"/>
    <w:rsid w:val="00B0685B"/>
    <w:rsid w:val="00B13BC7"/>
    <w:rsid w:val="00B326FC"/>
    <w:rsid w:val="00B33301"/>
    <w:rsid w:val="00B35FC9"/>
    <w:rsid w:val="00B40603"/>
    <w:rsid w:val="00B51039"/>
    <w:rsid w:val="00B66466"/>
    <w:rsid w:val="00B7232D"/>
    <w:rsid w:val="00B74396"/>
    <w:rsid w:val="00B75693"/>
    <w:rsid w:val="00B8202D"/>
    <w:rsid w:val="00B94ED3"/>
    <w:rsid w:val="00B9599B"/>
    <w:rsid w:val="00B95F69"/>
    <w:rsid w:val="00BA46EC"/>
    <w:rsid w:val="00BC2015"/>
    <w:rsid w:val="00BC69E5"/>
    <w:rsid w:val="00BD011E"/>
    <w:rsid w:val="00BD1BD9"/>
    <w:rsid w:val="00BF3FAF"/>
    <w:rsid w:val="00BF597E"/>
    <w:rsid w:val="00BF7151"/>
    <w:rsid w:val="00C078CC"/>
    <w:rsid w:val="00C1322F"/>
    <w:rsid w:val="00C2374F"/>
    <w:rsid w:val="00C31C73"/>
    <w:rsid w:val="00C32115"/>
    <w:rsid w:val="00C32D23"/>
    <w:rsid w:val="00C37415"/>
    <w:rsid w:val="00C51A36"/>
    <w:rsid w:val="00C52ACE"/>
    <w:rsid w:val="00C548BE"/>
    <w:rsid w:val="00C55228"/>
    <w:rsid w:val="00C57F13"/>
    <w:rsid w:val="00C62BD1"/>
    <w:rsid w:val="00C67E19"/>
    <w:rsid w:val="00C67E47"/>
    <w:rsid w:val="00C71E85"/>
    <w:rsid w:val="00C75651"/>
    <w:rsid w:val="00C86F9B"/>
    <w:rsid w:val="00C9158B"/>
    <w:rsid w:val="00C93DAB"/>
    <w:rsid w:val="00C9448F"/>
    <w:rsid w:val="00CB0BB0"/>
    <w:rsid w:val="00CB260B"/>
    <w:rsid w:val="00CB3648"/>
    <w:rsid w:val="00CC7261"/>
    <w:rsid w:val="00CD5516"/>
    <w:rsid w:val="00CE084D"/>
    <w:rsid w:val="00CE315A"/>
    <w:rsid w:val="00CE7BE1"/>
    <w:rsid w:val="00CF1726"/>
    <w:rsid w:val="00CF34E3"/>
    <w:rsid w:val="00CF6C5C"/>
    <w:rsid w:val="00D01731"/>
    <w:rsid w:val="00D0514D"/>
    <w:rsid w:val="00D06F59"/>
    <w:rsid w:val="00D12B63"/>
    <w:rsid w:val="00D22025"/>
    <w:rsid w:val="00D24D0E"/>
    <w:rsid w:val="00D257EB"/>
    <w:rsid w:val="00D3392D"/>
    <w:rsid w:val="00D33B2E"/>
    <w:rsid w:val="00D35291"/>
    <w:rsid w:val="00D35CC0"/>
    <w:rsid w:val="00D457A3"/>
    <w:rsid w:val="00D45E32"/>
    <w:rsid w:val="00D52340"/>
    <w:rsid w:val="00D546BA"/>
    <w:rsid w:val="00D54F54"/>
    <w:rsid w:val="00D55E69"/>
    <w:rsid w:val="00D562F6"/>
    <w:rsid w:val="00D67E9B"/>
    <w:rsid w:val="00D77731"/>
    <w:rsid w:val="00D8388C"/>
    <w:rsid w:val="00D850A2"/>
    <w:rsid w:val="00D867D6"/>
    <w:rsid w:val="00D95C39"/>
    <w:rsid w:val="00D95E05"/>
    <w:rsid w:val="00DB1644"/>
    <w:rsid w:val="00DB2B24"/>
    <w:rsid w:val="00DB6D65"/>
    <w:rsid w:val="00DC0D79"/>
    <w:rsid w:val="00DC261B"/>
    <w:rsid w:val="00DC5042"/>
    <w:rsid w:val="00DC6D9C"/>
    <w:rsid w:val="00DD6AE9"/>
    <w:rsid w:val="00DE11F8"/>
    <w:rsid w:val="00DE2D80"/>
    <w:rsid w:val="00DE6542"/>
    <w:rsid w:val="00DE6E1A"/>
    <w:rsid w:val="00DF1A6F"/>
    <w:rsid w:val="00DF689E"/>
    <w:rsid w:val="00E038E4"/>
    <w:rsid w:val="00E06F75"/>
    <w:rsid w:val="00E1334D"/>
    <w:rsid w:val="00E17D47"/>
    <w:rsid w:val="00E2469C"/>
    <w:rsid w:val="00E4035E"/>
    <w:rsid w:val="00E4290B"/>
    <w:rsid w:val="00E43822"/>
    <w:rsid w:val="00E547D2"/>
    <w:rsid w:val="00E611E4"/>
    <w:rsid w:val="00E63714"/>
    <w:rsid w:val="00E65DB7"/>
    <w:rsid w:val="00E75415"/>
    <w:rsid w:val="00E86BC9"/>
    <w:rsid w:val="00E90598"/>
    <w:rsid w:val="00E9727C"/>
    <w:rsid w:val="00E97424"/>
    <w:rsid w:val="00EA4601"/>
    <w:rsid w:val="00EA55F7"/>
    <w:rsid w:val="00EA7C25"/>
    <w:rsid w:val="00EB0164"/>
    <w:rsid w:val="00EB023C"/>
    <w:rsid w:val="00EC39E9"/>
    <w:rsid w:val="00EC42F5"/>
    <w:rsid w:val="00ED0F62"/>
    <w:rsid w:val="00ED3572"/>
    <w:rsid w:val="00EE07A4"/>
    <w:rsid w:val="00EF35E4"/>
    <w:rsid w:val="00F074A0"/>
    <w:rsid w:val="00F16D87"/>
    <w:rsid w:val="00F25812"/>
    <w:rsid w:val="00F26299"/>
    <w:rsid w:val="00F42D4A"/>
    <w:rsid w:val="00F439EA"/>
    <w:rsid w:val="00F53331"/>
    <w:rsid w:val="00F606E1"/>
    <w:rsid w:val="00F66839"/>
    <w:rsid w:val="00F83639"/>
    <w:rsid w:val="00F840C3"/>
    <w:rsid w:val="00F937DF"/>
    <w:rsid w:val="00F956F5"/>
    <w:rsid w:val="00FA0833"/>
    <w:rsid w:val="00FA0944"/>
    <w:rsid w:val="00FA350D"/>
    <w:rsid w:val="00FC50D3"/>
    <w:rsid w:val="00FC712F"/>
    <w:rsid w:val="00FD2869"/>
    <w:rsid w:val="00FD5EE5"/>
    <w:rsid w:val="00FD72A6"/>
    <w:rsid w:val="00FE1AA2"/>
    <w:rsid w:val="00FE2C5C"/>
    <w:rsid w:val="083C7544"/>
    <w:rsid w:val="0BE6604E"/>
    <w:rsid w:val="107B68F3"/>
    <w:rsid w:val="108219C2"/>
    <w:rsid w:val="13113F5E"/>
    <w:rsid w:val="14645F46"/>
    <w:rsid w:val="1E5241C5"/>
    <w:rsid w:val="1F2C2E53"/>
    <w:rsid w:val="1F8C2B14"/>
    <w:rsid w:val="1FDE71C6"/>
    <w:rsid w:val="23A13455"/>
    <w:rsid w:val="2D827678"/>
    <w:rsid w:val="35821AC0"/>
    <w:rsid w:val="397152F3"/>
    <w:rsid w:val="3AA1351C"/>
    <w:rsid w:val="3E105527"/>
    <w:rsid w:val="3E1D65A6"/>
    <w:rsid w:val="3F615FB6"/>
    <w:rsid w:val="48077183"/>
    <w:rsid w:val="48DF582D"/>
    <w:rsid w:val="49B27FF2"/>
    <w:rsid w:val="4E1F17E1"/>
    <w:rsid w:val="56C07D9E"/>
    <w:rsid w:val="58F30C89"/>
    <w:rsid w:val="5A06392C"/>
    <w:rsid w:val="5ABA0290"/>
    <w:rsid w:val="5CA26D84"/>
    <w:rsid w:val="5EA12B9A"/>
    <w:rsid w:val="63A26DBA"/>
    <w:rsid w:val="64434493"/>
    <w:rsid w:val="645D2D45"/>
    <w:rsid w:val="730F1C8A"/>
    <w:rsid w:val="74586A5B"/>
    <w:rsid w:val="74B516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5"/>
    <w:qFormat/>
    <w:uiPriority w:val="0"/>
    <w:pPr>
      <w:keepNext/>
      <w:outlineLvl w:val="1"/>
    </w:pPr>
    <w:rPr>
      <w:b/>
      <w:bCs/>
      <w:sz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tabs>
        <w:tab w:val="left" w:pos="0"/>
        <w:tab w:val="left" w:pos="180"/>
      </w:tabs>
      <w:spacing w:line="360" w:lineRule="auto"/>
      <w:jc w:val="left"/>
    </w:pPr>
    <w:rPr>
      <w:sz w:val="28"/>
    </w:rPr>
  </w:style>
  <w:style w:type="paragraph" w:styleId="5">
    <w:name w:val="Normal Indent"/>
    <w:basedOn w:val="1"/>
    <w:qFormat/>
    <w:uiPriority w:val="0"/>
    <w:pPr>
      <w:ind w:firstLine="420"/>
    </w:pPr>
  </w:style>
  <w:style w:type="paragraph" w:styleId="6">
    <w:name w:val="Body Text Indent"/>
    <w:basedOn w:val="1"/>
    <w:semiHidden/>
    <w:qFormat/>
    <w:uiPriority w:val="99"/>
    <w:pPr>
      <w:spacing w:after="120"/>
      <w:ind w:left="420" w:leftChars="200"/>
    </w:pPr>
  </w:style>
  <w:style w:type="paragraph" w:styleId="7">
    <w:name w:val="Plain Text"/>
    <w:basedOn w:val="1"/>
    <w:link w:val="20"/>
    <w:qFormat/>
    <w:uiPriority w:val="0"/>
    <w:pPr>
      <w:widowControl/>
      <w:jc w:val="left"/>
    </w:pPr>
    <w:rPr>
      <w:rFonts w:ascii="宋体" w:hAnsi="Courier New"/>
      <w:kern w:val="0"/>
      <w:sz w:val="20"/>
      <w:lang w:eastAsia="en-US"/>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6"/>
    <w:qFormat/>
    <w:uiPriority w:val="99"/>
    <w:pPr>
      <w:spacing w:after="0"/>
      <w:ind w:left="0" w:leftChars="0" w:firstLine="420" w:firstLineChars="200"/>
      <w:jc w:val="left"/>
    </w:pPr>
    <w:rPr>
      <w:rFonts w:ascii="宋体" w:hAnsi="宋体" w:eastAsia="仿宋_GB2312"/>
      <w:color w:val="000000"/>
      <w:sz w:val="2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表格文字"/>
    <w:basedOn w:val="1"/>
    <w:qFormat/>
    <w:uiPriority w:val="0"/>
    <w:pPr>
      <w:spacing w:before="25" w:after="25"/>
    </w:pPr>
    <w:rPr>
      <w:bCs/>
      <w:spacing w:val="10"/>
    </w:rPr>
  </w:style>
  <w:style w:type="character" w:customStyle="1" w:styleId="16">
    <w:name w:val="页眉 字符"/>
    <w:basedOn w:val="14"/>
    <w:link w:val="10"/>
    <w:qFormat/>
    <w:uiPriority w:val="99"/>
    <w:rPr>
      <w:rFonts w:ascii="Times New Roman" w:hAnsi="Times New Roman" w:eastAsia="宋体" w:cs="Times New Roman"/>
      <w:sz w:val="18"/>
      <w:szCs w:val="18"/>
    </w:rPr>
  </w:style>
  <w:style w:type="character" w:customStyle="1" w:styleId="17">
    <w:name w:val="页脚 字符"/>
    <w:basedOn w:val="14"/>
    <w:link w:val="9"/>
    <w:qFormat/>
    <w:uiPriority w:val="99"/>
    <w:rPr>
      <w:rFonts w:ascii="Times New Roman" w:hAnsi="Times New Roman" w:eastAsia="宋体" w:cs="Times New Roman"/>
      <w:sz w:val="18"/>
      <w:szCs w:val="18"/>
    </w:rPr>
  </w:style>
  <w:style w:type="character" w:customStyle="1" w:styleId="18">
    <w:name w:val="批注框文本 字符"/>
    <w:basedOn w:val="14"/>
    <w:link w:val="8"/>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character" w:customStyle="1" w:styleId="20">
    <w:name w:val="纯文本 字符"/>
    <w:basedOn w:val="14"/>
    <w:link w:val="7"/>
    <w:qFormat/>
    <w:uiPriority w:val="0"/>
    <w:rPr>
      <w:rFonts w:ascii="宋体" w:hAnsi="Courier New" w:eastAsia="宋体" w:cs="Times New Roman"/>
      <w:lang w:eastAsia="en-US"/>
    </w:rPr>
  </w:style>
  <w:style w:type="paragraph" w:customStyle="1" w:styleId="21">
    <w:name w:val="_Style 2"/>
    <w:basedOn w:val="1"/>
    <w:qFormat/>
    <w:uiPriority w:val="0"/>
    <w:pPr>
      <w:widowControl/>
      <w:ind w:firstLine="420" w:firstLineChars="200"/>
      <w:jc w:val="left"/>
    </w:pPr>
    <w:rPr>
      <w:kern w:val="0"/>
      <w:sz w:val="20"/>
      <w:lang w:eastAsia="en-US"/>
    </w:rPr>
  </w:style>
  <w:style w:type="paragraph" w:customStyle="1" w:styleId="2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1702</Words>
  <Characters>9707</Characters>
  <Lines>80</Lines>
  <Paragraphs>22</Paragraphs>
  <TotalTime>2</TotalTime>
  <ScaleCrop>false</ScaleCrop>
  <LinksUpToDate>false</LinksUpToDate>
  <CharactersWithSpaces>11387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2022-06-26T15:16:30Z</dcterms:modified>
  <cp:revision>616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51A00E56A6584B95972D8265609F7335</vt:lpwstr>
  </property>
</Properties>
</file>