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both"/>
        <w:rPr>
          <w:rFonts w:hint="eastAsia" w:ascii="隶书" w:hAnsi="宋体" w:eastAsia="隶书"/>
          <w:bCs/>
          <w:color w:val="000000"/>
          <w:sz w:val="36"/>
          <w:szCs w:val="36"/>
        </w:rPr>
      </w:pPr>
    </w:p>
    <w:tbl>
      <w:tblPr>
        <w:tblStyle w:val="9"/>
        <w:tblpPr w:leftFromText="181" w:rightFromText="181" w:vertAnchor="text" w:horzAnchor="page" w:tblpX="1038"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892"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28"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943"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受审核部门：管理层    总经理：</w:t>
            </w:r>
            <w:r>
              <w:rPr>
                <w:rFonts w:hint="eastAsia" w:ascii="宋体" w:hAnsi="宋体" w:eastAsia="宋体" w:cs="宋体"/>
                <w:sz w:val="21"/>
                <w:szCs w:val="21"/>
                <w:lang w:val="en-US" w:eastAsia="zh-CN"/>
              </w:rPr>
              <w:t xml:space="preserve">张占奎   </w:t>
            </w:r>
            <w:r>
              <w:rPr>
                <w:rFonts w:hint="eastAsia" w:ascii="宋体" w:hAnsi="宋体" w:eastAsia="宋体" w:cs="宋体"/>
                <w:sz w:val="21"/>
                <w:szCs w:val="21"/>
              </w:rPr>
              <w:t xml:space="preserve"> 管理者代表：</w:t>
            </w:r>
            <w:r>
              <w:rPr>
                <w:rFonts w:hint="eastAsia" w:ascii="宋体" w:hAnsi="宋体" w:eastAsia="宋体" w:cs="宋体"/>
                <w:bCs/>
                <w:sz w:val="21"/>
                <w:szCs w:val="21"/>
                <w:lang w:val="en-US" w:eastAsia="zh-CN"/>
              </w:rPr>
              <w:t>尤才</w:t>
            </w:r>
            <w:r>
              <w:rPr>
                <w:rFonts w:hint="eastAsia" w:ascii="宋体" w:hAnsi="宋体" w:eastAsia="宋体" w:cs="宋体"/>
                <w:bCs/>
                <w:sz w:val="21"/>
                <w:szCs w:val="21"/>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员工职业健康安全事务代表：</w:t>
            </w:r>
            <w:r>
              <w:rPr>
                <w:rFonts w:hint="eastAsia" w:ascii="宋体" w:hAnsi="宋体" w:eastAsia="宋体" w:cs="宋体"/>
                <w:bCs/>
                <w:sz w:val="21"/>
                <w:szCs w:val="21"/>
                <w:lang w:val="en-US" w:eastAsia="zh-CN"/>
              </w:rPr>
              <w:t>李扬</w:t>
            </w:r>
          </w:p>
        </w:tc>
        <w:tc>
          <w:tcPr>
            <w:tcW w:w="64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92" w:type="dxa"/>
            <w:vMerge w:val="continue"/>
            <w:vAlign w:val="center"/>
          </w:tcPr>
          <w:p>
            <w:pPr>
              <w:spacing w:line="360" w:lineRule="auto"/>
              <w:rPr>
                <w:rFonts w:hint="eastAsia" w:ascii="宋体" w:hAnsi="宋体" w:eastAsia="宋体" w:cs="宋体"/>
                <w:sz w:val="21"/>
                <w:szCs w:val="21"/>
              </w:rPr>
            </w:pPr>
          </w:p>
        </w:tc>
        <w:tc>
          <w:tcPr>
            <w:tcW w:w="1228" w:type="dxa"/>
            <w:vMerge w:val="continue"/>
            <w:vAlign w:val="center"/>
          </w:tcPr>
          <w:p>
            <w:pPr>
              <w:spacing w:line="360" w:lineRule="auto"/>
              <w:rPr>
                <w:rFonts w:hint="eastAsia" w:ascii="宋体" w:hAnsi="宋体" w:eastAsia="宋体" w:cs="宋体"/>
                <w:sz w:val="21"/>
                <w:szCs w:val="21"/>
              </w:rPr>
            </w:pPr>
          </w:p>
        </w:tc>
        <w:tc>
          <w:tcPr>
            <w:tcW w:w="10943" w:type="dxa"/>
            <w:vAlign w:val="center"/>
          </w:tcPr>
          <w:p>
            <w:pPr>
              <w:adjustRightInd w:val="0"/>
              <w:snapToGrid w:val="0"/>
              <w:spacing w:line="360" w:lineRule="auto"/>
              <w:ind w:right="105" w:rightChars="50"/>
              <w:jc w:val="left"/>
              <w:textAlignment w:val="baseline"/>
              <w:rPr>
                <w:rFonts w:hint="default" w:ascii="宋体" w:hAnsi="宋体" w:eastAsia="宋体" w:cs="宋体"/>
                <w:sz w:val="21"/>
                <w:szCs w:val="21"/>
                <w:lang w:val="en-US"/>
              </w:rPr>
            </w:pPr>
            <w:r>
              <w:rPr>
                <w:rFonts w:hint="eastAsia" w:ascii="宋体" w:hAnsi="宋体" w:eastAsia="宋体" w:cs="宋体"/>
                <w:sz w:val="21"/>
                <w:szCs w:val="21"/>
              </w:rPr>
              <w:t xml:space="preserve">审核员：李俐 </w:t>
            </w:r>
            <w:r>
              <w:rPr>
                <w:rFonts w:hint="eastAsia" w:ascii="宋体" w:hAnsi="宋体" w:eastAsia="宋体" w:cs="宋体"/>
                <w:sz w:val="21"/>
                <w:szCs w:val="21"/>
                <w:lang w:eastAsia="zh-CN"/>
              </w:rPr>
              <w:t>、陈延国</w:t>
            </w:r>
            <w:r>
              <w:rPr>
                <w:rFonts w:hint="eastAsia" w:ascii="宋体" w:hAnsi="宋体" w:eastAsia="宋体" w:cs="宋体"/>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冯力</w:t>
            </w:r>
            <w:r>
              <w:rPr>
                <w:rFonts w:hint="eastAsia" w:ascii="宋体" w:hAnsi="宋体" w:eastAsia="宋体" w:cs="宋体"/>
                <w:sz w:val="21"/>
                <w:szCs w:val="21"/>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手机微信、电脑视频</w:t>
            </w:r>
            <w:r>
              <w:rPr>
                <w:rFonts w:hint="eastAsia" w:ascii="宋体" w:hAnsi="宋体" w:cs="宋体"/>
                <w:sz w:val="21"/>
                <w:szCs w:val="21"/>
                <w:lang w:eastAsia="zh-CN"/>
              </w:rPr>
              <w:t>）</w:t>
            </w:r>
            <w:r>
              <w:rPr>
                <w:rFonts w:hint="eastAsia" w:ascii="宋体" w:hAnsi="宋体" w:eastAsia="宋体" w:cs="宋体"/>
                <w:sz w:val="21"/>
                <w:szCs w:val="21"/>
              </w:rPr>
              <w:t xml:space="preserve">        审核时间：</w:t>
            </w:r>
            <w:r>
              <w:rPr>
                <w:rFonts w:hint="eastAsia" w:ascii="宋体" w:hAnsi="宋体" w:eastAsia="宋体" w:cs="Arial"/>
                <w:sz w:val="21"/>
                <w:szCs w:val="21"/>
              </w:rPr>
              <w:t>20</w:t>
            </w:r>
            <w:r>
              <w:rPr>
                <w:rFonts w:hint="eastAsia" w:ascii="宋体" w:hAnsi="宋体" w:cs="Arial"/>
                <w:sz w:val="21"/>
                <w:szCs w:val="21"/>
                <w:lang w:val="en-US" w:eastAsia="zh-CN"/>
              </w:rPr>
              <w:t>22</w:t>
            </w:r>
            <w:r>
              <w:rPr>
                <w:rFonts w:hint="eastAsia" w:ascii="宋体" w:hAnsi="宋体" w:eastAsia="宋体" w:cs="Arial"/>
                <w:sz w:val="21"/>
                <w:szCs w:val="21"/>
              </w:rPr>
              <w:t>.</w:t>
            </w:r>
            <w:r>
              <w:rPr>
                <w:rFonts w:hint="eastAsia" w:ascii="宋体" w:hAnsi="宋体" w:eastAsia="宋体" w:cs="Arial"/>
                <w:sz w:val="21"/>
                <w:szCs w:val="21"/>
                <w:lang w:val="en-US" w:eastAsia="zh-CN"/>
              </w:rPr>
              <w:t>5</w:t>
            </w:r>
            <w:r>
              <w:rPr>
                <w:rFonts w:hint="eastAsia" w:ascii="宋体" w:hAnsi="宋体" w:eastAsia="宋体" w:cs="Arial"/>
                <w:sz w:val="21"/>
                <w:szCs w:val="21"/>
              </w:rPr>
              <w:t>.</w:t>
            </w:r>
            <w:r>
              <w:rPr>
                <w:rFonts w:hint="eastAsia" w:ascii="宋体" w:hAnsi="宋体" w:cs="Arial"/>
                <w:sz w:val="21"/>
                <w:szCs w:val="21"/>
                <w:lang w:val="en-US" w:eastAsia="zh-CN"/>
              </w:rPr>
              <w:t>24</w:t>
            </w:r>
          </w:p>
        </w:tc>
        <w:tc>
          <w:tcPr>
            <w:tcW w:w="646"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hint="eastAsia" w:ascii="宋体" w:hAnsi="宋体" w:eastAsia="宋体" w:cs="宋体"/>
                <w:sz w:val="21"/>
                <w:szCs w:val="21"/>
              </w:rPr>
            </w:pPr>
          </w:p>
        </w:tc>
        <w:tc>
          <w:tcPr>
            <w:tcW w:w="1228" w:type="dxa"/>
            <w:vMerge w:val="continue"/>
            <w:vAlign w:val="center"/>
          </w:tcPr>
          <w:p>
            <w:pPr>
              <w:spacing w:line="360" w:lineRule="auto"/>
              <w:rPr>
                <w:rFonts w:hint="eastAsia" w:ascii="宋体" w:hAnsi="宋体" w:eastAsia="宋体" w:cs="宋体"/>
                <w:sz w:val="21"/>
                <w:szCs w:val="21"/>
              </w:rPr>
            </w:pPr>
          </w:p>
        </w:tc>
        <w:tc>
          <w:tcPr>
            <w:tcW w:w="10943" w:type="dxa"/>
            <w:vAlign w:val="center"/>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QEO:4.1、4.2、4.3 、4.4、5.1、5.2、5.3、</w:t>
            </w:r>
            <w:r>
              <w:rPr>
                <w:rFonts w:hint="eastAsia" w:ascii="宋体" w:hAnsi="宋体" w:eastAsia="宋体" w:cs="宋体"/>
                <w:sz w:val="21"/>
                <w:szCs w:val="21"/>
                <w:lang w:eastAsia="zh-CN"/>
              </w:rPr>
              <w:t>（</w:t>
            </w:r>
            <w:r>
              <w:rPr>
                <w:rFonts w:hint="eastAsia" w:ascii="宋体" w:hAnsi="宋体" w:eastAsia="宋体" w:cs="宋体"/>
                <w:sz w:val="21"/>
                <w:szCs w:val="21"/>
              </w:rPr>
              <w:t>O</w:t>
            </w:r>
            <w:r>
              <w:rPr>
                <w:rFonts w:hint="eastAsia" w:ascii="宋体" w:hAnsi="宋体" w:eastAsia="宋体" w:cs="宋体"/>
                <w:sz w:val="21"/>
                <w:szCs w:val="21"/>
                <w:lang w:eastAsia="zh-CN"/>
              </w:rPr>
              <w:t>）</w:t>
            </w:r>
            <w:r>
              <w:rPr>
                <w:rFonts w:hint="eastAsia" w:ascii="宋体" w:hAnsi="宋体" w:eastAsia="宋体" w:cs="宋体"/>
                <w:sz w:val="21"/>
                <w:szCs w:val="21"/>
              </w:rPr>
              <w:t>：5.4、6.1、6.2、Q6.3、7.1.1（EO7.1）、7.4、9.3、10.1、10.3</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国家/地方监督抽查情况；顾客满意、相关方投诉及处理情况，验证企业相关资质证明的有效性；</w:t>
            </w:r>
          </w:p>
        </w:tc>
        <w:tc>
          <w:tcPr>
            <w:tcW w:w="646"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企业基本信息</w:t>
            </w:r>
          </w:p>
        </w:tc>
        <w:tc>
          <w:tcPr>
            <w:tcW w:w="1228" w:type="dxa"/>
            <w:vAlign w:val="center"/>
          </w:tcPr>
          <w:p>
            <w:pPr>
              <w:spacing w:line="360" w:lineRule="auto"/>
              <w:rPr>
                <w:rFonts w:hint="eastAsia" w:ascii="宋体" w:hAnsi="宋体" w:eastAsia="宋体" w:cs="宋体"/>
                <w:sz w:val="21"/>
                <w:szCs w:val="21"/>
              </w:rPr>
            </w:pPr>
          </w:p>
        </w:tc>
        <w:tc>
          <w:tcPr>
            <w:tcW w:w="10943" w:type="dxa"/>
            <w:vAlign w:val="center"/>
          </w:tcPr>
          <w:p>
            <w:pPr>
              <w:spacing w:line="360" w:lineRule="auto"/>
              <w:jc w:val="left"/>
              <w:rPr>
                <w:rFonts w:hint="eastAsia"/>
              </w:rPr>
            </w:pPr>
            <w:r>
              <w:rPr>
                <w:rFonts w:hint="eastAsia"/>
              </w:rPr>
              <w:t>面谈人员：最管理者，总经理：</w:t>
            </w:r>
            <w:r>
              <w:rPr>
                <w:rFonts w:hint="eastAsia"/>
                <w:lang w:val="en-US" w:eastAsia="zh-CN"/>
              </w:rPr>
              <w:t>张占奎</w:t>
            </w:r>
            <w:r>
              <w:rPr>
                <w:rFonts w:hint="eastAsia"/>
              </w:rPr>
              <w:t>、管代：</w:t>
            </w:r>
            <w:r>
              <w:rPr>
                <w:rFonts w:hint="eastAsia"/>
                <w:lang w:val="en-US" w:eastAsia="zh-CN"/>
              </w:rPr>
              <w:t xml:space="preserve">尤才 </w:t>
            </w:r>
            <w:r>
              <w:rPr>
                <w:rFonts w:hint="eastAsia"/>
              </w:rPr>
              <w:t>，</w:t>
            </w:r>
          </w:p>
          <w:p>
            <w:pPr>
              <w:spacing w:line="360" w:lineRule="auto"/>
              <w:jc w:val="left"/>
              <w:rPr>
                <w:rFonts w:hint="eastAsia"/>
                <w:lang w:val="en-US" w:eastAsia="zh-CN"/>
              </w:rPr>
            </w:pPr>
            <w:r>
              <w:rPr>
                <w:rFonts w:hint="eastAsia"/>
              </w:rPr>
              <w:t>公司名称：江苏新图土地规划设计咨询有限公司，公司</w:t>
            </w:r>
            <w:r>
              <w:rPr>
                <w:rFonts w:hint="eastAsia"/>
                <w:lang w:val="en-US" w:eastAsia="zh-CN"/>
              </w:rPr>
              <w:t>2018年</w:t>
            </w:r>
            <w:r>
              <w:rPr>
                <w:rFonts w:hint="eastAsia"/>
              </w:rPr>
              <w:t>年</w:t>
            </w:r>
            <w:r>
              <w:rPr>
                <w:rFonts w:hint="eastAsia"/>
                <w:lang w:val="en-US" w:eastAsia="zh-CN"/>
              </w:rPr>
              <w:t>08</w:t>
            </w:r>
            <w:r>
              <w:rPr>
                <w:rFonts w:hint="eastAsia"/>
              </w:rPr>
              <w:t>月</w:t>
            </w:r>
            <w:r>
              <w:rPr>
                <w:rFonts w:hint="eastAsia"/>
                <w:lang w:val="en-US" w:eastAsia="zh-CN"/>
              </w:rPr>
              <w:t>20</w:t>
            </w:r>
            <w:r>
              <w:rPr>
                <w:rFonts w:hint="eastAsia"/>
              </w:rPr>
              <w:t>日</w:t>
            </w:r>
            <w:r>
              <w:rPr>
                <w:rFonts w:hint="eastAsia"/>
                <w:lang w:val="en-US" w:eastAsia="zh-CN"/>
              </w:rPr>
              <w:t>成立</w:t>
            </w:r>
            <w:r>
              <w:rPr>
                <w:rFonts w:hint="eastAsia"/>
              </w:rPr>
              <w:t>，有效期</w:t>
            </w:r>
            <w:r>
              <w:rPr>
                <w:rFonts w:hint="eastAsia"/>
                <w:lang w:eastAsia="zh-CN"/>
              </w:rPr>
              <w:t>：</w:t>
            </w:r>
            <w:r>
              <w:rPr>
                <w:rFonts w:hint="eastAsia"/>
                <w:lang w:val="en-US" w:eastAsia="zh-CN"/>
              </w:rPr>
              <w:t>长期</w:t>
            </w:r>
          </w:p>
          <w:p>
            <w:pPr>
              <w:spacing w:line="360" w:lineRule="auto"/>
              <w:jc w:val="left"/>
              <w:rPr>
                <w:rFonts w:hint="eastAsia"/>
              </w:rPr>
            </w:pPr>
            <w:r>
              <w:rPr>
                <w:rFonts w:hint="eastAsia"/>
                <w:lang w:val="en-US" w:eastAsia="zh-CN"/>
              </w:rPr>
              <w:t>2020年4月8日获三证合一</w:t>
            </w:r>
            <w:r>
              <w:rPr>
                <w:rFonts w:hint="eastAsia"/>
              </w:rPr>
              <w:t>营业执照符合要求</w:t>
            </w:r>
            <w:r>
              <w:rPr>
                <w:rFonts w:hint="eastAsia"/>
                <w:lang w:eastAsia="zh-CN"/>
              </w:rPr>
              <w:t>，</w:t>
            </w:r>
            <w:r>
              <w:rPr>
                <w:rFonts w:hint="eastAsia"/>
              </w:rPr>
              <w:t>法人代表：</w:t>
            </w:r>
            <w:r>
              <w:rPr>
                <w:rFonts w:hint="eastAsia"/>
                <w:lang w:val="en-US" w:eastAsia="zh-CN"/>
              </w:rPr>
              <w:t>倪建军</w:t>
            </w:r>
            <w:r>
              <w:rPr>
                <w:rFonts w:hint="eastAsia"/>
              </w:rPr>
              <w:t xml:space="preserve"> </w:t>
            </w:r>
            <w:r>
              <w:rPr>
                <w:rFonts w:hint="eastAsia"/>
                <w:lang w:eastAsia="zh-CN"/>
              </w:rPr>
              <w:t>，</w:t>
            </w:r>
            <w:r>
              <w:rPr>
                <w:rFonts w:hint="eastAsia"/>
              </w:rPr>
              <w:t>注册资金</w:t>
            </w:r>
            <w:r>
              <w:rPr>
                <w:rFonts w:hint="eastAsia"/>
                <w:lang w:val="en-US" w:eastAsia="zh-CN"/>
              </w:rPr>
              <w:t>1000</w:t>
            </w:r>
            <w:r>
              <w:rPr>
                <w:rFonts w:hint="eastAsia"/>
              </w:rPr>
              <w:t>万元。</w:t>
            </w:r>
          </w:p>
          <w:p>
            <w:pPr>
              <w:spacing w:line="360" w:lineRule="auto"/>
              <w:jc w:val="left"/>
              <w:rPr>
                <w:rFonts w:hint="eastAsia"/>
              </w:rPr>
            </w:pPr>
            <w:r>
              <w:rPr>
                <w:rFonts w:hint="eastAsia"/>
              </w:rPr>
              <w:t>注册</w:t>
            </w:r>
            <w:r>
              <w:rPr>
                <w:rFonts w:hint="eastAsia"/>
                <w:lang w:eastAsia="zh-CN"/>
              </w:rPr>
              <w:t>、</w:t>
            </w:r>
            <w:r>
              <w:rPr>
                <w:rFonts w:hint="eastAsia"/>
                <w:lang w:val="de-DE"/>
              </w:rPr>
              <w:t>经营</w:t>
            </w:r>
            <w:r>
              <w:rPr>
                <w:rFonts w:hint="eastAsia"/>
              </w:rPr>
              <w:t>地址：</w:t>
            </w:r>
            <w:bookmarkStart w:id="0" w:name="生产地址"/>
            <w:r>
              <w:rPr>
                <w:rFonts w:hint="eastAsia"/>
              </w:rPr>
              <w:t>江苏省南京市秦淮区中山东路532-2金蝶软件园H1栋3楼308</w:t>
            </w:r>
            <w:bookmarkEnd w:id="0"/>
          </w:p>
          <w:p>
            <w:pPr>
              <w:spacing w:line="360" w:lineRule="auto"/>
              <w:jc w:val="left"/>
              <w:rPr>
                <w:rFonts w:hint="eastAsia"/>
              </w:rPr>
            </w:pPr>
            <w:r>
              <w:rPr>
                <w:rFonts w:hint="eastAsia"/>
              </w:rPr>
              <w:t>经营范围：土地规划设计</w:t>
            </w:r>
            <w:r>
              <w:rPr>
                <w:rFonts w:hint="eastAsia"/>
                <w:lang w:eastAsia="zh-CN"/>
              </w:rPr>
              <w:t>；</w:t>
            </w:r>
            <w:r>
              <w:rPr>
                <w:rFonts w:hint="eastAsia"/>
              </w:rPr>
              <w:t>城市规划设计</w:t>
            </w:r>
            <w:r>
              <w:rPr>
                <w:rFonts w:hint="eastAsia"/>
                <w:lang w:eastAsia="zh-CN"/>
              </w:rPr>
              <w:t>；</w:t>
            </w:r>
            <w:r>
              <w:rPr>
                <w:rFonts w:hint="eastAsia"/>
              </w:rPr>
              <w:t>土地复垦开发整理</w:t>
            </w:r>
            <w:r>
              <w:rPr>
                <w:rFonts w:hint="eastAsia"/>
                <w:lang w:eastAsia="zh-CN"/>
              </w:rPr>
              <w:t>；</w:t>
            </w:r>
            <w:r>
              <w:rPr>
                <w:rFonts w:hint="eastAsia"/>
              </w:rPr>
              <w:t>经济信息咨询</w:t>
            </w:r>
            <w:r>
              <w:rPr>
                <w:rFonts w:hint="eastAsia"/>
                <w:lang w:eastAsia="zh-CN"/>
              </w:rPr>
              <w:t>；</w:t>
            </w:r>
            <w:r>
              <w:rPr>
                <w:rFonts w:hint="eastAsia"/>
              </w:rPr>
              <w:t>工程造价咨询</w:t>
            </w:r>
            <w:r>
              <w:rPr>
                <w:rFonts w:hint="eastAsia"/>
                <w:lang w:eastAsia="zh-CN"/>
              </w:rPr>
              <w:t>；</w:t>
            </w:r>
            <w:r>
              <w:rPr>
                <w:rFonts w:hint="eastAsia"/>
              </w:rPr>
              <w:t>工程概预算</w:t>
            </w:r>
            <w:r>
              <w:rPr>
                <w:rFonts w:hint="eastAsia"/>
                <w:lang w:eastAsia="zh-CN"/>
              </w:rPr>
              <w:t>；</w:t>
            </w:r>
            <w:r>
              <w:rPr>
                <w:rFonts w:hint="eastAsia"/>
              </w:rPr>
              <w:t>主地调查</w:t>
            </w:r>
            <w:r>
              <w:rPr>
                <w:rFonts w:hint="eastAsia"/>
                <w:lang w:eastAsia="zh-CN"/>
              </w:rPr>
              <w:t>；</w:t>
            </w:r>
            <w:r>
              <w:rPr>
                <w:rFonts w:hint="eastAsia"/>
              </w:rPr>
              <w:t>测绘</w:t>
            </w:r>
            <w:r>
              <w:rPr>
                <w:rFonts w:hint="eastAsia"/>
                <w:lang w:eastAsia="zh-CN"/>
              </w:rPr>
              <w:t>；</w:t>
            </w:r>
            <w:r>
              <w:rPr>
                <w:rFonts w:hint="eastAsia"/>
              </w:rPr>
              <w:t>地质灰害评估</w:t>
            </w:r>
            <w:r>
              <w:rPr>
                <w:rFonts w:hint="eastAsia"/>
                <w:lang w:eastAsia="zh-CN"/>
              </w:rPr>
              <w:t>；</w:t>
            </w:r>
            <w:r>
              <w:rPr>
                <w:rFonts w:hint="eastAsia"/>
              </w:rPr>
              <w:t>荒山整治(国家有专项规定的除外)</w:t>
            </w:r>
            <w:r>
              <w:rPr>
                <w:rFonts w:hint="eastAsia"/>
                <w:lang w:eastAsia="zh-CN"/>
              </w:rPr>
              <w:t>；</w:t>
            </w:r>
            <w:r>
              <w:rPr>
                <w:rFonts w:hint="eastAsia"/>
              </w:rPr>
              <w:t>计算机软件的开发、设计、制作、测试。建设工程监理</w:t>
            </w:r>
            <w:r>
              <w:rPr>
                <w:rFonts w:hint="eastAsia"/>
                <w:lang w:eastAsia="zh-CN"/>
              </w:rPr>
              <w:t>；</w:t>
            </w:r>
            <w:r>
              <w:rPr>
                <w:rFonts w:hint="eastAsia"/>
              </w:rPr>
              <w:t>建设工程设计</w:t>
            </w:r>
            <w:r>
              <w:rPr>
                <w:rFonts w:hint="eastAsia"/>
                <w:lang w:eastAsia="zh-CN"/>
              </w:rPr>
              <w:t>；</w:t>
            </w:r>
            <w:r>
              <w:rPr>
                <w:rFonts w:hint="eastAsia"/>
              </w:rPr>
              <w:t>房地产评估</w:t>
            </w:r>
            <w:r>
              <w:rPr>
                <w:rFonts w:hint="eastAsia"/>
                <w:lang w:eastAsia="zh-CN"/>
              </w:rPr>
              <w:t>；</w:t>
            </w:r>
            <w:r>
              <w:rPr>
                <w:rFonts w:hint="eastAsia"/>
              </w:rPr>
              <w:t>土地调查评估服务;资产评估</w:t>
            </w:r>
            <w:r>
              <w:rPr>
                <w:rFonts w:hint="eastAsia"/>
                <w:lang w:eastAsia="zh-CN"/>
              </w:rPr>
              <w:t>；</w:t>
            </w:r>
            <w:r>
              <w:rPr>
                <w:rFonts w:hint="eastAsia"/>
              </w:rPr>
              <w:t>市场调查;社会调查:社会稳定风险评估(需备案) ;信息技术咨询服务;王地整治服务(依法须经批准的项目,经相关部门批准后方可开展经营活动)</w:t>
            </w:r>
          </w:p>
          <w:p>
            <w:pPr>
              <w:pStyle w:val="4"/>
              <w:ind w:left="0" w:leftChars="0" w:firstLine="0" w:firstLineChars="0"/>
              <w:rPr>
                <w:rFonts w:hint="eastAsia" w:ascii="宋体" w:hAnsi="宋体" w:eastAsia="宋体" w:cs="宋体"/>
                <w:sz w:val="21"/>
                <w:szCs w:val="21"/>
                <w:lang w:eastAsia="zh-CN"/>
              </w:rPr>
            </w:pPr>
          </w:p>
          <w:p>
            <w:pPr>
              <w:pStyle w:val="4"/>
              <w:rPr>
                <w:rFonts w:hint="eastAsia" w:ascii="宋体" w:hAnsi="宋体" w:eastAsia="宋体" w:cs="宋体"/>
                <w:sz w:val="21"/>
                <w:szCs w:val="21"/>
                <w:lang w:eastAsia="zh-CN"/>
              </w:rPr>
            </w:pPr>
          </w:p>
          <w:p>
            <w:pPr>
              <w:pStyle w:val="4"/>
              <w:rPr>
                <w:rFonts w:hint="eastAsia" w:ascii="宋体" w:hAnsi="宋体" w:eastAsia="宋体" w:cs="宋体"/>
                <w:sz w:val="21"/>
                <w:szCs w:val="21"/>
                <w:lang w:eastAsia="zh-CN"/>
              </w:rPr>
            </w:pPr>
          </w:p>
          <w:p>
            <w:pPr>
              <w:pStyle w:val="4"/>
              <w:rPr>
                <w:rFonts w:hint="eastAsia" w:ascii="宋体" w:hAnsi="宋体" w:eastAsia="宋体" w:cs="宋体"/>
                <w:sz w:val="21"/>
                <w:szCs w:val="21"/>
              </w:rPr>
            </w:pPr>
          </w:p>
          <w:p>
            <w:pPr>
              <w:pStyle w:val="4"/>
              <w:rPr>
                <w:rFonts w:hint="eastAsia" w:ascii="宋体" w:hAnsi="宋体" w:eastAsia="宋体" w:cs="宋体"/>
                <w:sz w:val="21"/>
                <w:szCs w:val="21"/>
              </w:rPr>
            </w:pPr>
            <w:r>
              <w:rPr>
                <w:rFonts w:hint="eastAsia" w:ascii="宋体" w:hAnsi="宋体" w:eastAsia="宋体" w:cs="宋体"/>
                <w:sz w:val="21"/>
                <w:szCs w:val="21"/>
                <w:lang w:eastAsia="zh-CN"/>
              </w:rPr>
              <w:drawing>
                <wp:anchor distT="0" distB="0" distL="114300" distR="114300" simplePos="0" relativeHeight="251661312" behindDoc="0" locked="0" layoutInCell="1" allowOverlap="1">
                  <wp:simplePos x="0" y="0"/>
                  <wp:positionH relativeFrom="column">
                    <wp:posOffset>3300730</wp:posOffset>
                  </wp:positionH>
                  <wp:positionV relativeFrom="paragraph">
                    <wp:posOffset>86995</wp:posOffset>
                  </wp:positionV>
                  <wp:extent cx="3249295" cy="2298700"/>
                  <wp:effectExtent l="0" t="0" r="1905" b="0"/>
                  <wp:wrapNone/>
                  <wp:docPr id="6" name="图片 6" descr="整理正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整理正本"/>
                          <pic:cNvPicPr>
                            <a:picLocks noChangeAspect="1"/>
                          </pic:cNvPicPr>
                        </pic:nvPicPr>
                        <pic:blipFill>
                          <a:blip r:embed="rId6"/>
                          <a:stretch>
                            <a:fillRect/>
                          </a:stretch>
                        </pic:blipFill>
                        <pic:spPr>
                          <a:xfrm>
                            <a:off x="0" y="0"/>
                            <a:ext cx="3249295" cy="2298700"/>
                          </a:xfrm>
                          <a:prstGeom prst="rect">
                            <a:avLst/>
                          </a:prstGeom>
                        </pic:spPr>
                      </pic:pic>
                    </a:graphicData>
                  </a:graphic>
                </wp:anchor>
              </w:drawing>
            </w:r>
            <w:r>
              <w:rPr>
                <w:rFonts w:hint="eastAsia" w:ascii="宋体" w:hAnsi="宋体" w:eastAsia="宋体" w:cs="宋体"/>
                <w:sz w:val="21"/>
                <w:szCs w:val="21"/>
                <w:lang w:eastAsia="zh-CN"/>
              </w:rPr>
              <w:drawing>
                <wp:anchor distT="0" distB="0" distL="114300" distR="114300" simplePos="0" relativeHeight="251660288" behindDoc="0" locked="0" layoutInCell="1" allowOverlap="1">
                  <wp:simplePos x="0" y="0"/>
                  <wp:positionH relativeFrom="column">
                    <wp:posOffset>43815</wp:posOffset>
                  </wp:positionH>
                  <wp:positionV relativeFrom="paragraph">
                    <wp:posOffset>59055</wp:posOffset>
                  </wp:positionV>
                  <wp:extent cx="3134995" cy="2216785"/>
                  <wp:effectExtent l="0" t="0" r="1905" b="5715"/>
                  <wp:wrapNone/>
                  <wp:docPr id="5" name="图片 5" descr="测绘乙级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测绘乙级新"/>
                          <pic:cNvPicPr>
                            <a:picLocks noChangeAspect="1"/>
                          </pic:cNvPicPr>
                        </pic:nvPicPr>
                        <pic:blipFill>
                          <a:blip r:embed="rId7"/>
                          <a:stretch>
                            <a:fillRect/>
                          </a:stretch>
                        </pic:blipFill>
                        <pic:spPr>
                          <a:xfrm>
                            <a:off x="0" y="0"/>
                            <a:ext cx="3134995" cy="2216785"/>
                          </a:xfrm>
                          <a:prstGeom prst="rect">
                            <a:avLst/>
                          </a:prstGeom>
                        </pic:spPr>
                      </pic:pic>
                    </a:graphicData>
                  </a:graphic>
                </wp:anchor>
              </w:drawing>
            </w:r>
          </w:p>
          <w:p>
            <w:pPr>
              <w:pStyle w:val="4"/>
              <w:rPr>
                <w:rFonts w:hint="eastAsia" w:ascii="宋体" w:hAnsi="宋体" w:eastAsia="宋体" w:cs="宋体"/>
                <w:sz w:val="21"/>
                <w:szCs w:val="21"/>
              </w:rPr>
            </w:pPr>
          </w:p>
          <w:p>
            <w:pPr>
              <w:pStyle w:val="4"/>
              <w:rPr>
                <w:rFonts w:hint="eastAsia" w:ascii="宋体" w:hAnsi="宋体" w:eastAsia="宋体" w:cs="宋体"/>
                <w:sz w:val="21"/>
                <w:szCs w:val="21"/>
                <w:lang w:eastAsia="zh-CN"/>
              </w:rPr>
            </w:pPr>
          </w:p>
          <w:p>
            <w:pPr>
              <w:pStyle w:val="4"/>
              <w:rPr>
                <w:rFonts w:hint="eastAsia" w:ascii="宋体" w:hAnsi="宋体" w:eastAsia="宋体" w:cs="宋体"/>
                <w:sz w:val="21"/>
                <w:szCs w:val="21"/>
                <w:lang w:eastAsia="zh-CN"/>
              </w:rPr>
            </w:pPr>
          </w:p>
          <w:p>
            <w:pPr>
              <w:pStyle w:val="4"/>
              <w:rPr>
                <w:rFonts w:hint="eastAsia" w:ascii="宋体" w:hAnsi="宋体" w:eastAsia="宋体" w:cs="宋体"/>
                <w:sz w:val="21"/>
                <w:szCs w:val="21"/>
                <w:lang w:eastAsia="zh-CN"/>
              </w:rPr>
            </w:pPr>
          </w:p>
          <w:p>
            <w:pPr>
              <w:pStyle w:val="4"/>
              <w:rPr>
                <w:rFonts w:hint="eastAsia" w:ascii="宋体" w:hAnsi="宋体" w:eastAsia="宋体" w:cs="宋体"/>
                <w:sz w:val="21"/>
                <w:szCs w:val="21"/>
                <w:lang w:eastAsia="zh-CN"/>
              </w:rPr>
            </w:pPr>
          </w:p>
          <w:p>
            <w:pPr>
              <w:pStyle w:val="4"/>
              <w:ind w:left="0" w:leftChars="0" w:firstLine="0" w:firstLineChars="0"/>
              <w:rPr>
                <w:rFonts w:hint="eastAsia" w:ascii="宋体" w:hAnsi="宋体" w:eastAsia="宋体" w:cs="宋体"/>
                <w:sz w:val="21"/>
                <w:szCs w:val="21"/>
                <w:lang w:eastAsia="zh-CN"/>
              </w:rPr>
            </w:pPr>
          </w:p>
          <w:p>
            <w:pPr>
              <w:pStyle w:val="4"/>
              <w:ind w:left="0" w:leftChars="0" w:firstLine="0" w:firstLineChars="0"/>
              <w:rPr>
                <w:rFonts w:hint="eastAsia" w:ascii="宋体" w:hAnsi="宋体" w:eastAsia="宋体" w:cs="宋体"/>
                <w:sz w:val="21"/>
                <w:szCs w:val="21"/>
                <w:lang w:eastAsia="zh-CN"/>
              </w:rPr>
            </w:pPr>
          </w:p>
          <w:p>
            <w:pPr>
              <w:pStyle w:val="4"/>
              <w:ind w:left="0" w:leftChars="0" w:firstLine="0" w:firstLineChars="0"/>
              <w:rPr>
                <w:rFonts w:hint="eastAsia" w:ascii="宋体" w:hAnsi="宋体" w:eastAsia="宋体" w:cs="宋体"/>
                <w:sz w:val="21"/>
                <w:szCs w:val="21"/>
                <w:lang w:eastAsia="zh-CN"/>
              </w:rPr>
            </w:pPr>
          </w:p>
          <w:p>
            <w:pPr>
              <w:pStyle w:val="4"/>
              <w:ind w:left="0" w:leftChars="0" w:firstLine="0" w:firstLineChars="0"/>
              <w:rPr>
                <w:rFonts w:hint="eastAsia" w:ascii="宋体" w:hAnsi="宋体" w:eastAsia="宋体" w:cs="宋体"/>
                <w:sz w:val="21"/>
                <w:szCs w:val="21"/>
                <w:lang w:eastAsia="zh-CN"/>
              </w:rPr>
            </w:pPr>
          </w:p>
          <w:p>
            <w:pPr>
              <w:pStyle w:val="4"/>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4349750" cy="2965450"/>
                  <wp:effectExtent l="0" t="0" r="6350" b="6350"/>
                  <wp:docPr id="7" name="图片 7" descr="新图稳评会员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新图稳评会员2022"/>
                          <pic:cNvPicPr>
                            <a:picLocks noChangeAspect="1"/>
                          </pic:cNvPicPr>
                        </pic:nvPicPr>
                        <pic:blipFill>
                          <a:blip r:embed="rId8"/>
                          <a:stretch>
                            <a:fillRect/>
                          </a:stretch>
                        </pic:blipFill>
                        <pic:spPr>
                          <a:xfrm>
                            <a:off x="0" y="0"/>
                            <a:ext cx="4349750" cy="2965450"/>
                          </a:xfrm>
                          <a:prstGeom prst="rect">
                            <a:avLst/>
                          </a:prstGeom>
                        </pic:spPr>
                      </pic:pic>
                    </a:graphicData>
                  </a:graphic>
                </wp:inline>
              </w:drawing>
            </w:r>
          </w:p>
          <w:p>
            <w:pPr>
              <w:bidi w:val="0"/>
              <w:adjustRightInd w:val="0"/>
              <w:snapToGrid w:val="0"/>
              <w:spacing w:line="360" w:lineRule="auto"/>
              <w:rPr>
                <w:rFonts w:hint="eastAsia" w:ascii="Calibri" w:hAnsi="Calibri" w:cs="Times New Roman"/>
                <w:sz w:val="21"/>
                <w:szCs w:val="22"/>
                <w:lang w:val="en-US" w:eastAsia="zh-CN" w:bidi="ar"/>
              </w:rPr>
            </w:pPr>
          </w:p>
          <w:p>
            <w:pPr>
              <w:bidi w:val="0"/>
              <w:adjustRightInd w:val="0"/>
              <w:snapToGrid w:val="0"/>
              <w:spacing w:line="360" w:lineRule="auto"/>
              <w:rPr>
                <w:rFonts w:hint="eastAsia" w:ascii="Calibri" w:hAnsi="Calibri" w:cs="Times New Roman"/>
                <w:sz w:val="21"/>
                <w:szCs w:val="22"/>
                <w:lang w:val="en-US" w:eastAsia="zh-CN" w:bidi="ar"/>
              </w:rPr>
            </w:pPr>
          </w:p>
          <w:p>
            <w:pPr>
              <w:spacing w:line="360" w:lineRule="auto"/>
              <w:jc w:val="left"/>
              <w:rPr>
                <w:rFonts w:hint="eastAsia"/>
                <w:lang w:val="en-US" w:eastAsia="zh-CN"/>
              </w:rPr>
            </w:pPr>
            <w:r>
              <w:rPr>
                <w:rFonts w:hint="eastAsia" w:ascii="Calibri" w:hAnsi="Calibri" w:cs="Times New Roman"/>
                <w:sz w:val="21"/>
                <w:szCs w:val="22"/>
                <w:lang w:val="en-US" w:eastAsia="zh-CN" w:bidi="ar"/>
              </w:rPr>
              <w:t>提供，《</w:t>
            </w:r>
            <w:r>
              <w:rPr>
                <w:rFonts w:hint="eastAsia" w:ascii="宋体" w:hAnsi="宋体"/>
                <w:color w:val="000000"/>
                <w:szCs w:val="21"/>
                <w:lang w:val="en-US" w:eastAsia="zh-CN"/>
              </w:rPr>
              <w:t>测绘资质证书</w:t>
            </w:r>
            <w:r>
              <w:rPr>
                <w:rFonts w:hint="eastAsia" w:ascii="Calibri" w:hAnsi="Calibri" w:cs="Times New Roman"/>
                <w:sz w:val="21"/>
                <w:szCs w:val="22"/>
                <w:lang w:val="en-US" w:eastAsia="zh-CN" w:bidi="ar"/>
              </w:rPr>
              <w:t>》证书编号：乙测资字32507026，</w:t>
            </w:r>
            <w:r>
              <w:rPr>
                <w:rFonts w:hint="eastAsia" w:ascii="Calibri" w:hAnsi="Calibri" w:eastAsia="宋体" w:cs="Times New Roman"/>
                <w:sz w:val="21"/>
                <w:szCs w:val="22"/>
                <w:lang w:val="en-US" w:eastAsia="zh-CN" w:bidi="ar"/>
              </w:rPr>
              <w:t>有效期：2026年12月20日</w:t>
            </w:r>
            <w:r>
              <w:rPr>
                <w:rFonts w:hint="eastAsia" w:ascii="Calibri" w:hAnsi="Calibri" w:cs="Times New Roman"/>
                <w:sz w:val="21"/>
                <w:szCs w:val="22"/>
                <w:lang w:val="en-US" w:eastAsia="zh-CN" w:bidi="ar"/>
              </w:rPr>
              <w:t>，专业类别：乙级:摄影测量与</w:t>
            </w:r>
            <w:r>
              <w:rPr>
                <w:rFonts w:hint="eastAsia"/>
                <w:lang w:val="en-US" w:eastAsia="zh-CN"/>
              </w:rPr>
              <w:t xml:space="preserve">遥感、工程测量、界线与不动产测绘、地理信息系统工程。*** </w:t>
            </w:r>
          </w:p>
          <w:p>
            <w:pPr>
              <w:spacing w:line="360" w:lineRule="auto"/>
              <w:jc w:val="left"/>
              <w:rPr>
                <w:rFonts w:hint="eastAsia"/>
                <w:lang w:val="en-US" w:eastAsia="zh-CN"/>
              </w:rPr>
            </w:pPr>
            <w:r>
              <w:rPr>
                <w:rFonts w:hint="eastAsia"/>
                <w:lang w:val="en-US" w:eastAsia="zh-CN"/>
              </w:rPr>
              <w:t>提供，证书编号: Z3102  《江苏省土地整治项目规划设计机构评价推荐证书》，有效期限: 2020.1.1-2023.12.31</w:t>
            </w:r>
          </w:p>
          <w:p>
            <w:pPr>
              <w:spacing w:line="360" w:lineRule="auto"/>
              <w:jc w:val="left"/>
              <w:rPr>
                <w:rFonts w:hint="eastAsia"/>
                <w:lang w:val="en-US" w:eastAsia="zh-CN"/>
              </w:rPr>
            </w:pPr>
            <w:r>
              <w:rPr>
                <w:rFonts w:hint="eastAsia"/>
                <w:lang w:val="en-US" w:eastAsia="zh-CN"/>
              </w:rPr>
              <w:t>从业范围:土地综合整治项目的规划设计编制、论证、咨询和评估等，企业资质符合要求。</w:t>
            </w:r>
          </w:p>
          <w:p>
            <w:pPr>
              <w:spacing w:line="360" w:lineRule="auto"/>
              <w:jc w:val="left"/>
              <w:rPr>
                <w:rFonts w:hint="eastAsia"/>
                <w:lang w:val="en-US" w:eastAsia="zh-CN"/>
              </w:rPr>
            </w:pPr>
            <w:r>
              <w:rPr>
                <w:rFonts w:hint="eastAsia"/>
                <w:lang w:val="en-US" w:eastAsia="zh-CN"/>
              </w:rPr>
              <w:t>获江苏省社会稳定风险评估促进会会员证(会员单位)，有效期至: 2022年12月31日</w:t>
            </w:r>
          </w:p>
          <w:p>
            <w:pPr>
              <w:pStyle w:val="4"/>
              <w:ind w:left="0" w:leftChars="0" w:firstLine="0" w:firstLineChars="0"/>
              <w:rPr>
                <w:rFonts w:hint="eastAsia" w:ascii="宋体" w:hAnsi="宋体" w:eastAsia="宋体" w:cs="宋体"/>
                <w:sz w:val="21"/>
                <w:szCs w:val="21"/>
              </w:rPr>
            </w:pPr>
            <w:r>
              <w:rPr>
                <w:rFonts w:hint="eastAsia"/>
                <w:lang w:val="en-US" w:eastAsia="zh-CN"/>
              </w:rPr>
              <w:t>获</w:t>
            </w:r>
            <w:r>
              <w:rPr>
                <w:rFonts w:hint="default"/>
                <w:lang w:val="en-US" w:eastAsia="zh-CN"/>
              </w:rPr>
              <w:t>江苏省土地整治项目规划设计机构评价推荐证书</w:t>
            </w:r>
            <w:r>
              <w:rPr>
                <w:rFonts w:hint="eastAsia"/>
                <w:lang w:val="en-US" w:eastAsia="zh-CN"/>
              </w:rPr>
              <w:t>，从业范围:土地综合整治项目的规划设计编制、论证、咨询和评估等有效期限: 2020.1.1-2023. 12.31，具体见附件，资质满足要求。</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892"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组织及其环境;</w:t>
            </w:r>
          </w:p>
          <w:p>
            <w:pPr>
              <w:pStyle w:val="3"/>
              <w:rPr>
                <w:rFonts w:hint="eastAsia" w:ascii="宋体" w:hAnsi="宋体" w:eastAsia="宋体" w:cs="宋体"/>
                <w:sz w:val="21"/>
                <w:szCs w:val="21"/>
              </w:rPr>
            </w:pP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相关方需求与期望;</w:t>
            </w:r>
          </w:p>
          <w:p>
            <w:pPr>
              <w:pStyle w:val="3"/>
              <w:rPr>
                <w:rFonts w:hint="eastAsia" w:ascii="宋体" w:hAnsi="宋体" w:eastAsia="宋体" w:cs="宋体"/>
                <w:sz w:val="21"/>
                <w:szCs w:val="21"/>
              </w:rPr>
            </w:pP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确定体系范围;</w:t>
            </w:r>
          </w:p>
          <w:p>
            <w:pPr>
              <w:pStyle w:val="3"/>
              <w:rPr>
                <w:rFonts w:hint="eastAsia" w:ascii="宋体" w:hAnsi="宋体" w:eastAsia="宋体" w:cs="宋体"/>
                <w:sz w:val="21"/>
                <w:szCs w:val="21"/>
              </w:rPr>
            </w:pP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体系及其过程;</w:t>
            </w:r>
          </w:p>
          <w:p>
            <w:pPr>
              <w:tabs>
                <w:tab w:val="center" w:pos="3169"/>
              </w:tabs>
              <w:spacing w:line="400" w:lineRule="exact"/>
              <w:jc w:val="left"/>
              <w:rPr>
                <w:rFonts w:hint="eastAsia" w:ascii="宋体" w:hAnsi="宋体" w:eastAsia="宋体" w:cs="宋体"/>
                <w:sz w:val="21"/>
                <w:szCs w:val="21"/>
                <w:lang w:bidi="ar"/>
              </w:rPr>
            </w:pP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总要求</w:t>
            </w:r>
          </w:p>
          <w:p>
            <w:pPr>
              <w:rPr>
                <w:rFonts w:hint="eastAsia" w:ascii="宋体" w:hAnsi="宋体" w:eastAsia="宋体" w:cs="宋体"/>
                <w:sz w:val="21"/>
                <w:szCs w:val="21"/>
              </w:rPr>
            </w:pPr>
          </w:p>
          <w:p>
            <w:pPr>
              <w:adjustRightInd w:val="0"/>
              <w:snapToGrid w:val="0"/>
              <w:jc w:val="center"/>
              <w:rPr>
                <w:rFonts w:hint="eastAsia" w:ascii="宋体" w:hAnsi="宋体" w:eastAsia="宋体" w:cs="宋体"/>
                <w:kern w:val="2"/>
                <w:sz w:val="21"/>
                <w:szCs w:val="21"/>
                <w:lang w:val="en-US" w:eastAsia="zh-CN" w:bidi="ar-SA"/>
              </w:rPr>
            </w:pPr>
          </w:p>
        </w:tc>
        <w:tc>
          <w:tcPr>
            <w:tcW w:w="1228"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QE</w:t>
            </w:r>
            <w:r>
              <w:rPr>
                <w:rFonts w:hint="eastAsia" w:ascii="宋体" w:hAnsi="宋体" w:cs="宋体"/>
                <w:sz w:val="21"/>
                <w:szCs w:val="21"/>
                <w:lang w:val="en-US" w:eastAsia="zh-CN" w:bidi="ar"/>
              </w:rPr>
              <w:t>O</w:t>
            </w:r>
            <w:r>
              <w:rPr>
                <w:rFonts w:hint="eastAsia" w:ascii="宋体" w:hAnsi="宋体" w:eastAsia="宋体" w:cs="宋体"/>
                <w:sz w:val="21"/>
                <w:szCs w:val="21"/>
                <w:lang w:bidi="ar"/>
              </w:rPr>
              <w:t>:4.1;</w:t>
            </w:r>
          </w:p>
          <w:p>
            <w:pPr>
              <w:tabs>
                <w:tab w:val="center" w:pos="3169"/>
              </w:tabs>
              <w:spacing w:line="400" w:lineRule="exact"/>
              <w:jc w:val="left"/>
              <w:rPr>
                <w:rFonts w:hint="eastAsia" w:ascii="宋体" w:hAnsi="宋体" w:eastAsia="宋体" w:cs="宋体"/>
                <w:sz w:val="21"/>
                <w:szCs w:val="21"/>
                <w:lang w:bidi="ar"/>
              </w:rPr>
            </w:pP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4.2;</w:t>
            </w:r>
          </w:p>
          <w:p>
            <w:pPr>
              <w:tabs>
                <w:tab w:val="center" w:pos="3169"/>
              </w:tabs>
              <w:spacing w:line="400" w:lineRule="exact"/>
              <w:jc w:val="left"/>
              <w:rPr>
                <w:rFonts w:hint="eastAsia" w:ascii="宋体" w:hAnsi="宋体" w:eastAsia="宋体" w:cs="宋体"/>
                <w:sz w:val="21"/>
                <w:szCs w:val="21"/>
                <w:lang w:bidi="ar"/>
              </w:rPr>
            </w:pPr>
          </w:p>
          <w:p>
            <w:pPr>
              <w:tabs>
                <w:tab w:val="center" w:pos="3169"/>
              </w:tabs>
              <w:spacing w:line="400" w:lineRule="exact"/>
              <w:jc w:val="left"/>
              <w:rPr>
                <w:rFonts w:hint="eastAsia" w:ascii="宋体" w:hAnsi="宋体" w:eastAsia="宋体" w:cs="宋体"/>
                <w:sz w:val="21"/>
                <w:szCs w:val="21"/>
                <w:lang w:bidi="ar"/>
              </w:rPr>
            </w:pP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4.3;</w:t>
            </w:r>
          </w:p>
          <w:p>
            <w:pPr>
              <w:tabs>
                <w:tab w:val="center" w:pos="3169"/>
              </w:tabs>
              <w:spacing w:line="400" w:lineRule="exact"/>
              <w:jc w:val="left"/>
              <w:rPr>
                <w:rFonts w:hint="eastAsia" w:ascii="宋体" w:hAnsi="宋体" w:eastAsia="宋体" w:cs="宋体"/>
                <w:sz w:val="21"/>
                <w:szCs w:val="21"/>
                <w:lang w:bidi="ar"/>
              </w:rPr>
            </w:pP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4.4</w:t>
            </w:r>
          </w:p>
          <w:p>
            <w:pPr>
              <w:tabs>
                <w:tab w:val="center" w:pos="3169"/>
              </w:tabs>
              <w:spacing w:line="400" w:lineRule="exact"/>
              <w:jc w:val="left"/>
              <w:rPr>
                <w:rFonts w:hint="eastAsia" w:ascii="宋体" w:hAnsi="宋体" w:eastAsia="宋体" w:cs="宋体"/>
                <w:sz w:val="21"/>
                <w:szCs w:val="21"/>
                <w:lang w:bidi="ar"/>
              </w:rPr>
            </w:pPr>
          </w:p>
          <w:p>
            <w:pPr>
              <w:adjustRightInd w:val="0"/>
              <w:snapToGrid w:val="0"/>
              <w:rPr>
                <w:rFonts w:hint="eastAsia" w:ascii="宋体" w:hAnsi="宋体" w:eastAsia="宋体" w:cs="宋体"/>
                <w:kern w:val="2"/>
                <w:sz w:val="21"/>
                <w:szCs w:val="21"/>
                <w:lang w:val="en-US" w:eastAsia="zh-CN" w:bidi="ar-SA"/>
              </w:rPr>
            </w:pPr>
          </w:p>
        </w:tc>
        <w:tc>
          <w:tcPr>
            <w:tcW w:w="10943" w:type="dxa"/>
            <w:vAlign w:val="center"/>
          </w:tcPr>
          <w:p>
            <w:pPr>
              <w:tabs>
                <w:tab w:val="center" w:pos="3169"/>
              </w:tabs>
              <w:spacing w:line="400" w:lineRule="exact"/>
              <w:ind w:firstLine="420" w:firstLineChars="200"/>
              <w:jc w:val="left"/>
              <w:rPr>
                <w:rFonts w:hint="eastAsia" w:ascii="宋体" w:hAnsi="宋体" w:eastAsia="宋体" w:cs="宋体"/>
                <w:sz w:val="21"/>
                <w:szCs w:val="21"/>
                <w:lang w:eastAsia="zh-CN" w:bidi="ar"/>
              </w:rPr>
            </w:pPr>
            <w:r>
              <w:rPr>
                <w:rFonts w:hint="eastAsia" w:ascii="宋体" w:hAnsi="宋体" w:eastAsia="宋体" w:cs="宋体"/>
                <w:sz w:val="21"/>
                <w:szCs w:val="21"/>
                <w:lang w:bidi="ar"/>
              </w:rPr>
              <w:t>提供《质量/环境/职业健康安全/管理手册》，对公司地理位置、国内市场地位、法律法规要求、公司内部文化观价值观、内外部环境变化等均作出描述</w:t>
            </w:r>
            <w:r>
              <w:rPr>
                <w:rFonts w:hint="eastAsia" w:ascii="宋体" w:hAnsi="宋体" w:eastAsia="宋体" w:cs="宋体"/>
                <w:sz w:val="21"/>
                <w:szCs w:val="21"/>
                <w:lang w:eastAsia="zh-CN" w:bidi="ar"/>
              </w:rPr>
              <w:t>，江苏新图土地规划设计咨询有限公司成立于2018年，是以提供不动产、数据和测绘工程、土地规划及咨询、用地报批、社会稳定风险评估等服务的综合性、多元化的专业企业。</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与总经理张占奎沟通，简单介绍了企业的经营状况、</w:t>
            </w:r>
            <w:r>
              <w:rPr>
                <w:rFonts w:hint="eastAsia" w:ascii="宋体" w:hAnsi="宋体" w:eastAsia="宋体" w:cs="宋体"/>
                <w:sz w:val="21"/>
                <w:szCs w:val="21"/>
                <w:lang w:eastAsia="zh-CN" w:bidi="ar"/>
              </w:rPr>
              <w:t>数据和测绘工程、土地规划</w:t>
            </w:r>
            <w:r>
              <w:rPr>
                <w:rFonts w:hint="eastAsia" w:ascii="宋体" w:hAnsi="宋体" w:eastAsia="宋体" w:cs="宋体"/>
                <w:sz w:val="21"/>
                <w:szCs w:val="21"/>
                <w:lang w:bidi="ar"/>
              </w:rPr>
              <w:t>情况和顾客分布，介绍了公司文化的形成与发展、长短期发展目标、价值观的沟通，并对的公司内部环境和外部环境进行了分析。公司介绍，</w:t>
            </w:r>
            <w:r>
              <w:rPr>
                <w:rFonts w:hint="eastAsia" w:ascii="宋体" w:hAnsi="宋体" w:eastAsia="宋体" w:cs="宋体"/>
                <w:sz w:val="21"/>
                <w:szCs w:val="21"/>
                <w:lang w:eastAsia="zh-CN" w:bidi="ar"/>
              </w:rPr>
              <w:t>土地规划设计咨询</w:t>
            </w:r>
            <w:r>
              <w:rPr>
                <w:rFonts w:hint="eastAsia" w:ascii="宋体" w:hAnsi="宋体" w:eastAsia="宋体" w:cs="宋体"/>
                <w:sz w:val="21"/>
                <w:szCs w:val="21"/>
                <w:lang w:bidi="ar"/>
              </w:rPr>
              <w:t>能力在行业内有一定的市场地位。</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公司在管理手册中，明确风险和机遇事件的识别方法/途径、风险和机遇事件的评估方式、制定主要风险和机遇事件的应对措施的要求：公司全体员工的质量意识比较强，产品质量、服务在同行业中比较领先。公司的设备和服务的技术水平比较先进。</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对公司不利的内、外部因素有：计划制定不合理，导致无法按时完成计划任务，从而延误产品交付等；客户要求识别不完整、导致部分情况沟通不畅。</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公司通过同行交流、座谈会、每周工作例会、QQ、微信等进行内外部沟通，并定期进行评审，形成会议记录。</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抽查</w:t>
            </w:r>
            <w:r>
              <w:rPr>
                <w:rFonts w:hint="eastAsia" w:ascii="宋体" w:hAnsi="宋体" w:cs="宋体"/>
                <w:sz w:val="21"/>
                <w:szCs w:val="21"/>
                <w:lang w:val="en-US" w:eastAsia="zh-CN" w:bidi="ar"/>
              </w:rPr>
              <w:t>2022</w:t>
            </w:r>
            <w:r>
              <w:rPr>
                <w:rFonts w:hint="eastAsia" w:ascii="宋体" w:hAnsi="宋体" w:eastAsia="宋体" w:cs="宋体"/>
                <w:sz w:val="21"/>
                <w:szCs w:val="21"/>
                <w:lang w:bidi="ar"/>
              </w:rPr>
              <w:t>年过程风险机会识别措施评价表，内容及记录清晰。</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公司确定的相关方有员工、股东、政府、供方和合作伙伴、顾客等。</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理解员工诉求的形式为谈心、茶话会等；理解银行等相关方的形式主要为电话沟通、上门拜访等；</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员工关注的主要问题有工资、待遇、晋升机制、福利等，供方和合作伙伴关注的主要问题互利和连续性，产品质量、售后服务、成本价格、交付期等。</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对相关方的要求的监视和评审的方法多样，通过QQ和微信等现代通讯手段是常用的便捷而又高效主要方法。</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公司管理体系的范围是：</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QMS：土地规划设计；土地复垦开发整理;土地调查;资质内的测绘服务;地质灾害评估；社会稳定风险评估;计算机软件的开发。</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EMS：土地规划设计；土地复垦开发整理;土地调查;资质内的测绘服务;地质灾害评估；社会稳定风险评估;计算机软件的开发所涉及场所的相关环境管理活动</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OHSMS：土地规划设计；土地复垦开发整理;土地调查;资质内的测绘服务;地质灾害评估；社会稳定风险评估;计算机软件的开发所涉及场所的相关职业健康安全管理活动。</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经识别，组织依据标准的要求建立、实施、维护管理体系，符合标准要求。</w:t>
            </w:r>
          </w:p>
          <w:p>
            <w:pPr>
              <w:pStyle w:val="5"/>
              <w:ind w:firstLine="420" w:firstLineChars="200"/>
              <w:rPr>
                <w:rFonts w:hint="eastAsia" w:ascii="宋体" w:hAnsi="宋体" w:eastAsia="宋体" w:cs="宋体"/>
                <w:sz w:val="21"/>
                <w:szCs w:val="21"/>
                <w:lang w:val="en-US" w:eastAsia="zh-CN" w:bidi="ar"/>
              </w:rPr>
            </w:pPr>
            <w:r>
              <w:rPr>
                <w:rFonts w:hint="eastAsia" w:ascii="宋体" w:hAnsi="宋体" w:eastAsia="宋体" w:cs="宋体"/>
                <w:sz w:val="21"/>
                <w:szCs w:val="21"/>
                <w:lang w:bidi="ar"/>
              </w:rPr>
              <w:t>公司</w:t>
            </w:r>
            <w:r>
              <w:rPr>
                <w:rFonts w:hint="eastAsia" w:ascii="宋体" w:hAnsi="宋体" w:eastAsia="宋体" w:cs="宋体"/>
                <w:sz w:val="21"/>
                <w:szCs w:val="21"/>
                <w:lang w:val="en-US" w:eastAsia="zh-CN" w:bidi="ar"/>
              </w:rPr>
              <w:t>2018年建立的</w:t>
            </w:r>
            <w:r>
              <w:rPr>
                <w:rFonts w:hint="eastAsia" w:ascii="宋体" w:hAnsi="宋体" w:eastAsia="宋体" w:cs="宋体"/>
                <w:sz w:val="21"/>
                <w:szCs w:val="21"/>
                <w:lang w:bidi="ar"/>
              </w:rPr>
              <w:t>质量、环境和职业健康安全管理体系</w:t>
            </w:r>
            <w:r>
              <w:rPr>
                <w:rFonts w:hint="eastAsia" w:ascii="宋体" w:hAnsi="宋体" w:eastAsia="宋体" w:cs="宋体"/>
                <w:sz w:val="21"/>
                <w:szCs w:val="21"/>
                <w:lang w:val="en-US" w:eastAsia="zh-CN" w:bidi="ar"/>
              </w:rPr>
              <w:t>及文件经过</w:t>
            </w:r>
            <w:r>
              <w:rPr>
                <w:rFonts w:hint="eastAsia" w:ascii="宋体" w:hAnsi="宋体" w:cs="宋体"/>
                <w:sz w:val="21"/>
                <w:szCs w:val="21"/>
                <w:lang w:val="en-US" w:eastAsia="zh-CN" w:bidi="ar"/>
              </w:rPr>
              <w:t>多</w:t>
            </w:r>
            <w:r>
              <w:rPr>
                <w:rFonts w:hint="eastAsia" w:ascii="宋体" w:hAnsi="宋体" w:eastAsia="宋体" w:cs="宋体"/>
                <w:sz w:val="21"/>
                <w:szCs w:val="21"/>
                <w:lang w:val="en-US" w:eastAsia="zh-CN" w:bidi="ar"/>
              </w:rPr>
              <w:t>年的运行，2020年12 月6日对质量环境职业健康安全管理体系手册、程序文件等体系文件，按GB/T 19001-2016 、GB/T 24001-2016、 GB/T45001—2020进行了修改，为B/0版 实施日期为2020年12月6日。</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公司按照标准建立</w:t>
            </w:r>
            <w:r>
              <w:rPr>
                <w:rFonts w:hint="eastAsia" w:ascii="宋体" w:hAnsi="宋体" w:eastAsia="宋体" w:cs="宋体"/>
                <w:sz w:val="21"/>
                <w:szCs w:val="21"/>
                <w:lang w:val="en-US" w:eastAsia="zh-CN" w:bidi="ar"/>
              </w:rPr>
              <w:t>的</w:t>
            </w:r>
            <w:r>
              <w:rPr>
                <w:rFonts w:hint="eastAsia" w:ascii="宋体" w:hAnsi="宋体" w:eastAsia="宋体" w:cs="宋体"/>
                <w:sz w:val="21"/>
                <w:szCs w:val="21"/>
                <w:lang w:bidi="ar"/>
              </w:rPr>
              <w:t>文件化的管理体系，管理手册、程序文件、三级文件，文件中包括了QEO方针、目标</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 xml:space="preserve"> 各部门的职责权限</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公司管理体系确定</w:t>
            </w:r>
            <w:r>
              <w:rPr>
                <w:rFonts w:hint="eastAsia" w:ascii="宋体" w:hAnsi="宋体" w:eastAsia="宋体" w:cs="宋体"/>
                <w:sz w:val="21"/>
                <w:szCs w:val="21"/>
                <w:lang w:val="en-US" w:eastAsia="zh-CN" w:bidi="ar"/>
              </w:rPr>
              <w:t>的</w:t>
            </w:r>
            <w:r>
              <w:rPr>
                <w:rFonts w:hint="eastAsia" w:ascii="宋体" w:hAnsi="宋体" w:eastAsia="宋体" w:cs="宋体"/>
                <w:sz w:val="21"/>
                <w:szCs w:val="21"/>
                <w:lang w:bidi="ar"/>
              </w:rPr>
              <w:t>过程、各过程的顺序、过程的评价、实施所需的变更等</w:t>
            </w:r>
            <w:r>
              <w:rPr>
                <w:rFonts w:hint="eastAsia" w:ascii="宋体" w:hAnsi="宋体" w:eastAsia="宋体" w:cs="宋体"/>
                <w:sz w:val="21"/>
                <w:szCs w:val="21"/>
                <w:lang w:val="en-US" w:eastAsia="zh-CN" w:bidi="ar"/>
              </w:rPr>
              <w:t>都得到运行</w:t>
            </w:r>
            <w:r>
              <w:rPr>
                <w:rFonts w:hint="eastAsia" w:ascii="宋体" w:hAnsi="宋体" w:eastAsia="宋体" w:cs="宋体"/>
                <w:sz w:val="21"/>
                <w:szCs w:val="21"/>
                <w:lang w:bidi="ar"/>
              </w:rPr>
              <w:t>，策划</w:t>
            </w:r>
            <w:r>
              <w:rPr>
                <w:rFonts w:hint="eastAsia" w:ascii="宋体" w:hAnsi="宋体" w:eastAsia="宋体" w:cs="宋体"/>
                <w:sz w:val="21"/>
                <w:szCs w:val="21"/>
                <w:lang w:val="en-US" w:eastAsia="zh-CN" w:bidi="ar"/>
              </w:rPr>
              <w:t>的</w:t>
            </w:r>
            <w:r>
              <w:rPr>
                <w:rFonts w:hint="eastAsia" w:ascii="宋体" w:hAnsi="宋体" w:eastAsia="宋体" w:cs="宋体"/>
                <w:sz w:val="21"/>
                <w:szCs w:val="21"/>
                <w:lang w:bidi="ar"/>
              </w:rPr>
              <w:t>过程及质量管理体系监视、测量、分析、改进的职责权限分配等，</w:t>
            </w:r>
            <w:r>
              <w:rPr>
                <w:rFonts w:hint="eastAsia" w:ascii="宋体" w:hAnsi="宋体" w:eastAsia="宋体" w:cs="宋体"/>
                <w:sz w:val="21"/>
                <w:szCs w:val="21"/>
                <w:lang w:val="en-US" w:eastAsia="zh-CN" w:bidi="ar"/>
              </w:rPr>
              <w:t>因为</w:t>
            </w:r>
            <w:r>
              <w:rPr>
                <w:rFonts w:hint="eastAsia" w:ascii="宋体" w:hAnsi="宋体" w:eastAsia="宋体" w:cs="宋体"/>
                <w:sz w:val="21"/>
                <w:szCs w:val="21"/>
                <w:lang w:bidi="ar"/>
              </w:rPr>
              <w:t>考虑了内外部因素和相关方的要求，</w:t>
            </w:r>
            <w:r>
              <w:rPr>
                <w:rFonts w:hint="eastAsia" w:ascii="宋体" w:hAnsi="宋体" w:eastAsia="宋体" w:cs="宋体"/>
                <w:sz w:val="21"/>
                <w:szCs w:val="21"/>
                <w:lang w:val="en-US" w:eastAsia="zh-CN" w:bidi="ar"/>
              </w:rPr>
              <w:t>避免了</w:t>
            </w:r>
            <w:r>
              <w:rPr>
                <w:rFonts w:hint="eastAsia" w:ascii="宋体" w:hAnsi="宋体" w:eastAsia="宋体" w:cs="宋体"/>
                <w:sz w:val="21"/>
                <w:szCs w:val="21"/>
                <w:lang w:bidi="ar"/>
              </w:rPr>
              <w:t>风险和</w:t>
            </w:r>
            <w:r>
              <w:rPr>
                <w:rFonts w:hint="eastAsia" w:ascii="宋体" w:hAnsi="宋体" w:eastAsia="宋体" w:cs="宋体"/>
                <w:sz w:val="21"/>
                <w:szCs w:val="21"/>
                <w:lang w:val="en-US" w:eastAsia="zh-CN" w:bidi="ar"/>
              </w:rPr>
              <w:t>提高了</w:t>
            </w:r>
            <w:r>
              <w:rPr>
                <w:rFonts w:hint="eastAsia" w:ascii="宋体" w:hAnsi="宋体" w:eastAsia="宋体" w:cs="宋体"/>
                <w:sz w:val="21"/>
                <w:szCs w:val="21"/>
                <w:lang w:bidi="ar"/>
              </w:rPr>
              <w:t>机遇。</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公司文件适宜，符合公司规模、人员能力、过程及其相互作用的复杂程度。基本符合标准要求。</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公司按照标准的要求，建立、实施、保持和持续改进环境、职业健康安全管理体系，包括所需过程及其相互作用</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确</w:t>
            </w:r>
            <w:r>
              <w:rPr>
                <w:rFonts w:hint="eastAsia" w:ascii="宋体" w:hAnsi="宋体" w:eastAsia="宋体" w:cs="宋体"/>
                <w:sz w:val="21"/>
                <w:szCs w:val="21"/>
                <w:lang w:val="en-US" w:eastAsia="zh-CN" w:bidi="ar"/>
              </w:rPr>
              <w:t>保了</w:t>
            </w:r>
            <w:r>
              <w:rPr>
                <w:rFonts w:hint="eastAsia" w:ascii="宋体" w:hAnsi="宋体" w:eastAsia="宋体" w:cs="宋体"/>
                <w:sz w:val="21"/>
                <w:szCs w:val="21"/>
                <w:lang w:bidi="ar"/>
              </w:rPr>
              <w:t>环境、职业健康安全管理体系所需的过程及其在整个组织中的应用。</w:t>
            </w:r>
          </w:p>
          <w:p>
            <w:pPr>
              <w:tabs>
                <w:tab w:val="center" w:pos="3169"/>
              </w:tabs>
              <w:spacing w:line="400" w:lineRule="exact"/>
              <w:jc w:val="left"/>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经确认的关键过程：</w:t>
            </w:r>
            <w:r>
              <w:rPr>
                <w:rFonts w:hint="eastAsia" w:ascii="宋体" w:hAnsi="宋体" w:eastAsia="宋体" w:cs="宋体"/>
                <w:sz w:val="21"/>
                <w:szCs w:val="21"/>
                <w:lang w:bidi="ar"/>
              </w:rPr>
              <w:t>设计、测绘过程</w:t>
            </w:r>
            <w:r>
              <w:rPr>
                <w:rFonts w:hint="eastAsia" w:ascii="宋体" w:hAnsi="宋体" w:eastAsia="宋体" w:cs="宋体"/>
                <w:sz w:val="21"/>
                <w:szCs w:val="21"/>
                <w:lang w:val="en-US" w:eastAsia="zh-CN" w:bidi="ar"/>
              </w:rPr>
              <w:t>控制有效。</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领导作用与承诺</w:t>
            </w:r>
          </w:p>
          <w:p>
            <w:pPr>
              <w:tabs>
                <w:tab w:val="center" w:pos="3169"/>
              </w:tabs>
              <w:spacing w:line="400" w:lineRule="exact"/>
              <w:jc w:val="left"/>
              <w:rPr>
                <w:rFonts w:hint="eastAsia" w:ascii="宋体" w:hAnsi="宋体" w:eastAsia="宋体" w:cs="宋体"/>
                <w:sz w:val="21"/>
                <w:szCs w:val="21"/>
                <w:lang w:bidi="ar"/>
              </w:rPr>
            </w:pPr>
          </w:p>
        </w:tc>
        <w:tc>
          <w:tcPr>
            <w:tcW w:w="1228" w:type="dxa"/>
            <w:vAlign w:val="center"/>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QE</w:t>
            </w:r>
            <w:r>
              <w:rPr>
                <w:rFonts w:hint="eastAsia" w:ascii="宋体" w:hAnsi="宋体" w:cs="宋体"/>
                <w:sz w:val="21"/>
                <w:szCs w:val="21"/>
                <w:lang w:val="en-US" w:eastAsia="zh-CN" w:bidi="ar"/>
              </w:rPr>
              <w:t>O</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5.1</w:t>
            </w:r>
          </w:p>
        </w:tc>
        <w:tc>
          <w:tcPr>
            <w:tcW w:w="10943" w:type="dxa"/>
            <w:vAlign w:val="center"/>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总经理：张占奎；    管代：尤才</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2、制定和发布公司自身发展质量方针； </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3、确保管理目标的制定、分解落实到相关职能和部门，并激励员工为实现目标而努力； </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5、为确保建立、运行和持续改进管理体系所需的一切资源得到满足，公司提供了信息、技术、人力、设备、环境和资金等必要资源。</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92" w:type="dxa"/>
            <w:vAlign w:val="center"/>
          </w:tcPr>
          <w:p>
            <w:pPr>
              <w:rPr>
                <w:rFonts w:hint="eastAsia" w:ascii="宋体" w:hAnsi="宋体" w:eastAsia="宋体" w:cs="宋体"/>
                <w:sz w:val="21"/>
                <w:szCs w:val="21"/>
              </w:rPr>
            </w:pPr>
            <w:r>
              <w:rPr>
                <w:rFonts w:hint="eastAsia" w:ascii="宋体" w:hAnsi="宋体" w:eastAsia="宋体" w:cs="宋体"/>
                <w:sz w:val="21"/>
                <w:szCs w:val="21"/>
              </w:rPr>
              <w:t>方针</w:t>
            </w:r>
          </w:p>
        </w:tc>
        <w:tc>
          <w:tcPr>
            <w:tcW w:w="1228"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cs="宋体"/>
                <w:sz w:val="21"/>
                <w:szCs w:val="21"/>
                <w:lang w:val="en-US" w:eastAsia="zh-CN"/>
              </w:rPr>
              <w:t>O</w:t>
            </w:r>
            <w:r>
              <w:rPr>
                <w:rFonts w:hint="eastAsia" w:ascii="宋体" w:hAnsi="宋体" w:eastAsia="宋体" w:cs="宋体"/>
                <w:sz w:val="21"/>
                <w:szCs w:val="21"/>
                <w:lang w:eastAsia="zh-CN"/>
              </w:rPr>
              <w:t>：</w:t>
            </w:r>
            <w:r>
              <w:rPr>
                <w:rFonts w:hint="eastAsia" w:ascii="宋体" w:hAnsi="宋体" w:eastAsia="宋体" w:cs="宋体"/>
                <w:sz w:val="21"/>
                <w:szCs w:val="21"/>
              </w:rPr>
              <w:t xml:space="preserve">5.2 </w:t>
            </w:r>
          </w:p>
          <w:p>
            <w:pPr>
              <w:adjustRightInd w:val="0"/>
              <w:snapToGrid w:val="0"/>
              <w:rPr>
                <w:rFonts w:hint="eastAsia" w:ascii="宋体" w:hAnsi="宋体" w:eastAsia="宋体" w:cs="宋体"/>
                <w:sz w:val="21"/>
                <w:szCs w:val="21"/>
              </w:rPr>
            </w:pPr>
          </w:p>
        </w:tc>
        <w:tc>
          <w:tcPr>
            <w:tcW w:w="10943" w:type="dxa"/>
            <w:vAlign w:val="center"/>
          </w:tcPr>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1、质量方针：</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“以质量求生存，以创新求发展；以诚信求市场，以管理求效益”。</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2、公司的环境、职业健康安全方针：</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“以人为本；遵纪守法；预防危害；持续改进”</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公司制定的体系文件对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QEO管理方针在手册上进行了确定和发布，并通过文件发放的形式发放至各部门、给员工进行了宣传培训。</w:t>
            </w:r>
          </w:p>
          <w:p>
            <w:pPr>
              <w:spacing w:line="400" w:lineRule="exact"/>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手册对方针的内涵进行了阐述，为目标制定及评审提供了框架，每年至少一次,在管理评审会议上讨论其适宜性和改进机会。 </w:t>
            </w:r>
          </w:p>
          <w:p>
            <w:pPr>
              <w:spacing w:line="400" w:lineRule="exact"/>
              <w:ind w:firstLine="420" w:firstLineChars="0"/>
              <w:jc w:val="left"/>
              <w:rPr>
                <w:rFonts w:hint="eastAsia" w:ascii="宋体" w:hAnsi="宋体" w:eastAsia="宋体" w:cs="宋体"/>
                <w:sz w:val="21"/>
                <w:szCs w:val="21"/>
              </w:rPr>
            </w:pPr>
            <w:r>
              <w:rPr>
                <w:rFonts w:hint="eastAsia" w:ascii="宋体" w:hAnsi="宋体" w:eastAsia="宋体" w:cs="宋体"/>
                <w:sz w:val="21"/>
                <w:szCs w:val="21"/>
                <w:lang w:bidi="ar"/>
              </w:rPr>
              <w:t>现场查见QE</w:t>
            </w:r>
            <w:r>
              <w:rPr>
                <w:rFonts w:hint="eastAsia" w:ascii="宋体" w:hAnsi="宋体" w:cs="宋体"/>
                <w:sz w:val="21"/>
                <w:szCs w:val="21"/>
                <w:lang w:val="en-US" w:eastAsia="zh-CN" w:bidi="ar"/>
              </w:rPr>
              <w:t>O</w:t>
            </w:r>
            <w:r>
              <w:rPr>
                <w:rFonts w:hint="eastAsia" w:ascii="宋体" w:hAnsi="宋体" w:eastAsia="宋体" w:cs="宋体"/>
                <w:sz w:val="21"/>
                <w:szCs w:val="21"/>
                <w:lang w:bidi="ar"/>
              </w:rPr>
              <w:t>方针在</w:t>
            </w:r>
            <w:r>
              <w:rPr>
                <w:rFonts w:hint="eastAsia" w:ascii="宋体" w:hAnsi="宋体" w:eastAsia="宋体" w:cs="宋体"/>
                <w:sz w:val="21"/>
                <w:szCs w:val="21"/>
                <w:lang w:val="en-US" w:eastAsia="zh-CN" w:bidi="ar"/>
              </w:rPr>
              <w:t>公司</w:t>
            </w:r>
            <w:r>
              <w:rPr>
                <w:rFonts w:hint="eastAsia" w:ascii="宋体" w:hAnsi="宋体" w:eastAsia="宋体" w:cs="宋体"/>
                <w:sz w:val="21"/>
                <w:szCs w:val="21"/>
                <w:lang w:bidi="ar"/>
              </w:rPr>
              <w:t>上墙发布，企业的QES方针的内容和管理基本符合标准和法规要求。</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组织的角色、职责和权限；</w:t>
            </w:r>
          </w:p>
          <w:p>
            <w:pPr>
              <w:adjustRightInd w:val="0"/>
              <w:snapToGrid w:val="0"/>
              <w:jc w:val="left"/>
              <w:rPr>
                <w:rFonts w:hint="eastAsia" w:ascii="宋体" w:hAnsi="宋体" w:eastAsia="宋体" w:cs="宋体"/>
                <w:sz w:val="21"/>
                <w:szCs w:val="21"/>
              </w:rPr>
            </w:pP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协商与参与</w:t>
            </w:r>
          </w:p>
        </w:tc>
        <w:tc>
          <w:tcPr>
            <w:tcW w:w="1228"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eastAsia="宋体" w:cs="宋体"/>
                <w:sz w:val="21"/>
                <w:szCs w:val="21"/>
                <w:lang w:val="en-US" w:eastAsia="zh-CN"/>
              </w:rPr>
              <w:t>O:</w:t>
            </w:r>
            <w:r>
              <w:rPr>
                <w:rFonts w:hint="eastAsia" w:ascii="宋体" w:hAnsi="宋体" w:eastAsia="宋体" w:cs="宋体"/>
                <w:sz w:val="21"/>
                <w:szCs w:val="21"/>
              </w:rPr>
              <w:t xml:space="preserve">5.3 </w:t>
            </w:r>
          </w:p>
          <w:p>
            <w:pPr>
              <w:rPr>
                <w:rFonts w:hint="eastAsia" w:ascii="宋体" w:hAnsi="宋体" w:eastAsia="宋体" w:cs="宋体"/>
                <w:sz w:val="21"/>
                <w:szCs w:val="21"/>
              </w:rPr>
            </w:pPr>
            <w:r>
              <w:rPr>
                <w:rFonts w:hint="eastAsia" w:ascii="宋体" w:hAnsi="宋体" w:eastAsia="宋体" w:cs="宋体"/>
                <w:sz w:val="21"/>
                <w:szCs w:val="21"/>
              </w:rPr>
              <w:t>O</w:t>
            </w:r>
            <w:r>
              <w:rPr>
                <w:rFonts w:hint="eastAsia" w:ascii="宋体" w:hAnsi="宋体" w:eastAsia="宋体" w:cs="宋体"/>
                <w:sz w:val="21"/>
                <w:szCs w:val="21"/>
                <w:lang w:eastAsia="zh-CN"/>
              </w:rPr>
              <w:t>：</w:t>
            </w:r>
            <w:r>
              <w:rPr>
                <w:rFonts w:hint="eastAsia" w:ascii="宋体" w:hAnsi="宋体" w:eastAsia="宋体" w:cs="宋体"/>
                <w:sz w:val="21"/>
                <w:szCs w:val="21"/>
              </w:rPr>
              <w:t>5.4</w:t>
            </w:r>
          </w:p>
        </w:tc>
        <w:tc>
          <w:tcPr>
            <w:tcW w:w="10943"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ascii="宋体" w:hAnsi="宋体" w:eastAsia="宋体" w:cs="宋体"/>
                <w:sz w:val="21"/>
                <w:szCs w:val="21"/>
                <w:lang w:eastAsia="zh-CN"/>
              </w:rPr>
              <w:t>尤才</w:t>
            </w:r>
            <w:r>
              <w:rPr>
                <w:rFonts w:hint="eastAsia" w:ascii="宋体" w:hAnsi="宋体" w:eastAsia="宋体" w:cs="宋体"/>
                <w:sz w:val="21"/>
                <w:szCs w:val="21"/>
              </w:rPr>
              <w:t>为管理体系的管理者代表。其职责和权限规定如下：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确保本公司管理体系所需的过程得到建立、实施和保持，代表</w:t>
            </w:r>
            <w:r>
              <w:rPr>
                <w:rFonts w:hint="eastAsia" w:ascii="宋体" w:hAnsi="宋体" w:eastAsia="宋体" w:cs="宋体"/>
                <w:sz w:val="21"/>
                <w:szCs w:val="21"/>
                <w:lang w:eastAsia="zh-CN"/>
              </w:rPr>
              <w:t>张占奎</w:t>
            </w:r>
            <w:r>
              <w:rPr>
                <w:rFonts w:hint="eastAsia" w:ascii="宋体" w:hAnsi="宋体" w:eastAsia="宋体" w:cs="宋体"/>
                <w:sz w:val="21"/>
                <w:szCs w:val="21"/>
              </w:rPr>
              <w:t>行使职权；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r>
              <w:rPr>
                <w:rFonts w:hint="eastAsia" w:ascii="宋体" w:hAnsi="宋体" w:eastAsia="宋体" w:cs="宋体"/>
                <w:sz w:val="21"/>
                <w:szCs w:val="21"/>
                <w:lang w:eastAsia="zh-CN"/>
              </w:rPr>
              <w:t>，</w:t>
            </w:r>
            <w:r>
              <w:rPr>
                <w:rFonts w:hint="eastAsia" w:ascii="宋体" w:hAnsi="宋体" w:eastAsia="宋体" w:cs="宋体"/>
                <w:sz w:val="21"/>
                <w:szCs w:val="21"/>
              </w:rPr>
              <w:t>询问管代</w:t>
            </w:r>
            <w:r>
              <w:rPr>
                <w:rFonts w:hint="eastAsia" w:ascii="宋体" w:hAnsi="宋体" w:eastAsia="宋体" w:cs="宋体"/>
                <w:sz w:val="21"/>
                <w:szCs w:val="21"/>
                <w:lang w:eastAsia="zh-CN"/>
              </w:rPr>
              <w:t xml:space="preserve">尤才 </w:t>
            </w:r>
            <w:r>
              <w:rPr>
                <w:rFonts w:hint="eastAsia" w:ascii="宋体" w:hAnsi="宋体" w:eastAsia="宋体" w:cs="宋体"/>
                <w:sz w:val="21"/>
                <w:szCs w:val="21"/>
              </w:rPr>
              <w:t>，职责回答正确。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询问员工职业健康安全事务代表职责：</w:t>
            </w:r>
            <w:r>
              <w:rPr>
                <w:rFonts w:hint="eastAsia" w:ascii="宋体" w:hAnsi="宋体" w:eastAsia="宋体" w:cs="宋体"/>
                <w:sz w:val="21"/>
                <w:szCs w:val="21"/>
                <w:lang w:val="en-US" w:eastAsia="zh-CN"/>
              </w:rPr>
              <w:t>李扬</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1)参与职业健康安全管理体系的建立、实施和改进；2)代表员工对涉及员工职业健康安全的有关事宜与本公司领导、部门进行协商；3)参与职业健康安全监督管理和事故调查处理。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承诺基本实现，没有违反的情况发生。</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top"/>
          </w:tcPr>
          <w:p>
            <w:pPr>
              <w:adjustRightInd w:val="0"/>
              <w:snapToGrid w:val="0"/>
              <w:jc w:val="left"/>
              <w:rPr>
                <w:rFonts w:hint="eastAsia" w:ascii="宋体" w:hAnsi="宋体" w:eastAsia="宋体" w:cs="宋体"/>
                <w:sz w:val="21"/>
                <w:szCs w:val="21"/>
              </w:rPr>
            </w:pPr>
          </w:p>
          <w:p>
            <w:pPr>
              <w:adjustRightInd w:val="0"/>
              <w:snapToGrid w:val="0"/>
              <w:jc w:val="left"/>
              <w:rPr>
                <w:rFonts w:hint="eastAsia" w:ascii="宋体" w:hAnsi="宋体" w:eastAsia="宋体" w:cs="宋体"/>
                <w:sz w:val="21"/>
                <w:szCs w:val="21"/>
              </w:rPr>
            </w:pPr>
          </w:p>
          <w:p>
            <w:pPr>
              <w:adjustRightInd w:val="0"/>
              <w:snapToGrid w:val="0"/>
              <w:jc w:val="left"/>
              <w:rPr>
                <w:rFonts w:hint="eastAsia" w:ascii="宋体" w:hAnsi="宋体" w:eastAsia="宋体" w:cs="宋体"/>
                <w:sz w:val="21"/>
                <w:szCs w:val="21"/>
              </w:rPr>
            </w:pP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应对风险和机遇的措施；</w:t>
            </w:r>
          </w:p>
        </w:tc>
        <w:tc>
          <w:tcPr>
            <w:tcW w:w="1228"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cs="宋体"/>
                <w:sz w:val="21"/>
                <w:szCs w:val="21"/>
                <w:lang w:val="en-US" w:eastAsia="zh-CN"/>
              </w:rPr>
              <w:t>O ：</w:t>
            </w:r>
            <w:r>
              <w:rPr>
                <w:rFonts w:hint="eastAsia" w:ascii="宋体" w:hAnsi="宋体" w:eastAsia="宋体" w:cs="宋体"/>
                <w:sz w:val="21"/>
                <w:szCs w:val="21"/>
              </w:rPr>
              <w:t xml:space="preserve">6.1 </w:t>
            </w:r>
          </w:p>
          <w:p>
            <w:pPr>
              <w:rPr>
                <w:rFonts w:hint="eastAsia" w:ascii="宋体" w:hAnsi="宋体" w:eastAsia="宋体" w:cs="宋体"/>
                <w:sz w:val="21"/>
                <w:szCs w:val="21"/>
              </w:rPr>
            </w:pPr>
          </w:p>
        </w:tc>
        <w:tc>
          <w:tcPr>
            <w:tcW w:w="10943" w:type="dxa"/>
            <w:vAlign w:val="top"/>
          </w:tcPr>
          <w:p>
            <w:pPr>
              <w:spacing w:line="360" w:lineRule="auto"/>
            </w:pPr>
            <w:r>
              <w:rPr>
                <w:rFonts w:hint="eastAsia"/>
              </w:rPr>
              <w:t>公司策划并批准实施《风险和机遇评估分析表》，内容包括风险类型、风险因素、应对机遇及措施、现行控制方法、涉及的场所及部门等；</w:t>
            </w:r>
          </w:p>
          <w:p>
            <w:pPr>
              <w:spacing w:line="360" w:lineRule="auto"/>
            </w:pPr>
            <w:r>
              <w:rPr>
                <w:rFonts w:hint="eastAsia"/>
              </w:rPr>
              <w:t>查见《风险和机遇评估分析表》：</w:t>
            </w:r>
          </w:p>
          <w:p>
            <w:pPr>
              <w:numPr>
                <w:ilvl w:val="0"/>
                <w:numId w:val="1"/>
              </w:numPr>
              <w:spacing w:line="360" w:lineRule="auto"/>
            </w:pPr>
            <w:r>
              <w:rPr>
                <w:rFonts w:hint="eastAsia"/>
              </w:rPr>
              <w:t>类型：外部因素；</w:t>
            </w:r>
          </w:p>
          <w:p>
            <w:r>
              <w:rPr>
                <w:rFonts w:hint="eastAsia"/>
              </w:rPr>
              <w:t xml:space="preserve">   类别：客户的需求风险：客户对服务质量标准提高，以及对服务及时性和售后服务的期望值提升，给公司服务、质量和售后管理提出新的要求。</w:t>
            </w:r>
          </w:p>
          <w:p>
            <w:pPr>
              <w:spacing w:line="360" w:lineRule="auto"/>
              <w:ind w:firstLine="420" w:firstLineChars="200"/>
            </w:pPr>
            <w:r>
              <w:rPr>
                <w:rFonts w:hint="eastAsia"/>
              </w:rPr>
              <w:t>应对机遇及措施：1）技术部加强与客户进行质量标准制定的沟通，统一双方的标准</w:t>
            </w:r>
            <w:r>
              <w:t>和检查方法</w:t>
            </w:r>
            <w:r>
              <w:rPr>
                <w:rFonts w:hint="eastAsia"/>
              </w:rPr>
              <w:t>；2）技术部做好服务计划的安排，保证服务计划的执行。</w:t>
            </w:r>
          </w:p>
          <w:p>
            <w:pPr>
              <w:spacing w:line="360" w:lineRule="auto"/>
              <w:ind w:firstLine="630" w:firstLineChars="300"/>
            </w:pPr>
            <w:r>
              <w:rPr>
                <w:rFonts w:hint="eastAsia"/>
              </w:rPr>
              <w:t>针对外部因素，还分析了市场、供应商、文化、社会经济、法律法规的变化等。</w:t>
            </w:r>
          </w:p>
          <w:p>
            <w:pPr>
              <w:numPr>
                <w:ilvl w:val="0"/>
                <w:numId w:val="1"/>
              </w:numPr>
              <w:spacing w:line="360" w:lineRule="auto"/>
            </w:pPr>
            <w:r>
              <w:rPr>
                <w:rFonts w:hint="eastAsia"/>
              </w:rPr>
              <w:t>类型：内部因素；</w:t>
            </w:r>
          </w:p>
          <w:p>
            <w:pPr>
              <w:spacing w:line="360" w:lineRule="auto"/>
            </w:pPr>
            <w:r>
              <w:rPr>
                <w:rFonts w:hint="eastAsia"/>
              </w:rPr>
              <w:t xml:space="preserve">   类别：人力资源风险：公司目前人员，被外单位吸引离开的情况还是存在，人员在素质上参差不齐，可能对工作完成质量造成不好的影响。机遇：本公司从事该行业多年，有着十分丰富的管理经验和优秀的技术和销售人才，公司长期致力于公司团队建设和骨干的培养，员工归属感认可度较高。</w:t>
            </w:r>
          </w:p>
          <w:p>
            <w:pPr>
              <w:spacing w:line="360" w:lineRule="auto"/>
            </w:pPr>
            <w:r>
              <w:rPr>
                <w:rFonts w:hint="eastAsia"/>
              </w:rPr>
              <w:t>应对机遇及措施：各部门应及时关注员工的心态变化，注意工作方式，创造良好的工作环境，继续加强团队建设和骨干的培养，提高员工的忠诚度。</w:t>
            </w:r>
          </w:p>
          <w:p>
            <w:pPr>
              <w:spacing w:line="360" w:lineRule="auto"/>
            </w:pPr>
            <w:r>
              <w:rPr>
                <w:rFonts w:hint="eastAsia"/>
              </w:rPr>
              <w:t>针对内部因素，还分析了财务状况、人力资源、基础设施等。</w:t>
            </w:r>
          </w:p>
          <w:p>
            <w:pPr>
              <w:spacing w:line="360" w:lineRule="auto"/>
              <w:rPr>
                <w:rFonts w:hint="eastAsia"/>
              </w:rPr>
            </w:pPr>
            <w:r>
              <w:rPr>
                <w:rFonts w:hint="eastAsia"/>
              </w:rPr>
              <w:t>应对风险和机遇的措施与其对于产品和服务符合性的潜在影响相适应。</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提供有《环境因素识别评价控制程序》，</w:t>
            </w:r>
            <w:r>
              <w:rPr>
                <w:rFonts w:hint="eastAsia" w:ascii="宋体" w:hAnsi="宋体" w:cs="宋体"/>
                <w:color w:val="auto"/>
              </w:rPr>
              <w:t>《危险源辨识及策划控制程序》</w:t>
            </w:r>
            <w:r>
              <w:rPr>
                <w:rFonts w:hint="eastAsia" w:ascii="宋体" w:hAnsi="宋体" w:eastAsia="宋体" w:cs="宋体"/>
                <w:sz w:val="21"/>
                <w:szCs w:val="21"/>
                <w:lang w:bidi="ar"/>
              </w:rPr>
              <w:t>内容包括环境因素的识别、确认、汇总、评价和重要环境因素的确定、登记、清单发放及更新控制。</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公司重要环境因素有以下两项</w:t>
            </w:r>
            <w:r>
              <w:rPr>
                <w:rFonts w:hint="eastAsia" w:ascii="宋体" w:hAnsi="宋体" w:eastAsia="宋体" w:cs="宋体"/>
                <w:sz w:val="21"/>
                <w:szCs w:val="21"/>
                <w:lang w:val="en-US" w:eastAsia="zh-CN" w:bidi="ar"/>
              </w:rPr>
              <w:t xml:space="preserve">:  </w:t>
            </w:r>
            <w:r>
              <w:rPr>
                <w:rFonts w:hint="eastAsia" w:ascii="宋体" w:hAnsi="宋体" w:eastAsia="宋体" w:cs="宋体"/>
                <w:sz w:val="21"/>
                <w:szCs w:val="21"/>
                <w:lang w:bidi="ar"/>
              </w:rPr>
              <w:t>潜在火灾；固废排放</w:t>
            </w:r>
          </w:p>
          <w:p>
            <w:pPr>
              <w:numPr>
                <w:ilvl w:val="0"/>
                <w:numId w:val="0"/>
              </w:num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抽查以上两项环境因素的管理措施：</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1、固废排放：按时向物管交纳垃圾清运费；购备垃圾箱，及时回收，分类堆放。定期交由有资质单位处理。</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2、潜在火灾：安全、消防知识学习；定期巡检电路；更换接线插座；购买安全标识张贴；消防演习每年至少一次。</w:t>
            </w:r>
          </w:p>
          <w:p>
            <w:pPr>
              <w:tabs>
                <w:tab w:val="center" w:pos="3169"/>
              </w:tabs>
              <w:spacing w:line="400" w:lineRule="exact"/>
              <w:jc w:val="left"/>
              <w:rPr>
                <w:rFonts w:hint="eastAsia" w:ascii="宋体" w:hAnsi="宋体" w:eastAsia="宋体" w:cs="宋体"/>
                <w:sz w:val="21"/>
                <w:szCs w:val="21"/>
              </w:rPr>
            </w:pPr>
            <w:r>
              <w:rPr>
                <w:rFonts w:hint="eastAsia" w:ascii="宋体" w:hAnsi="宋体" w:eastAsia="宋体" w:cs="宋体"/>
                <w:sz w:val="21"/>
                <w:szCs w:val="21"/>
                <w:lang w:bidi="ar"/>
              </w:rPr>
              <w:t xml:space="preserve">  应对风险和机遇的措施应与其对于产品和服务符合性的潜在影响相适应。</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hint="eastAsia" w:ascii="宋体" w:hAnsi="宋体" w:eastAsia="宋体" w:cs="宋体"/>
                <w:sz w:val="21"/>
                <w:szCs w:val="21"/>
              </w:rPr>
            </w:pPr>
            <w:r>
              <w:rPr>
                <w:rFonts w:hint="eastAsia" w:ascii="宋体" w:hAnsi="宋体" w:eastAsia="宋体" w:cs="宋体"/>
                <w:sz w:val="21"/>
                <w:szCs w:val="21"/>
              </w:rPr>
              <w:t>目标及其实现的策划</w:t>
            </w:r>
          </w:p>
        </w:tc>
        <w:tc>
          <w:tcPr>
            <w:tcW w:w="1228"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cs="宋体"/>
                <w:sz w:val="21"/>
                <w:szCs w:val="21"/>
                <w:lang w:val="en-US" w:eastAsia="zh-CN"/>
              </w:rPr>
              <w:t>O</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6.2 </w:t>
            </w:r>
          </w:p>
          <w:p>
            <w:pPr>
              <w:rPr>
                <w:rFonts w:hint="eastAsia" w:ascii="宋体" w:hAnsi="宋体" w:eastAsia="宋体" w:cs="宋体"/>
                <w:sz w:val="21"/>
                <w:szCs w:val="21"/>
              </w:rPr>
            </w:pPr>
          </w:p>
          <w:p>
            <w:pPr>
              <w:adjustRightInd w:val="0"/>
              <w:snapToGrid w:val="0"/>
              <w:rPr>
                <w:rFonts w:hint="eastAsia" w:ascii="宋体" w:hAnsi="宋体" w:eastAsia="宋体" w:cs="宋体"/>
                <w:sz w:val="21"/>
                <w:szCs w:val="21"/>
              </w:rPr>
            </w:pPr>
          </w:p>
        </w:tc>
        <w:tc>
          <w:tcPr>
            <w:tcW w:w="10943" w:type="dxa"/>
            <w:vAlign w:val="top"/>
          </w:tcPr>
          <w:p>
            <w:pPr>
              <w:tabs>
                <w:tab w:val="center" w:pos="3169"/>
              </w:tabs>
              <w:spacing w:line="360" w:lineRule="auto"/>
              <w:jc w:val="left"/>
              <w:rPr>
                <w:rFonts w:hint="eastAsia" w:ascii="宋体" w:hAnsi="宋体" w:eastAsia="宋体" w:cs="宋体"/>
                <w:sz w:val="21"/>
                <w:szCs w:val="21"/>
                <w:lang w:bidi="ar"/>
              </w:rPr>
            </w:pPr>
            <w:r>
              <w:rPr>
                <w:rFonts w:hint="eastAsia" w:ascii="宋体" w:hAnsi="宋体" w:eastAsia="宋体" w:cs="宋体"/>
                <w:sz w:val="21"/>
                <w:szCs w:val="21"/>
                <w:lang w:bidi="ar"/>
              </w:rPr>
              <w:t>1质量目标：</w:t>
            </w:r>
          </w:p>
          <w:p>
            <w:pPr>
              <w:snapToGrid w:val="0"/>
              <w:spacing w:line="360" w:lineRule="auto"/>
              <w:rPr>
                <w:rFonts w:hint="eastAsia"/>
              </w:rPr>
            </w:pPr>
            <w:r>
              <w:rPr>
                <w:rFonts w:hint="eastAsia"/>
                <w:lang w:val="en-US" w:eastAsia="zh-CN"/>
              </w:rPr>
              <w:t xml:space="preserve">a </w:t>
            </w:r>
            <w:r>
              <w:rPr>
                <w:rFonts w:hint="eastAsia"/>
              </w:rPr>
              <w:t>顾客满意度≥95%</w:t>
            </w:r>
          </w:p>
          <w:p>
            <w:pPr>
              <w:snapToGrid w:val="0"/>
              <w:spacing w:line="360" w:lineRule="auto"/>
              <w:rPr>
                <w:rFonts w:hint="eastAsia" w:ascii="宋体" w:hAnsi="宋体" w:eastAsia="宋体" w:cs="宋体"/>
                <w:sz w:val="21"/>
                <w:szCs w:val="21"/>
                <w:lang w:bidi="ar"/>
              </w:rPr>
            </w:pPr>
            <w:r>
              <w:rPr>
                <w:rFonts w:hint="eastAsia"/>
                <w:lang w:val="en-US" w:eastAsia="zh-CN"/>
              </w:rPr>
              <w:t xml:space="preserve">b </w:t>
            </w:r>
            <w:r>
              <w:rPr>
                <w:rFonts w:hint="eastAsia"/>
              </w:rPr>
              <w:t>项目一次交验合格率≥100%</w:t>
            </w:r>
          </w:p>
          <w:p>
            <w:pPr>
              <w:tabs>
                <w:tab w:val="center" w:pos="3169"/>
              </w:tabs>
              <w:spacing w:line="360" w:lineRule="auto"/>
              <w:jc w:val="left"/>
              <w:rPr>
                <w:rFonts w:hint="eastAsia" w:ascii="宋体" w:hAnsi="宋体" w:eastAsia="宋体" w:cs="宋体"/>
                <w:sz w:val="21"/>
                <w:szCs w:val="21"/>
                <w:lang w:bidi="ar"/>
              </w:rPr>
            </w:pPr>
            <w:r>
              <w:rPr>
                <w:rFonts w:hint="eastAsia" w:ascii="宋体" w:hAnsi="宋体" w:eastAsia="宋体" w:cs="宋体"/>
                <w:sz w:val="21"/>
                <w:szCs w:val="21"/>
                <w:lang w:bidi="ar"/>
              </w:rPr>
              <w:t>2环境、职业健康安全目标：</w:t>
            </w:r>
          </w:p>
          <w:p>
            <w:pPr>
              <w:snapToGrid w:val="0"/>
              <w:spacing w:line="360" w:lineRule="auto"/>
              <w:rPr>
                <w:rFonts w:hint="eastAsia"/>
              </w:rPr>
            </w:pPr>
            <w:r>
              <w:rPr>
                <w:rFonts w:hint="eastAsia"/>
                <w:lang w:val="en-US" w:eastAsia="zh-CN"/>
              </w:rPr>
              <w:t>a</w:t>
            </w:r>
            <w:r>
              <w:rPr>
                <w:rFonts w:hint="eastAsia"/>
              </w:rPr>
              <w:t>固体废弃物收集、处置率100%</w:t>
            </w:r>
          </w:p>
          <w:p>
            <w:pPr>
              <w:snapToGrid w:val="0"/>
              <w:spacing w:line="360" w:lineRule="auto"/>
              <w:rPr>
                <w:rFonts w:hint="eastAsia"/>
              </w:rPr>
            </w:pPr>
            <w:r>
              <w:rPr>
                <w:rFonts w:hint="eastAsia"/>
                <w:lang w:val="en-US" w:eastAsia="zh-CN"/>
              </w:rPr>
              <w:t>b</w:t>
            </w:r>
            <w:r>
              <w:rPr>
                <w:rFonts w:hint="eastAsia"/>
              </w:rPr>
              <w:t>杜绝重大安全事故</w:t>
            </w:r>
          </w:p>
          <w:p>
            <w:pPr>
              <w:snapToGrid w:val="0"/>
              <w:spacing w:line="360" w:lineRule="auto"/>
              <w:rPr>
                <w:rFonts w:hint="eastAsia"/>
              </w:rPr>
            </w:pPr>
            <w:r>
              <w:rPr>
                <w:rFonts w:hint="eastAsia"/>
                <w:lang w:val="en-US" w:eastAsia="zh-CN"/>
              </w:rPr>
              <w:t>c</w:t>
            </w:r>
            <w:r>
              <w:rPr>
                <w:rFonts w:hint="eastAsia"/>
              </w:rPr>
              <w:t>火灾事故发生次数为零</w:t>
            </w:r>
          </w:p>
          <w:p>
            <w:pPr>
              <w:snapToGrid w:val="0"/>
              <w:spacing w:line="360" w:lineRule="auto"/>
              <w:rPr>
                <w:rFonts w:hint="eastAsia" w:eastAsia="宋体"/>
                <w:lang w:val="en-US" w:eastAsia="zh-CN"/>
              </w:rPr>
            </w:pPr>
            <w:r>
              <w:rPr>
                <w:rFonts w:hint="eastAsia"/>
                <w:lang w:val="en-US" w:eastAsia="zh-CN"/>
              </w:rPr>
              <w:t>d</w:t>
            </w:r>
            <w:r>
              <w:rPr>
                <w:rFonts w:hint="eastAsia"/>
              </w:rPr>
              <w:t>杜绝资源能源浪费</w:t>
            </w:r>
          </w:p>
          <w:p>
            <w:pPr>
              <w:tabs>
                <w:tab w:val="center" w:pos="3169"/>
              </w:tabs>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bidi="ar"/>
              </w:rPr>
              <w:t>查《目标考核表》</w:t>
            </w:r>
            <w:r>
              <w:rPr>
                <w:rFonts w:hint="eastAsia" w:ascii="宋体" w:hAnsi="宋体" w:eastAsia="宋体" w:cs="宋体"/>
                <w:sz w:val="21"/>
                <w:szCs w:val="21"/>
                <w:lang w:eastAsia="zh-CN"/>
              </w:rPr>
              <w:t>202</w:t>
            </w:r>
            <w:r>
              <w:rPr>
                <w:rFonts w:hint="eastAsia" w:ascii="宋体" w:hAnsi="宋体" w:cs="宋体"/>
                <w:sz w:val="21"/>
                <w:szCs w:val="21"/>
                <w:lang w:val="en-US" w:eastAsia="zh-CN"/>
              </w:rPr>
              <w:t>2</w:t>
            </w:r>
            <w:r>
              <w:rPr>
                <w:rFonts w:hint="eastAsia" w:ascii="宋体" w:hAnsi="宋体" w:eastAsia="宋体" w:cs="宋体"/>
                <w:sz w:val="21"/>
                <w:szCs w:val="21"/>
                <w:lang w:eastAsia="zh-CN"/>
              </w:rPr>
              <w:t>年</w:t>
            </w:r>
            <w:r>
              <w:rPr>
                <w:rFonts w:hint="eastAsia" w:ascii="宋体" w:hAnsi="宋体" w:cs="宋体"/>
                <w:sz w:val="21"/>
                <w:szCs w:val="21"/>
                <w:lang w:val="en-US" w:eastAsia="zh-CN"/>
              </w:rPr>
              <w:t>5</w:t>
            </w:r>
            <w:r>
              <w:rPr>
                <w:rFonts w:hint="eastAsia" w:ascii="宋体" w:hAnsi="宋体" w:eastAsia="宋体" w:cs="宋体"/>
                <w:sz w:val="21"/>
                <w:szCs w:val="21"/>
                <w:lang w:eastAsia="zh-CN"/>
              </w:rPr>
              <w:t>月6日</w:t>
            </w:r>
            <w:r>
              <w:rPr>
                <w:rFonts w:hint="eastAsia" w:ascii="宋体" w:hAnsi="宋体" w:eastAsia="宋体" w:cs="宋体"/>
                <w:sz w:val="21"/>
                <w:szCs w:val="21"/>
              </w:rPr>
              <w:t xml:space="preserve"> </w:t>
            </w:r>
            <w:r>
              <w:rPr>
                <w:rFonts w:hint="eastAsia" w:ascii="宋体" w:hAnsi="宋体" w:eastAsia="宋体" w:cs="宋体"/>
                <w:sz w:val="21"/>
                <w:szCs w:val="21"/>
                <w:lang w:bidi="ar"/>
              </w:rPr>
              <w:t>对目标进行考核，均达到目标，并将指标进行了分解。</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变更的策划</w:t>
            </w:r>
          </w:p>
        </w:tc>
        <w:tc>
          <w:tcPr>
            <w:tcW w:w="1228" w:type="dxa"/>
            <w:vAlign w:val="center"/>
          </w:tcPr>
          <w:p>
            <w:pPr>
              <w:rPr>
                <w:rFonts w:hint="eastAsia" w:ascii="宋体" w:hAnsi="宋体" w:eastAsia="宋体" w:cs="宋体"/>
                <w:sz w:val="21"/>
                <w:szCs w:val="21"/>
              </w:rPr>
            </w:pPr>
            <w:r>
              <w:rPr>
                <w:rFonts w:hint="eastAsia" w:ascii="宋体" w:hAnsi="宋体" w:eastAsia="宋体" w:cs="宋体"/>
                <w:sz w:val="21"/>
                <w:szCs w:val="21"/>
              </w:rPr>
              <w:t>Q：6.3</w:t>
            </w: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1892" w:type="dxa"/>
            <w:vAlign w:val="top"/>
          </w:tcPr>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资源</w:t>
            </w:r>
          </w:p>
        </w:tc>
        <w:tc>
          <w:tcPr>
            <w:tcW w:w="1228"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eastAsia="zh-CN"/>
              </w:rPr>
              <w:t>：</w:t>
            </w:r>
            <w:r>
              <w:rPr>
                <w:rFonts w:hint="eastAsia" w:ascii="宋体" w:hAnsi="宋体" w:eastAsia="宋体" w:cs="宋体"/>
                <w:sz w:val="21"/>
                <w:szCs w:val="21"/>
              </w:rPr>
              <w:t xml:space="preserve">7.1.1 </w:t>
            </w:r>
          </w:p>
          <w:p>
            <w:pPr>
              <w:spacing w:line="36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cs="宋体"/>
                <w:sz w:val="21"/>
                <w:szCs w:val="21"/>
                <w:lang w:val="en-US" w:eastAsia="zh-CN"/>
              </w:rPr>
              <w:t>O</w:t>
            </w:r>
            <w:r>
              <w:rPr>
                <w:rFonts w:hint="eastAsia" w:ascii="宋体" w:hAnsi="宋体" w:eastAsia="宋体" w:cs="宋体"/>
                <w:sz w:val="21"/>
                <w:szCs w:val="21"/>
                <w:lang w:eastAsia="zh-CN"/>
              </w:rPr>
              <w:t>：</w:t>
            </w:r>
            <w:r>
              <w:rPr>
                <w:rFonts w:hint="eastAsia" w:ascii="宋体" w:hAnsi="宋体" w:eastAsia="宋体" w:cs="宋体"/>
                <w:sz w:val="21"/>
                <w:szCs w:val="21"/>
              </w:rPr>
              <w:t>7.1</w:t>
            </w:r>
          </w:p>
          <w:p>
            <w:pPr>
              <w:spacing w:line="360" w:lineRule="auto"/>
              <w:rPr>
                <w:rFonts w:hint="eastAsia" w:ascii="宋体" w:hAnsi="宋体" w:eastAsia="宋体" w:cs="宋体"/>
                <w:sz w:val="21"/>
                <w:szCs w:val="21"/>
              </w:rPr>
            </w:pPr>
          </w:p>
        </w:tc>
        <w:tc>
          <w:tcPr>
            <w:tcW w:w="10943" w:type="dxa"/>
            <w:vAlign w:val="top"/>
          </w:tcPr>
          <w:p>
            <w:pPr>
              <w:spacing w:line="360" w:lineRule="auto"/>
              <w:jc w:val="left"/>
              <w:rPr>
                <w:rFonts w:hint="eastAsia" w:ascii="宋体" w:hAnsi="宋体" w:eastAsia="宋体" w:cs="宋体"/>
                <w:sz w:val="21"/>
                <w:szCs w:val="21"/>
                <w:lang w:bidi="ar"/>
              </w:rPr>
            </w:pPr>
            <w:r>
              <w:rPr>
                <w:rFonts w:hint="eastAsia" w:ascii="宋体" w:hAnsi="宋体" w:eastAsia="宋体" w:cs="宋体"/>
                <w:sz w:val="21"/>
                <w:szCs w:val="21"/>
                <w:lang w:bidi="ar"/>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lang w:bidi="ar"/>
              </w:rPr>
              <w:t>总经理对资源的配备比较重视，人力资源、设备和工作环境等可满足土地规划设计；土地调查；资质内的测绘服务；计算机应用软件的开发的需要。</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top"/>
          </w:tcPr>
          <w:p>
            <w:pPr>
              <w:adjustRightInd w:val="0"/>
              <w:snapToGrid w:val="0"/>
              <w:jc w:val="center"/>
              <w:rPr>
                <w:rFonts w:hint="eastAsia" w:ascii="宋体" w:hAnsi="宋体" w:eastAsia="宋体" w:cs="宋体"/>
                <w:sz w:val="21"/>
                <w:szCs w:val="21"/>
              </w:rPr>
            </w:pPr>
          </w:p>
          <w:p>
            <w:pPr>
              <w:adjustRightInd w:val="0"/>
              <w:snapToGrid w:val="0"/>
              <w:jc w:val="center"/>
              <w:rPr>
                <w:rFonts w:hint="eastAsia" w:ascii="宋体" w:hAnsi="宋体" w:eastAsia="宋体" w:cs="宋体"/>
                <w:sz w:val="21"/>
                <w:szCs w:val="21"/>
              </w:rPr>
            </w:pPr>
          </w:p>
          <w:p>
            <w:pPr>
              <w:adjustRightInd w:val="0"/>
              <w:snapToGrid w:val="0"/>
              <w:ind w:firstLine="630" w:firstLineChars="30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组织知识</w:t>
            </w:r>
          </w:p>
        </w:tc>
        <w:tc>
          <w:tcPr>
            <w:tcW w:w="1228"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eastAsia="zh-CN"/>
              </w:rPr>
              <w:t>：</w:t>
            </w:r>
            <w:r>
              <w:rPr>
                <w:rFonts w:hint="eastAsia" w:ascii="宋体" w:hAnsi="宋体" w:eastAsia="宋体" w:cs="宋体"/>
                <w:sz w:val="21"/>
                <w:szCs w:val="21"/>
              </w:rPr>
              <w:t xml:space="preserve">7.1.6 </w:t>
            </w:r>
          </w:p>
          <w:p>
            <w:pPr>
              <w:rPr>
                <w:rFonts w:hint="eastAsia" w:ascii="宋体" w:hAnsi="宋体" w:eastAsia="宋体" w:cs="宋体"/>
                <w:kern w:val="2"/>
                <w:sz w:val="21"/>
                <w:szCs w:val="21"/>
                <w:lang w:val="en-US" w:eastAsia="zh-CN" w:bidi="ar-SA"/>
              </w:rPr>
            </w:pPr>
          </w:p>
        </w:tc>
        <w:tc>
          <w:tcPr>
            <w:tcW w:w="10943" w:type="dxa"/>
            <w:vAlign w:val="top"/>
          </w:tcPr>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 xml:space="preserve">  公司明确组织知识作为公司的重要资源，按内部文件或外来文件予以受控管理包括必要的分级保密措施。</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top"/>
          </w:tcPr>
          <w:p>
            <w:pPr>
              <w:adjustRightInd w:val="0"/>
              <w:snapToGrid w:val="0"/>
              <w:spacing w:line="360" w:lineRule="auto"/>
              <w:jc w:val="center"/>
              <w:rPr>
                <w:rFonts w:hint="eastAsia" w:ascii="宋体" w:hAnsi="宋体" w:eastAsia="宋体" w:cs="宋体"/>
                <w:color w:val="000000" w:themeColor="text1"/>
                <w:sz w:val="21"/>
                <w:szCs w:val="21"/>
              </w:rPr>
            </w:pPr>
          </w:p>
          <w:p>
            <w:pPr>
              <w:adjustRightInd w:val="0"/>
              <w:snapToGrid w:val="0"/>
              <w:spacing w:line="360" w:lineRule="auto"/>
              <w:jc w:val="center"/>
              <w:rPr>
                <w:rFonts w:hint="eastAsia" w:ascii="宋体" w:hAnsi="宋体" w:eastAsia="宋体" w:cs="宋体"/>
                <w:color w:val="000000" w:themeColor="text1"/>
                <w:sz w:val="21"/>
                <w:szCs w:val="21"/>
              </w:rPr>
            </w:pPr>
          </w:p>
          <w:p>
            <w:pPr>
              <w:adjustRightInd w:val="0"/>
              <w:snapToGrid w:val="0"/>
              <w:spacing w:line="360" w:lineRule="auto"/>
              <w:jc w:val="center"/>
              <w:rPr>
                <w:rFonts w:hint="eastAsia" w:ascii="宋体" w:hAnsi="宋体" w:eastAsia="宋体" w:cs="宋体"/>
                <w:color w:val="000000" w:themeColor="text1"/>
                <w:sz w:val="21"/>
                <w:szCs w:val="21"/>
              </w:rPr>
            </w:pPr>
          </w:p>
          <w:p>
            <w:pPr>
              <w:adjustRightInd w:val="0"/>
              <w:snapToGrid w:val="0"/>
              <w:spacing w:line="360" w:lineRule="auto"/>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沟通</w:t>
            </w:r>
          </w:p>
        </w:tc>
        <w:tc>
          <w:tcPr>
            <w:tcW w:w="1228" w:type="dxa"/>
            <w:vAlign w:val="top"/>
          </w:tcPr>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QE</w:t>
            </w:r>
            <w:r>
              <w:rPr>
                <w:rFonts w:hint="eastAsia" w:ascii="宋体" w:hAnsi="宋体" w:eastAsia="宋体" w:cs="宋体"/>
                <w:color w:val="000000" w:themeColor="text1"/>
                <w:sz w:val="21"/>
                <w:szCs w:val="21"/>
                <w:lang w:val="en-US" w:eastAsia="zh-CN"/>
              </w:rPr>
              <w:t>O</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 xml:space="preserve">7.4 </w:t>
            </w:r>
          </w:p>
          <w:p>
            <w:pPr>
              <w:spacing w:line="360" w:lineRule="auto"/>
              <w:rPr>
                <w:rFonts w:hint="eastAsia" w:ascii="宋体" w:hAnsi="宋体" w:eastAsia="宋体" w:cs="宋体"/>
                <w:color w:val="000000" w:themeColor="text1"/>
                <w:sz w:val="21"/>
                <w:szCs w:val="21"/>
              </w:rPr>
            </w:pPr>
          </w:p>
        </w:tc>
        <w:tc>
          <w:tcPr>
            <w:tcW w:w="10943" w:type="dxa"/>
            <w:vAlign w:val="top"/>
          </w:tcPr>
          <w:p>
            <w:pPr>
              <w:tabs>
                <w:tab w:val="center" w:pos="3169"/>
              </w:tabs>
              <w:spacing w:line="400" w:lineRule="exact"/>
              <w:jc w:val="left"/>
              <w:rPr>
                <w:color w:val="000000" w:themeColor="text1"/>
              </w:rPr>
            </w:pPr>
            <w:r>
              <w:rPr>
                <w:rFonts w:hint="eastAsia"/>
                <w:color w:val="000000" w:themeColor="text1"/>
              </w:rPr>
              <w:t>《信息交流与协商沟通控制程序》规定了公司内外信息交流、协商的对象、方式、记录等。</w:t>
            </w:r>
          </w:p>
          <w:p>
            <w:pPr>
              <w:tabs>
                <w:tab w:val="center" w:pos="3169"/>
              </w:tabs>
              <w:spacing w:line="400" w:lineRule="exact"/>
              <w:jc w:val="left"/>
              <w:rPr>
                <w:rFonts w:hint="eastAsia"/>
                <w:color w:val="000000" w:themeColor="text1"/>
              </w:rPr>
            </w:pPr>
            <w:r>
              <w:rPr>
                <w:rFonts w:hint="eastAsia"/>
                <w:color w:val="000000" w:themeColor="text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hint="eastAsia"/>
                <w:color w:val="000000" w:themeColor="text1"/>
              </w:rPr>
            </w:pPr>
            <w:r>
              <w:rPr>
                <w:rFonts w:hint="eastAsia"/>
                <w:color w:val="000000" w:themeColor="text1"/>
              </w:rPr>
              <w:t xml:space="preserve">  公司员工参与协商，员工提出参与安全知识的学习和培训，需要发放劳保用品。</w:t>
            </w:r>
          </w:p>
          <w:p>
            <w:pPr>
              <w:tabs>
                <w:tab w:val="center" w:pos="3169"/>
              </w:tabs>
              <w:spacing w:line="400" w:lineRule="exact"/>
              <w:jc w:val="left"/>
              <w:rPr>
                <w:rFonts w:hint="eastAsia"/>
                <w:color w:val="000000" w:themeColor="text1"/>
              </w:rPr>
            </w:pPr>
            <w:r>
              <w:rPr>
                <w:rFonts w:hint="eastAsia"/>
                <w:color w:val="000000" w:themeColor="text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color w:val="000000" w:themeColor="text1"/>
              </w:rPr>
            </w:pPr>
            <w:r>
              <w:rPr>
                <w:rFonts w:hint="eastAsia"/>
                <w:color w:val="000000" w:themeColor="text1"/>
              </w:rPr>
              <w:t>查见：公司内部会议记录表，沟通信息包括：</w:t>
            </w:r>
          </w:p>
          <w:p>
            <w:pPr>
              <w:numPr>
                <w:ilvl w:val="0"/>
                <w:numId w:val="2"/>
              </w:numPr>
              <w:tabs>
                <w:tab w:val="center" w:pos="3169"/>
              </w:tabs>
              <w:spacing w:line="400" w:lineRule="exact"/>
              <w:jc w:val="left"/>
              <w:rPr>
                <w:rFonts w:hint="eastAsia"/>
                <w:color w:val="000000" w:themeColor="text1"/>
              </w:rPr>
            </w:pPr>
            <w:r>
              <w:rPr>
                <w:rFonts w:hint="eastAsia"/>
                <w:color w:val="000000" w:themeColor="text1"/>
              </w:rPr>
              <w:t>告知员工：质量和环境管理者代表是尤才。</w:t>
            </w:r>
          </w:p>
          <w:p>
            <w:pPr>
              <w:numPr>
                <w:ilvl w:val="0"/>
                <w:numId w:val="2"/>
              </w:numPr>
              <w:tabs>
                <w:tab w:val="center" w:pos="3169"/>
              </w:tabs>
              <w:spacing w:line="400" w:lineRule="exact"/>
              <w:jc w:val="left"/>
              <w:rPr>
                <w:rFonts w:hint="eastAsia"/>
                <w:color w:val="000000" w:themeColor="text1"/>
              </w:rPr>
            </w:pPr>
            <w:r>
              <w:rPr>
                <w:rFonts w:hint="eastAsia"/>
                <w:color w:val="000000" w:themeColor="text1"/>
              </w:rPr>
              <w:t>告知员工：职业健康安全事务代表是李扬；</w:t>
            </w:r>
          </w:p>
          <w:p>
            <w:pPr>
              <w:numPr>
                <w:ilvl w:val="0"/>
                <w:numId w:val="2"/>
              </w:numPr>
              <w:tabs>
                <w:tab w:val="center" w:pos="3169"/>
              </w:tabs>
              <w:spacing w:line="400" w:lineRule="exact"/>
              <w:jc w:val="left"/>
              <w:rPr>
                <w:rFonts w:hint="eastAsia"/>
                <w:color w:val="000000" w:themeColor="text1"/>
              </w:rPr>
            </w:pPr>
            <w:r>
              <w:rPr>
                <w:rFonts w:hint="eastAsia"/>
                <w:color w:val="000000" w:themeColor="text1"/>
              </w:rPr>
              <w:t>告知员工：环境及职业健康安全管理体系建立的依据、标准和意义，因公司未涉及危化品，故未对全体员工出具告知书。</w:t>
            </w:r>
          </w:p>
          <w:p>
            <w:pPr>
              <w:numPr>
                <w:ilvl w:val="0"/>
                <w:numId w:val="2"/>
              </w:numPr>
              <w:tabs>
                <w:tab w:val="center" w:pos="3169"/>
              </w:tabs>
              <w:spacing w:line="400" w:lineRule="exact"/>
              <w:jc w:val="left"/>
              <w:rPr>
                <w:rFonts w:hint="eastAsia"/>
                <w:color w:val="000000" w:themeColor="text1"/>
              </w:rPr>
            </w:pPr>
            <w:r>
              <w:rPr>
                <w:rFonts w:hint="eastAsia"/>
                <w:color w:val="000000" w:themeColor="text1"/>
              </w:rPr>
              <w:t>组织员工学习：与环境及安全健康管理有关的法律法规，包括关于员工权益、保险等内容；</w:t>
            </w:r>
          </w:p>
          <w:p>
            <w:pPr>
              <w:tabs>
                <w:tab w:val="center" w:pos="3169"/>
              </w:tabs>
              <w:spacing w:line="400" w:lineRule="exact"/>
              <w:jc w:val="left"/>
              <w:rPr>
                <w:rFonts w:hint="eastAsia"/>
                <w:color w:val="000000" w:themeColor="text1"/>
              </w:rPr>
            </w:pPr>
            <w:r>
              <w:rPr>
                <w:rFonts w:hint="eastAsia"/>
                <w:color w:val="000000" w:themeColor="text1"/>
                <w:lang w:val="en-US" w:eastAsia="zh-CN"/>
              </w:rPr>
              <w:t>5</w:t>
            </w:r>
            <w:r>
              <w:rPr>
                <w:rFonts w:hint="eastAsia"/>
                <w:color w:val="000000" w:themeColor="text1"/>
              </w:rPr>
              <w:t>）将环境管理、劳动保护要求、安全要求和意义作为新员工岗前培训内容。</w:t>
            </w:r>
          </w:p>
          <w:p>
            <w:pPr>
              <w:tabs>
                <w:tab w:val="center" w:pos="3169"/>
              </w:tabs>
              <w:spacing w:line="400" w:lineRule="exact"/>
              <w:jc w:val="left"/>
              <w:rPr>
                <w:rFonts w:hint="eastAsia"/>
                <w:color w:val="000000" w:themeColor="text1"/>
              </w:rPr>
            </w:pPr>
            <w:r>
              <w:rPr>
                <w:rFonts w:hint="eastAsia"/>
                <w:color w:val="000000" w:themeColor="text1"/>
              </w:rPr>
              <w:t>询问职业健康安全事务代表李扬，了解到暂未发生员工与企业的劳动纠纷、工伤、员工投诉、员工权益争执等情况。</w:t>
            </w:r>
          </w:p>
          <w:p>
            <w:pPr>
              <w:tabs>
                <w:tab w:val="center" w:pos="3169"/>
              </w:tabs>
              <w:spacing w:line="360" w:lineRule="auto"/>
              <w:ind w:firstLine="420" w:firstLineChars="200"/>
              <w:jc w:val="left"/>
              <w:rPr>
                <w:rFonts w:hint="eastAsia" w:ascii="宋体" w:hAnsi="宋体" w:eastAsia="宋体" w:cs="宋体"/>
                <w:color w:val="000000" w:themeColor="text1"/>
                <w:sz w:val="21"/>
                <w:szCs w:val="21"/>
              </w:rPr>
            </w:pPr>
            <w:r>
              <w:rPr>
                <w:rFonts w:hint="eastAsia"/>
                <w:color w:val="000000" w:themeColor="text1"/>
              </w:rPr>
              <w:t>审核时未发现有相关方投诉等安全违规情况发生。</w:t>
            </w:r>
          </w:p>
        </w:tc>
        <w:tc>
          <w:tcPr>
            <w:tcW w:w="64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892" w:type="dxa"/>
            <w:vAlign w:val="top"/>
          </w:tcPr>
          <w:p>
            <w:pPr>
              <w:adjustRightInd w:val="0"/>
              <w:snapToGrid w:val="0"/>
              <w:spacing w:line="360" w:lineRule="auto"/>
              <w:jc w:val="left"/>
              <w:rPr>
                <w:rFonts w:hint="eastAsia" w:ascii="宋体" w:hAnsi="宋体" w:eastAsia="宋体" w:cs="宋体"/>
                <w:sz w:val="21"/>
                <w:szCs w:val="21"/>
              </w:rPr>
            </w:pPr>
          </w:p>
          <w:p>
            <w:pPr>
              <w:adjustRightInd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监测、分析和评价总则；</w:t>
            </w:r>
          </w:p>
        </w:tc>
        <w:tc>
          <w:tcPr>
            <w:tcW w:w="1228"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cs="宋体"/>
                <w:sz w:val="21"/>
                <w:szCs w:val="21"/>
                <w:lang w:val="en-US" w:eastAsia="zh-CN"/>
              </w:rPr>
              <w:t>O</w:t>
            </w:r>
            <w:r>
              <w:rPr>
                <w:rFonts w:hint="eastAsia" w:ascii="宋体" w:hAnsi="宋体" w:eastAsia="宋体" w:cs="宋体"/>
                <w:sz w:val="21"/>
                <w:szCs w:val="21"/>
                <w:lang w:eastAsia="zh-CN"/>
              </w:rPr>
              <w:t>：</w:t>
            </w:r>
            <w:r>
              <w:rPr>
                <w:rFonts w:hint="eastAsia" w:ascii="宋体" w:hAnsi="宋体" w:eastAsia="宋体" w:cs="宋体"/>
                <w:sz w:val="21"/>
                <w:szCs w:val="21"/>
              </w:rPr>
              <w:t xml:space="preserve">9.1.1 </w:t>
            </w:r>
          </w:p>
          <w:p>
            <w:pPr>
              <w:spacing w:line="360" w:lineRule="auto"/>
              <w:rPr>
                <w:rFonts w:hint="eastAsia" w:ascii="宋体" w:hAnsi="宋体" w:eastAsia="宋体" w:cs="宋体"/>
                <w:kern w:val="2"/>
                <w:sz w:val="21"/>
                <w:szCs w:val="21"/>
                <w:lang w:val="en-US" w:eastAsia="zh-CN" w:bidi="ar-SA"/>
              </w:rPr>
            </w:pPr>
          </w:p>
        </w:tc>
        <w:tc>
          <w:tcPr>
            <w:tcW w:w="10943" w:type="dxa"/>
            <w:vAlign w:val="top"/>
          </w:tcPr>
          <w:p>
            <w:pPr>
              <w:tabs>
                <w:tab w:val="center" w:pos="3169"/>
              </w:tabs>
              <w:spacing w:line="360" w:lineRule="auto"/>
              <w:ind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tc>
        <w:tc>
          <w:tcPr>
            <w:tcW w:w="646"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spacing w:line="360" w:lineRule="auto"/>
              <w:rPr>
                <w:rFonts w:hint="eastAsia" w:ascii="宋体" w:hAnsi="宋体" w:eastAsia="宋体" w:cs="宋体"/>
                <w:color w:val="000000"/>
                <w:spacing w:val="-4"/>
                <w:kern w:val="2"/>
                <w:sz w:val="21"/>
                <w:szCs w:val="21"/>
                <w:lang w:val="en-US" w:eastAsia="zh-CN" w:bidi="ar-SA"/>
              </w:rPr>
            </w:pPr>
            <w:r>
              <w:rPr>
                <w:rFonts w:hint="eastAsia" w:ascii="宋体" w:hAnsi="宋体" w:eastAsia="宋体" w:cs="宋体"/>
                <w:sz w:val="21"/>
                <w:szCs w:val="21"/>
              </w:rPr>
              <w:t>管理评审</w:t>
            </w:r>
          </w:p>
        </w:tc>
        <w:tc>
          <w:tcPr>
            <w:tcW w:w="1228"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cs="宋体"/>
                <w:sz w:val="21"/>
                <w:szCs w:val="21"/>
                <w:lang w:val="en-US" w:eastAsia="zh-CN"/>
              </w:rPr>
              <w:t>O</w:t>
            </w:r>
            <w:r>
              <w:rPr>
                <w:rFonts w:hint="eastAsia" w:ascii="宋体" w:hAnsi="宋体" w:eastAsia="宋体" w:cs="宋体"/>
                <w:sz w:val="21"/>
                <w:szCs w:val="21"/>
                <w:lang w:eastAsia="zh-CN"/>
              </w:rPr>
              <w:t>：</w:t>
            </w:r>
            <w:r>
              <w:rPr>
                <w:rFonts w:hint="eastAsia" w:ascii="宋体" w:hAnsi="宋体" w:eastAsia="宋体" w:cs="宋体"/>
                <w:sz w:val="21"/>
                <w:szCs w:val="21"/>
              </w:rPr>
              <w:t xml:space="preserve">9.3 </w:t>
            </w:r>
          </w:p>
          <w:p>
            <w:pPr>
              <w:spacing w:line="360" w:lineRule="auto"/>
              <w:rPr>
                <w:rFonts w:hint="eastAsia" w:ascii="宋体" w:hAnsi="宋体" w:eastAsia="宋体" w:cs="宋体"/>
                <w:kern w:val="2"/>
                <w:sz w:val="21"/>
                <w:szCs w:val="21"/>
                <w:lang w:val="en-US" w:eastAsia="zh-CN" w:bidi="ar-SA"/>
              </w:rPr>
            </w:pPr>
          </w:p>
        </w:tc>
        <w:tc>
          <w:tcPr>
            <w:tcW w:w="10943" w:type="dxa"/>
            <w:vAlign w:val="top"/>
          </w:tcPr>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查，公司管理手册、《管理评审控制程序》，规定了管理评审的要求：管理评审的主持人、时间频率、管理评审的输入、输出等。公司制定了“管理评审程序”,规定每年至少进行一次管理评审，每次时间间隔不超过12个月</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时间：20</w:t>
            </w:r>
            <w:r>
              <w:rPr>
                <w:rFonts w:hint="eastAsia" w:ascii="宋体" w:hAnsi="宋体" w:eastAsia="宋体" w:cs="宋体"/>
                <w:sz w:val="21"/>
                <w:szCs w:val="21"/>
                <w:lang w:val="en-US" w:eastAsia="zh-CN" w:bidi="ar"/>
              </w:rPr>
              <w:t>22</w:t>
            </w:r>
            <w:r>
              <w:rPr>
                <w:rFonts w:hint="eastAsia" w:ascii="宋体" w:hAnsi="宋体" w:eastAsia="宋体" w:cs="宋体"/>
                <w:sz w:val="21"/>
                <w:szCs w:val="21"/>
                <w:lang w:bidi="ar"/>
              </w:rPr>
              <w:t>年</w:t>
            </w: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月2</w:t>
            </w: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日</w:t>
            </w:r>
            <w:r>
              <w:rPr>
                <w:rFonts w:hint="eastAsia" w:ascii="宋体" w:hAnsi="宋体" w:eastAsia="宋体" w:cs="宋体"/>
                <w:sz w:val="21"/>
                <w:szCs w:val="21"/>
                <w:lang w:val="en-US" w:eastAsia="zh-CN" w:bidi="ar"/>
              </w:rPr>
              <w:t xml:space="preserve"> </w:t>
            </w:r>
            <w:r>
              <w:rPr>
                <w:rFonts w:hint="eastAsia" w:ascii="宋体" w:hAnsi="宋体" w:eastAsia="宋体" w:cs="宋体"/>
                <w:sz w:val="21"/>
                <w:szCs w:val="21"/>
                <w:lang w:bidi="ar"/>
              </w:rPr>
              <w:t>主持人：总经理</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 xml:space="preserve">张占奎    </w:t>
            </w:r>
            <w:r>
              <w:rPr>
                <w:rFonts w:hint="eastAsia" w:ascii="宋体" w:hAnsi="宋体" w:eastAsia="宋体" w:cs="宋体"/>
                <w:sz w:val="21"/>
                <w:szCs w:val="21"/>
                <w:lang w:bidi="ar"/>
              </w:rPr>
              <w:t>参加人员：体系涉及到的各部门所有有人员</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评审输入内容：各部门工作汇报及体系运行情况，包括：质量环境安全目标和指标的实现程度。质量环境安全管理体系运行情况以及环境安全绩效。内审、合规性评价结果。预防措施和纠正措施的状况。来自外部相关方的信息交流，包括抱怨。过程业绩、产品符合性。组织结构、职责权限合理性、有效性；顾客反馈、满意度调查结果等信息。</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评审输出内容包括：质量环境安全管理体系运行有效，符合标准要求，得到了正确的实施和保持。质量、环境、安全方针的评审：方针合理、适宜符合要求，体系策划情况的评审（包括法律法规、目标指标）；预防措施和纠正措施的状况。实施与运行情况的评审（包括资源提供、文件控制）；体系绩效测量和监视（包括目标达成情况、内审审核）：通过考核目标达成良好，内审基本符合要求；20</w:t>
            </w:r>
            <w:r>
              <w:rPr>
                <w:rFonts w:hint="eastAsia" w:ascii="宋体" w:hAnsi="宋体" w:cs="宋体"/>
                <w:sz w:val="21"/>
                <w:szCs w:val="21"/>
                <w:lang w:val="en-US" w:eastAsia="zh-CN" w:bidi="ar"/>
              </w:rPr>
              <w:t>20</w:t>
            </w:r>
            <w:r>
              <w:rPr>
                <w:rFonts w:hint="eastAsia" w:ascii="宋体" w:hAnsi="宋体" w:eastAsia="宋体" w:cs="宋体"/>
                <w:sz w:val="21"/>
                <w:szCs w:val="21"/>
                <w:lang w:bidi="ar"/>
              </w:rPr>
              <w:t>年至今未收到相关法及顾客投诉抱怨；</w:t>
            </w:r>
          </w:p>
          <w:p>
            <w:pPr>
              <w:tabs>
                <w:tab w:val="center" w:pos="3169"/>
              </w:tabs>
              <w:spacing w:line="360" w:lineRule="auto"/>
              <w:ind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管理评审结论：质量、环境、安全方针、目标适宜，体系符合企业现状，公司建立的管理体系适宜、充分、有效</w:t>
            </w:r>
            <w:r>
              <w:rPr>
                <w:rFonts w:hint="eastAsia" w:ascii="宋体" w:hAnsi="宋体" w:eastAsia="宋体" w:cs="宋体"/>
                <w:sz w:val="21"/>
                <w:szCs w:val="21"/>
                <w:lang w:eastAsia="zh-CN" w:bidi="ar"/>
              </w:rPr>
              <w:t>。</w:t>
            </w:r>
          </w:p>
        </w:tc>
        <w:tc>
          <w:tcPr>
            <w:tcW w:w="646"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改进 总则</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不符合和纠正措施</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持续改进</w:t>
            </w:r>
          </w:p>
        </w:tc>
        <w:tc>
          <w:tcPr>
            <w:tcW w:w="1228"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Q</w:t>
            </w:r>
            <w:r>
              <w:rPr>
                <w:rFonts w:hint="eastAsia" w:ascii="宋体" w:hAnsi="宋体" w:cs="宋体"/>
                <w:sz w:val="21"/>
                <w:szCs w:val="21"/>
                <w:lang w:val="en-US" w:eastAsia="zh-CN" w:bidi="ar"/>
              </w:rPr>
              <w:t>EO</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10.1;</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10.2;</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10.3；</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943"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管理者代表根据总经理意图组织持续改进过程的策划工作，由</w:t>
            </w:r>
            <w:r>
              <w:rPr>
                <w:rFonts w:hint="eastAsia" w:ascii="宋体" w:hAnsi="宋体" w:eastAsia="宋体" w:cs="宋体"/>
                <w:sz w:val="21"/>
                <w:szCs w:val="21"/>
                <w:lang w:eastAsia="zh-CN"/>
              </w:rPr>
              <w:t>综合</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rPr>
              <w:t>自体系运行以来，全员的质量意识、服务意识、环保意识有较大的提高，市场经营规模有了较大发展，持续改进了管理体系的有效性。</w:t>
            </w:r>
          </w:p>
        </w:tc>
        <w:tc>
          <w:tcPr>
            <w:tcW w:w="646"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国家/地方抽查、顾客满意、相关方投诉处理</w:t>
            </w:r>
          </w:p>
        </w:tc>
        <w:tc>
          <w:tcPr>
            <w:tcW w:w="1228" w:type="dxa"/>
            <w:vAlign w:val="top"/>
          </w:tcPr>
          <w:p>
            <w:pPr>
              <w:spacing w:line="360" w:lineRule="auto"/>
              <w:ind w:firstLine="420" w:firstLineChars="200"/>
              <w:rPr>
                <w:rFonts w:hint="eastAsia" w:ascii="宋体" w:hAnsi="宋体" w:eastAsia="宋体" w:cs="宋体"/>
                <w:sz w:val="21"/>
                <w:szCs w:val="21"/>
              </w:rPr>
            </w:pPr>
          </w:p>
        </w:tc>
        <w:tc>
          <w:tcPr>
            <w:tcW w:w="10943"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自公司成立以来，未受到上级主管部门有关质量、环境问题、职业健康安全的行政处罚。未发生相关方的投诉。</w:t>
            </w:r>
          </w:p>
          <w:p>
            <w:pPr>
              <w:spacing w:line="360" w:lineRule="auto"/>
              <w:rPr>
                <w:rFonts w:hint="eastAsia" w:ascii="宋体" w:hAnsi="宋体" w:eastAsia="宋体" w:cs="宋体"/>
                <w:sz w:val="21"/>
                <w:szCs w:val="21"/>
              </w:rPr>
            </w:pPr>
            <w:r>
              <w:rPr>
                <w:rFonts w:hint="eastAsia" w:ascii="宋体" w:hAnsi="宋体" w:eastAsia="宋体" w:cs="宋体"/>
                <w:sz w:val="21"/>
                <w:szCs w:val="21"/>
              </w:rPr>
              <w:t>暂没有国家/地方抽查情况。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目前没有相关行政主管部门的检查处罚，在审核现场也未发现抽查、相关方投诉等情况。</w:t>
            </w:r>
          </w:p>
        </w:tc>
        <w:tc>
          <w:tcPr>
            <w:tcW w:w="646"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892"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验证资质</w:t>
            </w:r>
          </w:p>
        </w:tc>
        <w:tc>
          <w:tcPr>
            <w:tcW w:w="1228" w:type="dxa"/>
            <w:vAlign w:val="top"/>
          </w:tcPr>
          <w:p>
            <w:pPr>
              <w:spacing w:line="360" w:lineRule="auto"/>
              <w:ind w:firstLine="420" w:firstLineChars="200"/>
              <w:rPr>
                <w:rFonts w:hint="eastAsia" w:ascii="宋体" w:hAnsi="宋体" w:eastAsia="宋体" w:cs="宋体"/>
                <w:sz w:val="21"/>
                <w:szCs w:val="21"/>
              </w:rPr>
            </w:pPr>
          </w:p>
        </w:tc>
        <w:tc>
          <w:tcPr>
            <w:tcW w:w="10943" w:type="dxa"/>
            <w:vAlign w:val="top"/>
          </w:tcPr>
          <w:p>
            <w:pPr>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提供营业执照（三证合一），土地测绘资质证书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检查均在有效期内</w:t>
            </w:r>
            <w:r>
              <w:rPr>
                <w:rFonts w:hint="eastAsia" w:ascii="宋体" w:hAnsi="宋体" w:eastAsia="宋体" w:cs="宋体"/>
                <w:color w:val="000000"/>
                <w:sz w:val="21"/>
                <w:szCs w:val="21"/>
                <w:lang w:eastAsia="zh-CN"/>
              </w:rPr>
              <w:t>；</w:t>
            </w:r>
          </w:p>
          <w:p>
            <w:pPr>
              <w:spacing w:line="360" w:lineRule="auto"/>
              <w:jc w:val="left"/>
              <w:rPr>
                <w:rFonts w:hint="eastAsia"/>
                <w:lang w:val="en-US" w:eastAsia="zh-CN"/>
              </w:rPr>
            </w:pPr>
            <w:r>
              <w:rPr>
                <w:rFonts w:hint="eastAsia" w:ascii="Calibri" w:hAnsi="Calibri" w:cs="Times New Roman"/>
                <w:sz w:val="21"/>
                <w:szCs w:val="22"/>
                <w:lang w:val="en-US" w:eastAsia="zh-CN" w:bidi="ar"/>
              </w:rPr>
              <w:t>提供，《</w:t>
            </w:r>
            <w:r>
              <w:rPr>
                <w:rFonts w:hint="eastAsia" w:ascii="宋体" w:hAnsi="宋体"/>
                <w:color w:val="000000"/>
                <w:szCs w:val="21"/>
                <w:lang w:val="en-US" w:eastAsia="zh-CN"/>
              </w:rPr>
              <w:t>测绘资质证书</w:t>
            </w:r>
            <w:r>
              <w:rPr>
                <w:rFonts w:hint="eastAsia" w:ascii="Calibri" w:hAnsi="Calibri" w:cs="Times New Roman"/>
                <w:sz w:val="21"/>
                <w:szCs w:val="22"/>
                <w:lang w:val="en-US" w:eastAsia="zh-CN" w:bidi="ar"/>
              </w:rPr>
              <w:t>》证书编号：乙测资字32507026，</w:t>
            </w:r>
            <w:r>
              <w:rPr>
                <w:rFonts w:hint="eastAsia" w:ascii="Calibri" w:hAnsi="Calibri" w:eastAsia="宋体" w:cs="Times New Roman"/>
                <w:sz w:val="21"/>
                <w:szCs w:val="22"/>
                <w:lang w:val="en-US" w:eastAsia="zh-CN" w:bidi="ar"/>
              </w:rPr>
              <w:t>有效期：2026年12月20日</w:t>
            </w:r>
          </w:p>
          <w:p>
            <w:pPr>
              <w:spacing w:line="360" w:lineRule="auto"/>
              <w:jc w:val="left"/>
              <w:rPr>
                <w:rFonts w:hint="eastAsia"/>
                <w:lang w:val="en-US" w:eastAsia="zh-CN"/>
              </w:rPr>
            </w:pPr>
            <w:r>
              <w:rPr>
                <w:rFonts w:hint="eastAsia"/>
                <w:lang w:val="en-US" w:eastAsia="zh-CN"/>
              </w:rPr>
              <w:t>提供， 《江苏省土地整治项目规划设计机构评价推荐证书》，证书编号: Z3102 有效期限: 2020.1.1-2023.12.31</w:t>
            </w:r>
          </w:p>
          <w:p>
            <w:pPr>
              <w:spacing w:line="360" w:lineRule="auto"/>
              <w:jc w:val="left"/>
              <w:rPr>
                <w:rFonts w:hint="eastAsia"/>
                <w:lang w:val="en-US" w:eastAsia="zh-CN"/>
              </w:rPr>
            </w:pPr>
            <w:r>
              <w:rPr>
                <w:rFonts w:hint="eastAsia"/>
                <w:lang w:val="en-US" w:eastAsia="zh-CN"/>
              </w:rPr>
              <w:t>获江苏省社会稳定风险评估促进会会员证(会员单位)，有效期至: 2022年12月31日</w:t>
            </w:r>
          </w:p>
          <w:p>
            <w:pPr>
              <w:spacing w:line="360" w:lineRule="auto"/>
              <w:rPr>
                <w:rFonts w:hint="eastAsia" w:ascii="宋体" w:hAnsi="宋体" w:eastAsia="宋体" w:cs="宋体"/>
                <w:color w:val="000000"/>
                <w:sz w:val="21"/>
                <w:szCs w:val="21"/>
                <w:lang w:eastAsia="zh-CN"/>
              </w:rPr>
            </w:pPr>
            <w:r>
              <w:rPr>
                <w:rFonts w:hint="eastAsia"/>
                <w:lang w:val="en-US" w:eastAsia="zh-CN"/>
              </w:rPr>
              <w:t>获</w:t>
            </w:r>
            <w:r>
              <w:rPr>
                <w:rFonts w:hint="default"/>
                <w:lang w:val="en-US" w:eastAsia="zh-CN"/>
              </w:rPr>
              <w:t>江苏省土地整治项目规划设计机构评价推荐证书</w:t>
            </w:r>
            <w:r>
              <w:rPr>
                <w:rFonts w:hint="eastAsia"/>
                <w:lang w:val="en-US" w:eastAsia="zh-CN"/>
              </w:rPr>
              <w:t>，有效期限: 2020.1.1-2023. 12.31，具体见附件，资质满足要求。</w:t>
            </w:r>
          </w:p>
          <w:p>
            <w:pPr>
              <w:spacing w:line="360" w:lineRule="auto"/>
              <w:rPr>
                <w:rFonts w:hint="eastAsia" w:ascii="宋体" w:hAnsi="宋体" w:eastAsia="宋体" w:cs="宋体"/>
                <w:sz w:val="21"/>
                <w:szCs w:val="21"/>
              </w:rPr>
            </w:pPr>
            <w:r>
              <w:rPr>
                <w:rFonts w:hint="eastAsia" w:ascii="宋体" w:hAnsi="宋体" w:eastAsia="宋体" w:cs="宋体"/>
                <w:color w:val="000000"/>
                <w:sz w:val="21"/>
                <w:szCs w:val="21"/>
              </w:rPr>
              <w:t>公司严</w:t>
            </w:r>
            <w:bookmarkStart w:id="1" w:name="_GoBack"/>
            <w:bookmarkEnd w:id="1"/>
            <w:r>
              <w:rPr>
                <w:rFonts w:hint="eastAsia" w:ascii="宋体" w:hAnsi="宋体" w:eastAsia="宋体" w:cs="宋体"/>
                <w:color w:val="000000"/>
                <w:sz w:val="21"/>
                <w:szCs w:val="21"/>
              </w:rPr>
              <w:t>格执行国标及行业要求和法律、法规要求。</w:t>
            </w:r>
          </w:p>
        </w:tc>
        <w:tc>
          <w:tcPr>
            <w:tcW w:w="646"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92" w:type="dxa"/>
            <w:vAlign w:val="center"/>
          </w:tcPr>
          <w:p>
            <w:pPr>
              <w:spacing w:line="360" w:lineRule="auto"/>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初审时</w:t>
            </w:r>
            <w:r>
              <w:rPr>
                <w:rFonts w:hint="eastAsia" w:ascii="宋体" w:hAnsi="宋体" w:eastAsia="宋体" w:cs="宋体"/>
                <w:color w:val="000000" w:themeColor="text1"/>
                <w:sz w:val="21"/>
                <w:szCs w:val="21"/>
              </w:rPr>
              <w:t>问题验证</w:t>
            </w:r>
          </w:p>
        </w:tc>
        <w:tc>
          <w:tcPr>
            <w:tcW w:w="1228" w:type="dxa"/>
            <w:vAlign w:val="center"/>
          </w:tcPr>
          <w:p>
            <w:pPr>
              <w:spacing w:line="360" w:lineRule="auto"/>
              <w:jc w:val="center"/>
              <w:rPr>
                <w:rFonts w:hint="eastAsia" w:ascii="宋体" w:hAnsi="宋体" w:eastAsia="宋体" w:cs="宋体"/>
                <w:color w:val="000000" w:themeColor="text1"/>
                <w:sz w:val="21"/>
                <w:szCs w:val="21"/>
              </w:rPr>
            </w:pPr>
          </w:p>
        </w:tc>
        <w:tc>
          <w:tcPr>
            <w:tcW w:w="10943" w:type="dxa"/>
            <w:vAlign w:val="center"/>
          </w:tcPr>
          <w:p>
            <w:pPr>
              <w:spacing w:line="360" w:lineRule="auto"/>
              <w:jc w:val="both"/>
              <w:rPr>
                <w:rFonts w:hint="eastAsia" w:ascii="宋体" w:hAnsi="宋体" w:eastAsia="宋体" w:cs="宋体"/>
                <w:color w:val="000000" w:themeColor="text1"/>
                <w:sz w:val="21"/>
                <w:szCs w:val="21"/>
              </w:rPr>
            </w:pPr>
            <w:r>
              <w:rPr>
                <w:rFonts w:hint="eastAsia" w:ascii="宋体" w:hAnsi="宋体" w:cs="宋体"/>
                <w:sz w:val="21"/>
                <w:szCs w:val="21"/>
                <w:lang w:val="en-US" w:eastAsia="zh-CN" w:bidi="ar"/>
              </w:rPr>
              <w:t>2021</w:t>
            </w:r>
            <w:r>
              <w:rPr>
                <w:rFonts w:hint="eastAsia" w:ascii="宋体" w:hAnsi="宋体" w:eastAsia="宋体" w:cs="宋体"/>
                <w:sz w:val="21"/>
                <w:szCs w:val="21"/>
                <w:lang w:val="en-US" w:eastAsia="zh-CN" w:bidi="ar"/>
              </w:rPr>
              <w:t>年</w:t>
            </w:r>
            <w:r>
              <w:rPr>
                <w:rFonts w:hint="eastAsia" w:ascii="宋体" w:hAnsi="宋体" w:cs="宋体"/>
                <w:sz w:val="21"/>
                <w:szCs w:val="21"/>
                <w:lang w:val="en-US" w:eastAsia="zh-CN" w:bidi="ar"/>
              </w:rPr>
              <w:t>监督审核</w:t>
            </w:r>
            <w:r>
              <w:rPr>
                <w:rFonts w:hint="eastAsia" w:ascii="宋体" w:hAnsi="宋体" w:eastAsia="宋体" w:cs="宋体"/>
                <w:sz w:val="21"/>
                <w:szCs w:val="21"/>
                <w:lang w:val="en-US" w:eastAsia="zh-CN" w:bidi="ar"/>
              </w:rPr>
              <w:t>时不符合</w:t>
            </w:r>
            <w:r>
              <w:rPr>
                <w:rFonts w:hint="eastAsia" w:ascii="宋体" w:hAnsi="宋体" w:cs="宋体"/>
                <w:sz w:val="21"/>
                <w:szCs w:val="21"/>
                <w:lang w:eastAsia="zh-CN" w:bidi="ar"/>
              </w:rPr>
              <w:t>，</w:t>
            </w:r>
            <w:r>
              <w:rPr>
                <w:rFonts w:hint="eastAsia" w:ascii="宋体" w:hAnsi="宋体" w:eastAsia="宋体" w:cs="宋体"/>
                <w:color w:val="000000" w:themeColor="text1"/>
                <w:sz w:val="21"/>
                <w:szCs w:val="21"/>
              </w:rPr>
              <w:t>经现场验证已关闭，整改措施有效。</w:t>
            </w:r>
          </w:p>
        </w:tc>
        <w:tc>
          <w:tcPr>
            <w:tcW w:w="646" w:type="dxa"/>
          </w:tcPr>
          <w:p>
            <w:pPr>
              <w:spacing w:line="360" w:lineRule="auto"/>
              <w:rPr>
                <w:rFonts w:hint="eastAsia" w:ascii="宋体" w:hAnsi="宋体" w:eastAsia="宋体" w:cs="宋体"/>
                <w:sz w:val="21"/>
                <w:szCs w:val="21"/>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30867"/>
    <w:multiLevelType w:val="singleLevel"/>
    <w:tmpl w:val="F4F30867"/>
    <w:lvl w:ilvl="0" w:tentative="0">
      <w:start w:val="1"/>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26E1B35"/>
    <w:rsid w:val="15045DD5"/>
    <w:rsid w:val="324B4A0E"/>
    <w:rsid w:val="3E047C99"/>
    <w:rsid w:val="42935246"/>
    <w:rsid w:val="5DC416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5774</Words>
  <Characters>6118</Characters>
  <Lines>1</Lines>
  <Paragraphs>1</Paragraphs>
  <TotalTime>2</TotalTime>
  <ScaleCrop>false</ScaleCrop>
  <LinksUpToDate>false</LinksUpToDate>
  <CharactersWithSpaces>6213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2022-06-26T07:52:21Z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