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0492-2022-EnMs</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河北首朗新能源科技有限公司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李丽英</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91130230329692057U</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宋体" w:hAnsi="宋体"/>
                <w:b/>
                <w:sz w:val="21"/>
                <w:szCs w:val="21"/>
              </w:rPr>
              <w:sym w:font="Wingdings 2" w:char="00A3"/>
            </w:r>
            <w:r>
              <w:rPr>
                <w:rFonts w:hint="eastAsia"/>
                <w:sz w:val="22"/>
                <w:szCs w:val="22"/>
              </w:rPr>
              <w:t xml:space="preserve">带标  </w:t>
            </w:r>
            <w:r>
              <w:rPr>
                <w:rFonts w:hint="eastAsia" w:ascii="宋体" w:hAnsi="宋体"/>
                <w:b/>
                <w:sz w:val="21"/>
                <w:szCs w:val="21"/>
              </w:rPr>
              <w:sym w:font="Wingdings 2" w:char="0052"/>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ascii="宋体" w:hAnsi="宋体"/>
                <w:b/>
                <w:sz w:val="21"/>
                <w:szCs w:val="21"/>
              </w:rPr>
              <w:sym w:font="Wingdings 2" w:char="0052"/>
            </w:r>
            <w:r>
              <w:rPr>
                <w:rFonts w:hint="eastAsia"/>
                <w:sz w:val="22"/>
                <w:szCs w:val="22"/>
              </w:rPr>
              <w:t xml:space="preserve"> GB/T 23331-2020 idt ISO 50001:2018标准；</w:t>
            </w:r>
          </w:p>
          <w:p>
            <w:pPr>
              <w:snapToGrid w:val="0"/>
              <w:spacing w:line="0" w:lineRule="atLeast"/>
              <w:jc w:val="left"/>
              <w:rPr>
                <w:sz w:val="22"/>
                <w:szCs w:val="22"/>
              </w:rPr>
            </w:pPr>
            <w:r>
              <w:rPr>
                <w:rFonts w:hint="eastAsia" w:ascii="宋体" w:hAnsi="宋体"/>
                <w:b/>
                <w:sz w:val="21"/>
                <w:szCs w:val="21"/>
              </w:rPr>
              <w:sym w:font="Wingdings 2" w:char="0052"/>
            </w:r>
            <w:r>
              <w:rPr>
                <w:rFonts w:hint="eastAsia" w:ascii="宋体" w:hAnsi="宋体"/>
                <w:b/>
                <w:sz w:val="21"/>
                <w:szCs w:val="21"/>
              </w:rPr>
              <w:t xml:space="preserve"> </w:t>
            </w:r>
            <w:r>
              <w:rPr>
                <w:rFonts w:hint="eastAsia"/>
                <w:sz w:val="22"/>
                <w:szCs w:val="22"/>
              </w:rPr>
              <w:t xml:space="preserve">RB/T 114-2014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1</w:t>
            </w:r>
            <w:bookmarkEnd w:id="11"/>
            <w:r>
              <w:rPr>
                <w:rFonts w:hint="eastAsia"/>
                <w:sz w:val="22"/>
                <w:szCs w:val="22"/>
              </w:rPr>
              <w:t>32（能源覆盖110人）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初次认证</w:t>
            </w:r>
            <w:bookmarkStart w:id="13" w:name="监督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监督审核</w:t>
            </w:r>
            <w:bookmarkStart w:id="14" w:name="再认证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再认证</w:t>
            </w:r>
            <w:bookmarkStart w:id="15" w:name="特殊审核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河北首朗新能源科技有限公司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变性燃料乙醇和乙醇梭菌蛋白的生产和服务所涉及的能源管理活动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曹妃甸工业区首钢京唐钢铁联合有限责任公司院内</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曹妃甸工业区首钢京唐钢铁联合有限责任公司院内</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highlight w:val="yellow"/>
              </w:rPr>
            </w:pPr>
            <w:r>
              <w:rPr>
                <w:rFonts w:cs="Arial"/>
                <w:b/>
                <w:bCs/>
                <w:sz w:val="22"/>
                <w:szCs w:val="16"/>
              </w:rPr>
              <w:t>Hebei Shoulang New Energy Technology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highlight w:val="yellow"/>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highlight w:val="yellow"/>
              </w:rPr>
            </w:pPr>
            <w:r>
              <w:rPr>
                <w:rFonts w:cs="Arial"/>
                <w:b/>
                <w:bCs/>
                <w:sz w:val="22"/>
                <w:szCs w:val="16"/>
              </w:rPr>
              <w:t>The courtyard of Shougang Jingtang Iron and Steel United Co. ,</w:t>
            </w:r>
            <w:r>
              <w:rPr>
                <w:rFonts w:hint="eastAsia" w:cs="Arial"/>
                <w:b/>
                <w:bCs/>
                <w:sz w:val="22"/>
                <w:szCs w:val="16"/>
              </w:rPr>
              <w:t xml:space="preserve"> </w:t>
            </w:r>
            <w:r>
              <w:rPr>
                <w:rFonts w:cs="Arial"/>
                <w:b/>
                <w:bCs/>
                <w:sz w:val="22"/>
                <w:szCs w:val="16"/>
              </w:rPr>
              <w:t>Caofeidian</w:t>
            </w:r>
            <w:r>
              <w:rPr>
                <w:rFonts w:hint="eastAsia" w:cs="Arial"/>
                <w:b/>
                <w:bCs/>
                <w:sz w:val="22"/>
                <w:szCs w:val="16"/>
              </w:rPr>
              <w:t xml:space="preserve"> </w:t>
            </w:r>
            <w:r>
              <w:rPr>
                <w:rFonts w:cs="Arial"/>
                <w:b/>
                <w:bCs/>
                <w:sz w:val="22"/>
                <w:szCs w:val="16"/>
              </w:rPr>
              <w:t>Industrial Zone, Hebei</w:t>
            </w:r>
            <w:r>
              <w:rPr>
                <w:rFonts w:hint="eastAsia" w:cs="Arial"/>
                <w:b/>
                <w:bCs/>
                <w:sz w:val="22"/>
                <w:szCs w:val="16"/>
              </w:rPr>
              <w:t xml:space="preserve"> Province,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highlight w:val="yellow"/>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r>
              <w:rPr>
                <w:sz w:val="22"/>
                <w:szCs w:val="22"/>
              </w:rPr>
              <w:t>Energy management activities involved in the production and service of denatured fuel ethanol and Clostridium ethanol protein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highlight w:val="yellow"/>
              </w:rPr>
            </w:pPr>
            <w:r>
              <w:rPr>
                <w:rFonts w:cs="Arial"/>
                <w:b/>
                <w:bCs/>
                <w:sz w:val="22"/>
                <w:szCs w:val="16"/>
              </w:rPr>
              <w:t>The courtyard of Shougang Jingtang Iron and Steel United Co. ,</w:t>
            </w:r>
            <w:r>
              <w:rPr>
                <w:rFonts w:hint="eastAsia" w:cs="Arial"/>
                <w:b/>
                <w:bCs/>
                <w:sz w:val="22"/>
                <w:szCs w:val="16"/>
              </w:rPr>
              <w:t xml:space="preserve"> </w:t>
            </w:r>
            <w:r>
              <w:rPr>
                <w:rFonts w:cs="Arial"/>
                <w:b/>
                <w:bCs/>
                <w:sz w:val="22"/>
                <w:szCs w:val="16"/>
              </w:rPr>
              <w:t>Caofeidian</w:t>
            </w:r>
            <w:r>
              <w:rPr>
                <w:rFonts w:hint="eastAsia" w:cs="Arial"/>
                <w:b/>
                <w:bCs/>
                <w:sz w:val="22"/>
                <w:szCs w:val="16"/>
              </w:rPr>
              <w:t xml:space="preserve"> </w:t>
            </w:r>
            <w:r>
              <w:rPr>
                <w:rFonts w:cs="Arial"/>
                <w:b/>
                <w:bCs/>
                <w:sz w:val="22"/>
                <w:szCs w:val="16"/>
              </w:rPr>
              <w:t>Industrial Zone, Hebei</w:t>
            </w:r>
            <w:r>
              <w:rPr>
                <w:rFonts w:hint="eastAsia" w:cs="Arial"/>
                <w:b/>
                <w:bCs/>
                <w:sz w:val="22"/>
                <w:szCs w:val="16"/>
              </w:rPr>
              <w:t xml:space="preserve"> Province,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sz w:val="21"/>
                <w:szCs w:val="21"/>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5"/>
                          <a:stretch>
                            <a:fillRect/>
                          </a:stretch>
                        </pic:blipFill>
                        <pic:spPr>
                          <a:xfrm>
                            <a:off x="0" y="0"/>
                            <a:ext cx="982345" cy="319405"/>
                          </a:xfrm>
                          <a:prstGeom prst="rect">
                            <a:avLst/>
                          </a:prstGeom>
                        </pic:spPr>
                      </pic:pic>
                    </a:graphicData>
                  </a:graphic>
                </wp:inline>
              </w:drawing>
            </w:r>
          </w:p>
        </w:tc>
      </w:tr>
    </w:tbl>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能源管理体系认证证书附件</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获证组织名称：</w:t>
      </w:r>
      <w:bookmarkStart w:id="20" w:name="组织名称Add2"/>
      <w:r>
        <w:rPr>
          <w:rFonts w:hint="eastAsia"/>
          <w:b/>
          <w:color w:val="000000" w:themeColor="text1"/>
          <w:sz w:val="22"/>
          <w:szCs w:val="22"/>
          <w14:textFill>
            <w14:solidFill>
              <w14:schemeClr w14:val="tx1"/>
            </w14:solidFill>
          </w14:textFill>
        </w:rPr>
        <w:t>河北首朗新能源科技有限公司</w:t>
      </w:r>
      <w:bookmarkEnd w:id="20"/>
      <w:r>
        <w:rPr>
          <w:rFonts w:hint="eastAsia"/>
          <w:b/>
          <w:color w:val="000000" w:themeColor="text1"/>
          <w:sz w:val="22"/>
          <w:szCs w:val="22"/>
          <w14:textFill>
            <w14:solidFill>
              <w14:schemeClr w14:val="tx1"/>
            </w14:solidFill>
          </w14:textFill>
        </w:rPr>
        <w:t xml:space="preserve">         证书注册号：</w:t>
      </w:r>
      <w:bookmarkStart w:id="21" w:name="证书编号Add1"/>
      <w:bookmarkEnd w:id="21"/>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获证组织地址：</w:t>
      </w:r>
      <w:bookmarkStart w:id="22" w:name="生产地址"/>
      <w:r>
        <w:rPr>
          <w:b/>
          <w:color w:val="000000" w:themeColor="text1"/>
          <w:sz w:val="22"/>
          <w:szCs w:val="22"/>
          <w14:textFill>
            <w14:solidFill>
              <w14:schemeClr w14:val="tx1"/>
            </w14:solidFill>
          </w14:textFill>
        </w:rPr>
        <w:t>曹妃甸工业区首钢京唐钢铁联合有限责任公司院内</w:t>
      </w:r>
      <w:bookmarkEnd w:id="22"/>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认证依据标准：GB/T 23331-2020/ISO50001:2018《能源管理体系 要求及使用指南》</w:t>
      </w:r>
    </w:p>
    <w:p>
      <w:pPr>
        <w:ind w:firstLine="1546" w:firstLineChars="70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&amp;RB/T 114-2014 《能源管理体系 纯碱、焦化、橡塑制品、制药等化工企业认证要求》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379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审核类型及时间</w:t>
            </w:r>
          </w:p>
        </w:tc>
        <w:tc>
          <w:tcPr>
            <w:tcW w:w="379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能源数据</w:t>
            </w:r>
          </w:p>
        </w:tc>
        <w:tc>
          <w:tcPr>
            <w:tcW w:w="377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2022</w:t>
            </w:r>
            <w:r>
              <w:rPr>
                <w:rFonts w:hint="eastAsia"/>
                <w:sz w:val="20"/>
                <w:szCs w:val="22"/>
              </w:rPr>
              <w:t>年</w:t>
            </w:r>
            <w:r>
              <w:rPr>
                <w:rFonts w:hint="eastAsia"/>
                <w:sz w:val="20"/>
                <w:szCs w:val="22"/>
                <w:u w:val="single"/>
              </w:rPr>
              <w:t>05</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25~27</w:t>
            </w:r>
            <w:r>
              <w:rPr>
                <w:rFonts w:hint="eastAsia"/>
                <w:sz w:val="20"/>
                <w:szCs w:val="22"/>
              </w:rPr>
              <w:t>日</w:t>
            </w:r>
          </w:p>
        </w:tc>
        <w:tc>
          <w:tcPr>
            <w:tcW w:w="379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2021</w:t>
            </w:r>
            <w:r>
              <w:rPr>
                <w:rFonts w:hint="eastAsia"/>
                <w:sz w:val="20"/>
                <w:szCs w:val="22"/>
              </w:rPr>
              <w:t>年01月01日至</w:t>
            </w:r>
            <w:r>
              <w:rPr>
                <w:rFonts w:hint="eastAsia"/>
                <w:sz w:val="20"/>
                <w:szCs w:val="22"/>
                <w:u w:val="single"/>
              </w:rPr>
              <w:t>2021</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3775" w:type="dxa"/>
            <w:vMerge w:val="restart"/>
          </w:tcPr>
          <w:p>
            <w:pPr>
              <w:pStyle w:val="2"/>
              <w:spacing w:line="240" w:lineRule="auto"/>
              <w:ind w:firstLine="0"/>
              <w:rPr>
                <w:b/>
                <w:color w:val="000000" w:themeColor="text1"/>
                <w:sz w:val="22"/>
                <w:szCs w:val="22"/>
                <w14:textFill>
                  <w14:solidFill>
                    <w14:schemeClr w14:val="tx1"/>
                  </w14:solidFill>
                </w14:textFill>
              </w:rPr>
            </w:pPr>
            <w:r>
              <w:rPr>
                <w:rFonts w:hint="eastAsia"/>
                <w:b/>
                <w:bCs/>
                <w:sz w:val="20"/>
                <w:szCs w:val="22"/>
              </w:rPr>
              <w:t>单位名称：</w:t>
            </w:r>
            <w:r>
              <w:rPr>
                <w:rFonts w:hint="eastAsia"/>
                <w:sz w:val="20"/>
                <w:szCs w:val="22"/>
              </w:rPr>
              <w:t>河北首朗新能源科技有限公司</w:t>
            </w:r>
          </w:p>
          <w:p>
            <w:pPr>
              <w:pStyle w:val="2"/>
              <w:spacing w:line="240" w:lineRule="auto"/>
              <w:ind w:firstLine="0"/>
              <w:rPr>
                <w:sz w:val="20"/>
                <w:szCs w:val="22"/>
              </w:rPr>
            </w:pPr>
            <w:r>
              <w:rPr>
                <w:rFonts w:hint="eastAsia"/>
                <w:b/>
                <w:bCs/>
                <w:sz w:val="20"/>
                <w:szCs w:val="22"/>
              </w:rPr>
              <w:t>地址：</w:t>
            </w:r>
            <w:r>
              <w:rPr>
                <w:rFonts w:hint="eastAsia"/>
                <w:sz w:val="20"/>
                <w:szCs w:val="22"/>
              </w:rPr>
              <w:t>曹妃甸工业区首钢京唐钢铁联合有限责任公司院内区域内的变性燃料乙醇和乙醇梭菌蛋白的生产和服务所涉及的能源采购、加工、转换、使用过程的相关管理活动</w:t>
            </w:r>
          </w:p>
          <w:p>
            <w:pPr>
              <w:pStyle w:val="2"/>
              <w:spacing w:line="240" w:lineRule="auto"/>
              <w:ind w:firstLine="0"/>
              <w:rPr>
                <w:sz w:val="20"/>
                <w:szCs w:val="22"/>
              </w:rPr>
            </w:pPr>
            <w:r>
              <w:rPr>
                <w:rFonts w:hint="eastAsia"/>
                <w:b/>
                <w:bCs/>
                <w:sz w:val="20"/>
                <w:szCs w:val="22"/>
              </w:rPr>
              <w:t>生产及辅助系统</w:t>
            </w:r>
            <w:r>
              <w:rPr>
                <w:rFonts w:hint="eastAsia"/>
                <w:sz w:val="20"/>
                <w:szCs w:val="22"/>
              </w:rPr>
              <w:t>：</w:t>
            </w:r>
          </w:p>
          <w:p>
            <w:pPr>
              <w:pStyle w:val="2"/>
              <w:spacing w:line="240" w:lineRule="auto"/>
              <w:ind w:firstLine="0"/>
              <w:rPr>
                <w:rFonts w:hint="default"/>
                <w:sz w:val="20"/>
                <w:szCs w:val="22"/>
                <w:lang w:val="en-US"/>
              </w:rPr>
            </w:pPr>
            <w:r>
              <w:rPr>
                <w:rFonts w:hint="eastAsia"/>
                <w:sz w:val="20"/>
                <w:szCs w:val="22"/>
              </w:rPr>
              <w:t>包括：预处理</w:t>
            </w:r>
            <w:r>
              <w:rPr>
                <w:rFonts w:hint="eastAsia"/>
                <w:sz w:val="20"/>
                <w:szCs w:val="22"/>
                <w:lang w:val="en-US" w:eastAsia="zh-CN"/>
              </w:rPr>
              <w:t>工段</w:t>
            </w:r>
            <w:r>
              <w:rPr>
                <w:rFonts w:hint="eastAsia"/>
                <w:sz w:val="20"/>
                <w:szCs w:val="22"/>
              </w:rPr>
              <w:t>，发酵</w:t>
            </w:r>
            <w:r>
              <w:rPr>
                <w:rFonts w:hint="eastAsia"/>
                <w:sz w:val="20"/>
                <w:szCs w:val="22"/>
                <w:lang w:val="en-US" w:eastAsia="zh-CN"/>
              </w:rPr>
              <w:t>工段</w:t>
            </w:r>
            <w:r>
              <w:rPr>
                <w:rFonts w:hint="eastAsia"/>
                <w:sz w:val="20"/>
                <w:szCs w:val="22"/>
              </w:rPr>
              <w:t>，蒸馏</w:t>
            </w:r>
            <w:r>
              <w:rPr>
                <w:rFonts w:hint="eastAsia"/>
                <w:sz w:val="20"/>
                <w:szCs w:val="22"/>
                <w:lang w:val="en-US" w:eastAsia="zh-CN"/>
              </w:rPr>
              <w:t>工段</w:t>
            </w:r>
            <w:r>
              <w:rPr>
                <w:rFonts w:hint="eastAsia"/>
                <w:sz w:val="20"/>
                <w:szCs w:val="22"/>
              </w:rPr>
              <w:t>，尾气处理</w:t>
            </w:r>
            <w:r>
              <w:rPr>
                <w:rFonts w:hint="eastAsia"/>
                <w:sz w:val="20"/>
                <w:szCs w:val="22"/>
                <w:lang w:val="en-US" w:eastAsia="zh-CN"/>
              </w:rPr>
              <w:t>工段</w:t>
            </w:r>
            <w:r>
              <w:rPr>
                <w:rFonts w:hint="eastAsia"/>
                <w:sz w:val="20"/>
                <w:szCs w:val="22"/>
              </w:rPr>
              <w:t>，蛋白</w:t>
            </w:r>
            <w:r>
              <w:rPr>
                <w:rFonts w:hint="eastAsia"/>
                <w:sz w:val="20"/>
                <w:szCs w:val="22"/>
                <w:lang w:val="en-US" w:eastAsia="zh-CN"/>
              </w:rPr>
              <w:t>工段</w:t>
            </w:r>
            <w:r>
              <w:rPr>
                <w:rFonts w:hint="eastAsia"/>
                <w:sz w:val="20"/>
                <w:szCs w:val="22"/>
              </w:rPr>
              <w:t>，污水</w:t>
            </w:r>
            <w:r>
              <w:rPr>
                <w:rFonts w:hint="eastAsia"/>
                <w:sz w:val="20"/>
                <w:szCs w:val="22"/>
                <w:lang w:val="en-US" w:eastAsia="zh-CN"/>
              </w:rPr>
              <w:t>处理工段</w:t>
            </w:r>
            <w:r>
              <w:rPr>
                <w:rFonts w:hint="eastAsia"/>
                <w:sz w:val="20"/>
                <w:szCs w:val="22"/>
              </w:rPr>
              <w:t>，沼气脱硫</w:t>
            </w:r>
            <w:r>
              <w:rPr>
                <w:rFonts w:hint="eastAsia"/>
                <w:sz w:val="20"/>
                <w:szCs w:val="22"/>
                <w:lang w:val="en-US" w:eastAsia="zh-CN"/>
              </w:rPr>
              <w:t>工段</w:t>
            </w:r>
            <w:r>
              <w:rPr>
                <w:rFonts w:hint="eastAsia"/>
                <w:sz w:val="20"/>
                <w:szCs w:val="22"/>
                <w:lang w:eastAsia="zh-CN"/>
              </w:rPr>
              <w:t>、</w:t>
            </w:r>
            <w:r>
              <w:rPr>
                <w:rFonts w:hint="eastAsia"/>
                <w:sz w:val="20"/>
                <w:szCs w:val="22"/>
                <w:lang w:val="en-US" w:eastAsia="zh-CN"/>
              </w:rPr>
              <w:t>成品罐区、化验室、公辅、设备维修、仓库</w:t>
            </w:r>
          </w:p>
          <w:p>
            <w:pPr>
              <w:pStyle w:val="2"/>
              <w:spacing w:line="240" w:lineRule="exact"/>
              <w:ind w:firstLine="0"/>
              <w:rPr>
                <w:rFonts w:ascii="宋体" w:hAnsi="宋体"/>
                <w:b/>
                <w:color w:val="000000" w:themeColor="text1"/>
                <w:sz w:val="24"/>
                <w:szCs w:val="24"/>
                <w14:textFill>
                  <w14:solidFill>
                    <w14:schemeClr w14:val="tx1"/>
                  </w14:solidFill>
                </w14:textFill>
              </w:rPr>
            </w:pPr>
            <w:r>
              <w:rPr>
                <w:rFonts w:hint="eastAsia"/>
                <w:b/>
                <w:bCs/>
                <w:sz w:val="20"/>
                <w:szCs w:val="22"/>
              </w:rPr>
              <w:t>相关部门</w:t>
            </w:r>
            <w:r>
              <w:rPr>
                <w:rFonts w:hint="eastAsia"/>
                <w:sz w:val="20"/>
                <w:szCs w:val="22"/>
              </w:rPr>
              <w:t>：生产运营部</w:t>
            </w:r>
            <w:r>
              <w:rPr>
                <w:rFonts w:hint="eastAsia"/>
                <w:sz w:val="20"/>
                <w:szCs w:val="22"/>
                <w:lang w:eastAsia="zh-CN"/>
              </w:rPr>
              <w:t>、</w:t>
            </w:r>
            <w:r>
              <w:rPr>
                <w:rFonts w:hint="eastAsia"/>
                <w:sz w:val="20"/>
                <w:szCs w:val="22"/>
              </w:rPr>
              <w:t>综合管理办公室、技术部、设备自动化部、质量检验部、安全环境保卫部、</w:t>
            </w:r>
            <w:r>
              <w:rPr>
                <w:rFonts w:hint="eastAsia"/>
                <w:sz w:val="20"/>
                <w:szCs w:val="22"/>
                <w:lang w:val="en-US" w:eastAsia="zh-CN"/>
              </w:rPr>
              <w:t>财</w:t>
            </w:r>
            <w:r>
              <w:rPr>
                <w:rFonts w:hint="eastAsia"/>
                <w:sz w:val="20"/>
                <w:szCs w:val="22"/>
              </w:rPr>
              <w:t>务部、储运部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3795" w:type="dxa"/>
          </w:tcPr>
          <w:p>
            <w:pPr>
              <w:pStyle w:val="2"/>
              <w:spacing w:line="320" w:lineRule="exact"/>
              <w:ind w:firstLine="0"/>
              <w:rPr>
                <w:rFonts w:hint="eastAsia"/>
                <w:b/>
                <w:bCs/>
                <w:sz w:val="20"/>
                <w:szCs w:val="22"/>
                <w:lang w:val="zh-CN"/>
              </w:rPr>
            </w:pPr>
            <w:r>
              <w:rPr>
                <w:rFonts w:hint="eastAsia"/>
                <w:b/>
                <w:bCs/>
                <w:sz w:val="20"/>
              </w:rPr>
              <w:t>产量：</w:t>
            </w:r>
            <w:r>
              <w:rPr>
                <w:rFonts w:hint="eastAsia"/>
                <w:b/>
                <w:bCs/>
                <w:sz w:val="20"/>
                <w:szCs w:val="22"/>
                <w:lang w:val="en-US" w:eastAsia="zh-CN"/>
              </w:rPr>
              <w:t>3.64万</w:t>
            </w:r>
            <w:r>
              <w:rPr>
                <w:rFonts w:hint="eastAsia"/>
                <w:b/>
                <w:bCs/>
                <w:sz w:val="20"/>
                <w:szCs w:val="22"/>
                <w:lang w:val="zh-CN"/>
              </w:rPr>
              <w:t>吨</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szCs w:val="22"/>
                <w:lang w:val="zh-CN"/>
              </w:rPr>
              <w:t>产值：20523.53万元</w:t>
            </w:r>
          </w:p>
        </w:tc>
        <w:tc>
          <w:tcPr>
            <w:tcW w:w="377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3795" w:type="dxa"/>
          </w:tcPr>
          <w:p>
            <w:pPr>
              <w:pStyle w:val="2"/>
              <w:spacing w:line="320" w:lineRule="exact"/>
              <w:ind w:firstLine="0"/>
              <w:rPr>
                <w:rFonts w:hint="default" w:eastAsia="宋体"/>
                <w:b/>
                <w:bCs/>
                <w:sz w:val="20"/>
                <w:szCs w:val="22"/>
                <w:lang w:val="en-US" w:eastAsia="zh-CN"/>
              </w:rPr>
            </w:pPr>
            <w:r>
              <w:rPr>
                <w:rFonts w:hint="eastAsia"/>
                <w:b/>
                <w:bCs/>
                <w:sz w:val="20"/>
                <w:szCs w:val="22"/>
                <w:lang w:val="zh-CN"/>
              </w:rPr>
              <w:t>综合能耗：62039.1</w:t>
            </w:r>
            <w:r>
              <w:rPr>
                <w:rFonts w:hint="eastAsia"/>
                <w:b/>
                <w:bCs/>
                <w:sz w:val="20"/>
                <w:szCs w:val="22"/>
                <w:lang w:val="en-US" w:eastAsia="zh-CN"/>
              </w:rPr>
              <w:t xml:space="preserve"> tce</w:t>
            </w:r>
          </w:p>
          <w:p>
            <w:pPr>
              <w:pStyle w:val="2"/>
              <w:spacing w:line="320" w:lineRule="exact"/>
              <w:ind w:firstLine="0"/>
              <w:rPr>
                <w:rFonts w:ascii="宋体" w:hAnsi="宋体"/>
                <w:b/>
                <w:color w:val="000000" w:themeColor="text1"/>
                <w:szCs w:val="24"/>
                <w14:textFill>
                  <w14:solidFill>
                    <w14:schemeClr w14:val="tx1"/>
                  </w14:solidFill>
                </w14:textFill>
              </w:rPr>
            </w:pPr>
          </w:p>
        </w:tc>
        <w:tc>
          <w:tcPr>
            <w:tcW w:w="377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3795" w:type="dxa"/>
          </w:tcPr>
          <w:p>
            <w:pPr>
              <w:rPr>
                <w:b/>
                <w:bCs/>
                <w:sz w:val="20"/>
                <w:szCs w:val="22"/>
              </w:rPr>
            </w:pPr>
            <w:r>
              <w:rPr>
                <w:rFonts w:hint="eastAsia"/>
                <w:b/>
                <w:bCs/>
                <w:sz w:val="20"/>
                <w:szCs w:val="22"/>
              </w:rPr>
              <w:t>单位产品综合能耗：1</w:t>
            </w:r>
            <w:r>
              <w:rPr>
                <w:rFonts w:hint="eastAsia"/>
                <w:b/>
                <w:bCs/>
                <w:sz w:val="20"/>
                <w:szCs w:val="22"/>
                <w:lang w:val="en-US" w:eastAsia="zh-CN"/>
              </w:rPr>
              <w:t>.</w:t>
            </w:r>
            <w:r>
              <w:rPr>
                <w:rFonts w:hint="eastAsia"/>
                <w:b/>
                <w:bCs/>
                <w:sz w:val="20"/>
                <w:szCs w:val="22"/>
              </w:rPr>
              <w:t>704</w:t>
            </w:r>
            <w:r>
              <w:rPr>
                <w:rFonts w:hint="eastAsia"/>
                <w:b/>
                <w:bCs/>
                <w:sz w:val="20"/>
                <w:szCs w:val="22"/>
                <w:lang w:val="en-US" w:eastAsia="zh-CN"/>
              </w:rPr>
              <w:t xml:space="preserve"> t</w:t>
            </w:r>
            <w:r>
              <w:rPr>
                <w:rFonts w:hint="eastAsia"/>
                <w:b/>
                <w:bCs/>
                <w:sz w:val="20"/>
                <w:szCs w:val="22"/>
              </w:rPr>
              <w:t>ce/t</w:t>
            </w:r>
          </w:p>
          <w:p>
            <w:pPr>
              <w:rPr>
                <w:rFonts w:hint="default" w:ascii="宋体" w:hAnsi="宋体" w:eastAsia="宋体"/>
                <w:b/>
                <w:color w:val="000000" w:themeColor="text1"/>
                <w:szCs w:val="24"/>
                <w:lang w:val="en-US" w:eastAsia="zh-CN"/>
                <w14:textFill>
                  <w14:solidFill>
                    <w14:schemeClr w14:val="tx1"/>
                  </w14:solidFill>
                </w14:textFill>
              </w:rPr>
            </w:pPr>
            <w:r>
              <w:rPr>
                <w:rFonts w:hint="eastAsia"/>
                <w:b/>
                <w:bCs/>
                <w:sz w:val="20"/>
                <w:szCs w:val="22"/>
              </w:rPr>
              <w:t>单位产值综合能耗：3</w:t>
            </w:r>
            <w:r>
              <w:rPr>
                <w:rFonts w:hint="eastAsia"/>
                <w:b/>
                <w:bCs/>
                <w:sz w:val="20"/>
                <w:szCs w:val="22"/>
                <w:lang w:val="en-US" w:eastAsia="zh-CN"/>
              </w:rPr>
              <w:t>.</w:t>
            </w:r>
            <w:r>
              <w:rPr>
                <w:rFonts w:hint="eastAsia"/>
                <w:b/>
                <w:bCs/>
                <w:sz w:val="20"/>
                <w:szCs w:val="22"/>
              </w:rPr>
              <w:t>023</w:t>
            </w:r>
            <w:r>
              <w:rPr>
                <w:rFonts w:hint="eastAsia"/>
                <w:b/>
                <w:bCs/>
                <w:sz w:val="20"/>
                <w:szCs w:val="22"/>
                <w:lang w:val="en-US" w:eastAsia="zh-CN"/>
              </w:rPr>
              <w:t xml:space="preserve"> t</w:t>
            </w:r>
            <w:bookmarkStart w:id="23" w:name="_GoBack"/>
            <w:bookmarkEnd w:id="23"/>
            <w:r>
              <w:rPr>
                <w:rFonts w:hint="eastAsia"/>
                <w:b/>
                <w:bCs/>
                <w:sz w:val="20"/>
                <w:szCs w:val="22"/>
              </w:rPr>
              <w:t>c</w:t>
            </w:r>
            <w:r>
              <w:rPr>
                <w:rFonts w:hint="eastAsia"/>
                <w:b/>
                <w:bCs/>
                <w:sz w:val="20"/>
                <w:szCs w:val="22"/>
                <w:lang w:val="en-US" w:eastAsia="zh-CN"/>
              </w:rPr>
              <w:t>e/万元</w:t>
            </w:r>
          </w:p>
        </w:tc>
        <w:tc>
          <w:tcPr>
            <w:tcW w:w="377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3795" w:type="dxa"/>
          </w:tcPr>
          <w:p>
            <w:pPr>
              <w:rPr>
                <w:sz w:val="20"/>
                <w:szCs w:val="22"/>
              </w:rPr>
            </w:pPr>
            <w:r>
              <w:rPr>
                <w:rFonts w:hint="eastAsia"/>
                <w:b/>
                <w:bCs/>
                <w:sz w:val="20"/>
                <w:szCs w:val="22"/>
              </w:rPr>
              <w:t>节能量（吨标准煤）：</w:t>
            </w:r>
          </w:p>
          <w:p>
            <w:pPr>
              <w:rPr>
                <w:sz w:val="20"/>
                <w:szCs w:val="22"/>
              </w:rPr>
            </w:pPr>
          </w:p>
        </w:tc>
        <w:tc>
          <w:tcPr>
            <w:tcW w:w="377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379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377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379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377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379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377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379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377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3795" w:type="dxa"/>
          </w:tcPr>
          <w:p>
            <w:pPr>
              <w:rPr>
                <w:sz w:val="20"/>
                <w:szCs w:val="22"/>
              </w:rPr>
            </w:pPr>
            <w:r>
              <w:rPr>
                <w:rFonts w:hint="eastAsia"/>
                <w:b/>
                <w:bCs/>
                <w:sz w:val="20"/>
                <w:szCs w:val="22"/>
              </w:rPr>
              <w:t>节能量（吨标准煤）：</w:t>
            </w:r>
          </w:p>
          <w:p>
            <w:pPr>
              <w:rPr>
                <w:sz w:val="20"/>
                <w:szCs w:val="22"/>
              </w:rPr>
            </w:pPr>
          </w:p>
        </w:tc>
        <w:tc>
          <w:tcPr>
            <w:tcW w:w="377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379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377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379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377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36" w:type="dxa"/>
            <w:vMerge w:val="continue"/>
          </w:tcPr>
          <w:p>
            <w:pPr>
              <w:pStyle w:val="2"/>
              <w:spacing w:line="400" w:lineRule="exact"/>
              <w:ind w:firstLine="0"/>
              <w:rPr>
                <w:sz w:val="20"/>
                <w:szCs w:val="22"/>
              </w:rPr>
            </w:pPr>
          </w:p>
        </w:tc>
        <w:tc>
          <w:tcPr>
            <w:tcW w:w="379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377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36" w:type="dxa"/>
            <w:vMerge w:val="continue"/>
          </w:tcPr>
          <w:p>
            <w:pPr>
              <w:pStyle w:val="2"/>
              <w:spacing w:line="400" w:lineRule="exact"/>
              <w:ind w:firstLine="0"/>
              <w:rPr>
                <w:sz w:val="20"/>
                <w:szCs w:val="22"/>
              </w:rPr>
            </w:pPr>
          </w:p>
        </w:tc>
        <w:tc>
          <w:tcPr>
            <w:tcW w:w="379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377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36" w:type="dxa"/>
            <w:vMerge w:val="continue"/>
          </w:tcPr>
          <w:p>
            <w:pPr>
              <w:pStyle w:val="2"/>
              <w:spacing w:line="400" w:lineRule="exact"/>
              <w:ind w:firstLine="0"/>
              <w:rPr>
                <w:sz w:val="20"/>
                <w:szCs w:val="22"/>
              </w:rPr>
            </w:pPr>
          </w:p>
        </w:tc>
        <w:tc>
          <w:tcPr>
            <w:tcW w:w="3795" w:type="dxa"/>
          </w:tcPr>
          <w:p>
            <w:pPr>
              <w:rPr>
                <w:sz w:val="20"/>
                <w:szCs w:val="22"/>
              </w:rPr>
            </w:pPr>
            <w:r>
              <w:rPr>
                <w:rFonts w:hint="eastAsia"/>
                <w:b/>
                <w:bCs/>
                <w:sz w:val="20"/>
                <w:szCs w:val="22"/>
              </w:rPr>
              <w:t>节能量（吨标准煤）：</w:t>
            </w:r>
          </w:p>
          <w:p>
            <w:pPr>
              <w:rPr>
                <w:sz w:val="20"/>
                <w:szCs w:val="22"/>
              </w:rPr>
            </w:pPr>
          </w:p>
        </w:tc>
        <w:tc>
          <w:tcPr>
            <w:tcW w:w="377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8240"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2"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8240;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Z6JavM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82"/>
    <w:rsid w:val="00BC40E0"/>
    <w:rsid w:val="00C03D6B"/>
    <w:rsid w:val="00DA2C82"/>
    <w:rsid w:val="00DE6114"/>
    <w:rsid w:val="00ED7545"/>
    <w:rsid w:val="0B9B2795"/>
    <w:rsid w:val="11E579CA"/>
    <w:rsid w:val="134F457E"/>
    <w:rsid w:val="1FB63FB0"/>
    <w:rsid w:val="412C149E"/>
    <w:rsid w:val="4ED83718"/>
    <w:rsid w:val="552C74BD"/>
    <w:rsid w:val="6E0B7EE9"/>
    <w:rsid w:val="6F8C4978"/>
    <w:rsid w:val="71274257"/>
    <w:rsid w:val="7F6B3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338</Words>
  <Characters>1927</Characters>
  <Lines>16</Lines>
  <Paragraphs>4</Paragraphs>
  <TotalTime>29</TotalTime>
  <ScaleCrop>false</ScaleCrop>
  <LinksUpToDate>false</LinksUpToDate>
  <CharactersWithSpaces>2261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丽英</cp:lastModifiedBy>
  <cp:lastPrinted>2019-05-13T03:13:00Z</cp:lastPrinted>
  <dcterms:modified xsi:type="dcterms:W3CDTF">2022-05-28T05:11:29Z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