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3E74D3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E74D3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8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253"/>
        <w:gridCol w:w="1112"/>
        <w:gridCol w:w="1505"/>
        <w:gridCol w:w="1290"/>
        <w:gridCol w:w="1055"/>
        <w:gridCol w:w="1275"/>
        <w:gridCol w:w="2478"/>
      </w:tblGrid>
      <w:tr w:rsidR="005A16F7" w:rsidTr="00EA0571">
        <w:trPr>
          <w:cantSplit/>
          <w:trHeight w:val="79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北京德宝豪特能源科技有限公司</w:t>
            </w:r>
            <w:bookmarkEnd w:id="4"/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E74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78" w:type="dxa"/>
            <w:tcBorders>
              <w:top w:val="single" w:sz="8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 w:rsidR="00EA0571">
              <w:rPr>
                <w:rFonts w:hint="eastAsia"/>
                <w:b/>
                <w:sz w:val="20"/>
              </w:rPr>
              <w:t>E</w:t>
            </w:r>
            <w:r>
              <w:rPr>
                <w:b/>
                <w:sz w:val="20"/>
              </w:rPr>
              <w:t>19.05.01;33.02.01;34.05.00;34.06.00</w:t>
            </w:r>
          </w:p>
          <w:bookmarkEnd w:id="5"/>
          <w:p w:rsidR="00AE4B04" w:rsidRDefault="00B62810" w:rsidP="006519E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5A16F7" w:rsidTr="00EA0571">
        <w:trPr>
          <w:cantSplit/>
          <w:trHeight w:val="362"/>
          <w:jc w:val="center"/>
        </w:trPr>
        <w:tc>
          <w:tcPr>
            <w:tcW w:w="2162" w:type="dxa"/>
            <w:gridSpan w:val="2"/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7" w:type="dxa"/>
            <w:gridSpan w:val="2"/>
            <w:vAlign w:val="center"/>
          </w:tcPr>
          <w:p w:rsidR="00AE4B04" w:rsidRDefault="00741F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41FF6">
              <w:rPr>
                <w:rFonts w:hint="eastAsia"/>
                <w:b/>
                <w:sz w:val="20"/>
              </w:rPr>
              <w:t>张</w:t>
            </w:r>
            <w:proofErr w:type="gramStart"/>
            <w:r w:rsidRPr="00741FF6">
              <w:rPr>
                <w:rFonts w:hint="eastAsia"/>
                <w:b/>
                <w:sz w:val="20"/>
              </w:rPr>
              <w:t>世</w:t>
            </w:r>
            <w:proofErr w:type="gramEnd"/>
            <w:r w:rsidRPr="00741FF6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1290" w:type="dxa"/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55" w:type="dxa"/>
            <w:vAlign w:val="center"/>
          </w:tcPr>
          <w:p w:rsidR="00AE4B04" w:rsidRDefault="00741F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A1C34">
              <w:rPr>
                <w:sz w:val="18"/>
                <w:szCs w:val="18"/>
              </w:rPr>
              <w:t>19.05.01</w:t>
            </w:r>
          </w:p>
        </w:tc>
        <w:tc>
          <w:tcPr>
            <w:tcW w:w="1275" w:type="dxa"/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478" w:type="dxa"/>
            <w:vAlign w:val="center"/>
          </w:tcPr>
          <w:p w:rsidR="00AE4B04" w:rsidRDefault="00741F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5A16F7" w:rsidTr="00EA0571">
        <w:trPr>
          <w:cantSplit/>
          <w:trHeight w:val="26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53" w:type="dxa"/>
            <w:vAlign w:val="center"/>
          </w:tcPr>
          <w:p w:rsidR="00AE4B04" w:rsidRDefault="003E74D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2" w:type="dxa"/>
            <w:vAlign w:val="center"/>
          </w:tcPr>
          <w:p w:rsidR="00AE4B04" w:rsidRDefault="00741F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78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A16F7" w:rsidTr="00EA0571">
        <w:trPr>
          <w:cantSplit/>
          <w:trHeight w:val="33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12" w:type="dxa"/>
            <w:vAlign w:val="center"/>
          </w:tcPr>
          <w:p w:rsidR="00AE4B04" w:rsidRDefault="00741F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3A1C34">
              <w:rPr>
                <w:sz w:val="18"/>
                <w:szCs w:val="18"/>
              </w:rPr>
              <w:t>19.05.01</w:t>
            </w:r>
          </w:p>
        </w:tc>
        <w:tc>
          <w:tcPr>
            <w:tcW w:w="1505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78" w:type="dxa"/>
            <w:vAlign w:val="center"/>
          </w:tcPr>
          <w:p w:rsidR="00AE4B04" w:rsidRDefault="00B62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A16F7" w:rsidTr="006519E0">
        <w:trPr>
          <w:cantSplit/>
          <w:trHeight w:val="1368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15" w:type="dxa"/>
            <w:gridSpan w:val="6"/>
            <w:vAlign w:val="center"/>
          </w:tcPr>
          <w:p w:rsidR="00741FF6" w:rsidRPr="00741FF6" w:rsidRDefault="00741FF6" w:rsidP="00741FF6">
            <w:pPr>
              <w:snapToGrid w:val="0"/>
              <w:spacing w:line="280" w:lineRule="exact"/>
              <w:rPr>
                <w:b/>
                <w:sz w:val="20"/>
              </w:rPr>
            </w:pPr>
            <w:r w:rsidRPr="00741FF6">
              <w:rPr>
                <w:rFonts w:hint="eastAsia"/>
                <w:b/>
                <w:sz w:val="20"/>
              </w:rPr>
              <w:t>热量表、集中器开发及技术服务流程：</w:t>
            </w:r>
          </w:p>
          <w:p w:rsidR="00741FF6" w:rsidRPr="00741FF6" w:rsidRDefault="00741FF6" w:rsidP="00741FF6">
            <w:pPr>
              <w:snapToGrid w:val="0"/>
              <w:spacing w:line="280" w:lineRule="exact"/>
              <w:rPr>
                <w:b/>
                <w:sz w:val="20"/>
              </w:rPr>
            </w:pPr>
            <w:r w:rsidRPr="00741FF6">
              <w:rPr>
                <w:rFonts w:hint="eastAsia"/>
                <w:b/>
                <w:sz w:val="20"/>
              </w:rPr>
              <w:t>立项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需求分析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设计（图纸设计：结构设计、电路设计、软件设计）—样机加工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测试</w:t>
            </w:r>
            <w:r w:rsidRPr="00741FF6">
              <w:rPr>
                <w:rFonts w:hint="eastAsia"/>
                <w:b/>
                <w:sz w:val="20"/>
              </w:rPr>
              <w:t>---</w:t>
            </w:r>
            <w:r w:rsidRPr="00741FF6">
              <w:rPr>
                <w:rFonts w:hint="eastAsia"/>
                <w:b/>
                <w:sz w:val="20"/>
              </w:rPr>
              <w:t>主管部门型式检验、批准—交付—售后服务（系统升级、技术指导等）</w:t>
            </w:r>
          </w:p>
          <w:p w:rsidR="00741FF6" w:rsidRPr="00741FF6" w:rsidRDefault="00741FF6" w:rsidP="00741FF6">
            <w:pPr>
              <w:snapToGrid w:val="0"/>
              <w:spacing w:line="280" w:lineRule="exact"/>
              <w:rPr>
                <w:b/>
                <w:sz w:val="20"/>
              </w:rPr>
            </w:pPr>
            <w:r w:rsidRPr="00741FF6">
              <w:rPr>
                <w:rFonts w:hint="eastAsia"/>
                <w:b/>
                <w:sz w:val="20"/>
              </w:rPr>
              <w:t>生产流程：进货检验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组装（流量传感器组装</w:t>
            </w:r>
            <w:r w:rsidRPr="00741FF6">
              <w:rPr>
                <w:rFonts w:hint="eastAsia"/>
                <w:b/>
                <w:sz w:val="20"/>
              </w:rPr>
              <w:t>---</w:t>
            </w:r>
            <w:r w:rsidRPr="00741FF6">
              <w:rPr>
                <w:rFonts w:hint="eastAsia"/>
                <w:b/>
                <w:sz w:val="20"/>
              </w:rPr>
              <w:t>线路板检测</w:t>
            </w:r>
            <w:r w:rsidRPr="00741FF6">
              <w:rPr>
                <w:rFonts w:hint="eastAsia"/>
                <w:b/>
                <w:sz w:val="20"/>
              </w:rPr>
              <w:t>----</w:t>
            </w:r>
            <w:r w:rsidRPr="00741FF6">
              <w:rPr>
                <w:rFonts w:hint="eastAsia"/>
                <w:b/>
                <w:sz w:val="20"/>
              </w:rPr>
              <w:t>热量表外壳组装</w:t>
            </w:r>
            <w:r w:rsidRPr="00741FF6">
              <w:rPr>
                <w:rFonts w:hint="eastAsia"/>
                <w:b/>
                <w:sz w:val="20"/>
              </w:rPr>
              <w:t>---</w:t>
            </w:r>
            <w:r w:rsidRPr="00741FF6">
              <w:rPr>
                <w:rFonts w:hint="eastAsia"/>
                <w:b/>
                <w:sz w:val="20"/>
              </w:rPr>
              <w:t>外壳与流量传感器连接）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成品检验—包装</w:t>
            </w:r>
          </w:p>
          <w:p w:rsidR="00AE4B04" w:rsidRDefault="00741FF6" w:rsidP="00741FF6">
            <w:pPr>
              <w:snapToGrid w:val="0"/>
              <w:spacing w:line="280" w:lineRule="exact"/>
              <w:rPr>
                <w:b/>
                <w:sz w:val="20"/>
              </w:rPr>
            </w:pPr>
            <w:r w:rsidRPr="00741FF6">
              <w:rPr>
                <w:rFonts w:hint="eastAsia"/>
                <w:b/>
                <w:sz w:val="20"/>
              </w:rPr>
              <w:t>管理系统软件：立项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需求分析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概要设计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详细设计—客户确认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测试—验收</w:t>
            </w:r>
            <w:r w:rsidRPr="00741FF6">
              <w:rPr>
                <w:rFonts w:hint="eastAsia"/>
                <w:b/>
                <w:sz w:val="20"/>
              </w:rPr>
              <w:t>--</w:t>
            </w:r>
            <w:r w:rsidRPr="00741FF6">
              <w:rPr>
                <w:rFonts w:hint="eastAsia"/>
                <w:b/>
                <w:sz w:val="20"/>
              </w:rPr>
              <w:t>交付使用—售后服务（系统升级、技术指导等）</w:t>
            </w:r>
          </w:p>
        </w:tc>
      </w:tr>
      <w:tr w:rsidR="005A16F7" w:rsidTr="00EA0571">
        <w:trPr>
          <w:cantSplit/>
          <w:trHeight w:val="816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3E74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EA0571" w:rsidRDefault="003E74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715" w:type="dxa"/>
            <w:gridSpan w:val="6"/>
            <w:vAlign w:val="center"/>
          </w:tcPr>
          <w:p w:rsidR="00AE4B04" w:rsidRDefault="007564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生产过程中测试漏检</w:t>
            </w:r>
            <w:r>
              <w:rPr>
                <w:rFonts w:hint="eastAsia"/>
                <w:b/>
                <w:sz w:val="20"/>
              </w:rPr>
              <w:t>（制定测试制度，全检）</w:t>
            </w:r>
          </w:p>
          <w:p w:rsidR="00756492" w:rsidRPr="00756492" w:rsidRDefault="007564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</w:tc>
      </w:tr>
      <w:tr w:rsidR="005A16F7" w:rsidTr="006519E0">
        <w:trPr>
          <w:cantSplit/>
          <w:trHeight w:val="1546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15" w:type="dxa"/>
            <w:gridSpan w:val="6"/>
            <w:vAlign w:val="center"/>
          </w:tcPr>
          <w:p w:rsidR="005F5892" w:rsidRDefault="005F5892" w:rsidP="005F58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固废排放</w:t>
            </w:r>
          </w:p>
          <w:p w:rsidR="00AE4B04" w:rsidRDefault="005F5892" w:rsidP="005F589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F5892">
              <w:rPr>
                <w:rFonts w:hint="eastAsia"/>
                <w:sz w:val="20"/>
              </w:rPr>
              <w:t>（措施：</w:t>
            </w:r>
            <w:r w:rsidRPr="005F5892">
              <w:rPr>
                <w:rFonts w:hint="eastAsia"/>
                <w:sz w:val="20"/>
              </w:rPr>
              <w:t>1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综合部负责于</w:t>
            </w:r>
            <w:r w:rsidRPr="005F5892">
              <w:rPr>
                <w:rFonts w:hint="eastAsia"/>
                <w:sz w:val="20"/>
              </w:rPr>
              <w:t>2019</w:t>
            </w:r>
            <w:r w:rsidRPr="005F5892">
              <w:rPr>
                <w:rFonts w:hint="eastAsia"/>
                <w:sz w:val="20"/>
              </w:rPr>
              <w:t>年</w:t>
            </w:r>
            <w:r w:rsidRPr="005F5892">
              <w:rPr>
                <w:rFonts w:hint="eastAsia"/>
                <w:sz w:val="20"/>
              </w:rPr>
              <w:t>6</w:t>
            </w:r>
            <w:r w:rsidRPr="005F5892">
              <w:rPr>
                <w:rFonts w:hint="eastAsia"/>
                <w:sz w:val="20"/>
              </w:rPr>
              <w:t>月份制定《固体废弃物管理规定》，并报经总经理批准后实施。</w:t>
            </w:r>
            <w:r w:rsidRPr="005F5892">
              <w:rPr>
                <w:rFonts w:hint="eastAsia"/>
                <w:sz w:val="20"/>
              </w:rPr>
              <w:t xml:space="preserve"> 2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公司各部门严格按照《固体废弃物管理规定》的要求，对固体废弃物进行合理分类，并放置到指定位置。</w:t>
            </w:r>
            <w:r w:rsidRPr="005F5892">
              <w:rPr>
                <w:rFonts w:hint="eastAsia"/>
                <w:sz w:val="20"/>
              </w:rPr>
              <w:t>3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公司按相关的要求，定期将不能回收利用的废弃物交甲方进行收集处理。</w:t>
            </w:r>
            <w:r w:rsidRPr="005F5892">
              <w:rPr>
                <w:rFonts w:hint="eastAsia"/>
                <w:sz w:val="20"/>
              </w:rPr>
              <w:t>4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综合部门、项目部门及其</w:t>
            </w:r>
            <w:proofErr w:type="gramStart"/>
            <w:r w:rsidRPr="005F5892">
              <w:rPr>
                <w:rFonts w:hint="eastAsia"/>
                <w:sz w:val="20"/>
              </w:rPr>
              <w:t>它部门</w:t>
            </w:r>
            <w:proofErr w:type="gramEnd"/>
            <w:r w:rsidRPr="005F5892">
              <w:rPr>
                <w:rFonts w:hint="eastAsia"/>
                <w:sz w:val="20"/>
              </w:rPr>
              <w:t>中产生的各种废弃物应督促外包方放置到指定位置，得到妥善处置，并定期进行检查）</w:t>
            </w:r>
          </w:p>
          <w:p w:rsidR="005F5892" w:rsidRPr="005F5892" w:rsidRDefault="005F5892" w:rsidP="005F589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F5892">
              <w:rPr>
                <w:b/>
                <w:sz w:val="20"/>
              </w:rPr>
              <w:t>火灾</w:t>
            </w:r>
            <w:r>
              <w:rPr>
                <w:rFonts w:hint="eastAsia"/>
                <w:sz w:val="20"/>
              </w:rPr>
              <w:t>（</w:t>
            </w:r>
            <w:r w:rsidRPr="005F5892">
              <w:rPr>
                <w:rFonts w:hint="eastAsia"/>
                <w:sz w:val="20"/>
              </w:rPr>
              <w:t>1</w:t>
            </w:r>
            <w:r w:rsidRPr="005F5892">
              <w:rPr>
                <w:rFonts w:hint="eastAsia"/>
                <w:sz w:val="20"/>
              </w:rPr>
              <w:t>、公司综合部负责设备的配备、采购与管理。</w:t>
            </w:r>
            <w:r w:rsidRPr="005F5892">
              <w:rPr>
                <w:rFonts w:hint="eastAsia"/>
                <w:sz w:val="20"/>
              </w:rPr>
              <w:t>2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综合部要求配备合理数量的灭火器并确保其有效性。</w:t>
            </w:r>
            <w:r w:rsidRPr="005F5892">
              <w:rPr>
                <w:rFonts w:hint="eastAsia"/>
                <w:sz w:val="20"/>
              </w:rPr>
              <w:t>3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综合部每月对各部门区域的灭火器进行检查，发现损坏及时要求更换或自行更换。</w:t>
            </w:r>
            <w:r w:rsidRPr="005F5892">
              <w:rPr>
                <w:rFonts w:hint="eastAsia"/>
                <w:sz w:val="20"/>
              </w:rPr>
              <w:t>4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综合部每季度安全工作检查时，对灭火器进行检查，发现损坏及时更换。</w:t>
            </w:r>
            <w:r w:rsidRPr="005F5892">
              <w:rPr>
                <w:rFonts w:hint="eastAsia"/>
                <w:sz w:val="20"/>
              </w:rPr>
              <w:t>5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各部门负责及时清理办公区域内的可燃物。</w:t>
            </w:r>
            <w:r w:rsidRPr="005F5892">
              <w:rPr>
                <w:rFonts w:hint="eastAsia"/>
                <w:sz w:val="20"/>
              </w:rPr>
              <w:t>6</w:t>
            </w:r>
            <w:r w:rsidRPr="005F5892">
              <w:rPr>
                <w:rFonts w:hint="eastAsia"/>
                <w:sz w:val="20"/>
              </w:rPr>
              <w:t>、</w:t>
            </w:r>
            <w:r w:rsidRPr="005F5892">
              <w:rPr>
                <w:rFonts w:hint="eastAsia"/>
                <w:sz w:val="20"/>
              </w:rPr>
              <w:tab/>
            </w:r>
            <w:r w:rsidRPr="005F5892">
              <w:rPr>
                <w:rFonts w:hint="eastAsia"/>
                <w:sz w:val="20"/>
              </w:rPr>
              <w:t>综合部负责</w:t>
            </w:r>
            <w:proofErr w:type="gramStart"/>
            <w:r w:rsidRPr="005F5892">
              <w:rPr>
                <w:rFonts w:hint="eastAsia"/>
                <w:sz w:val="20"/>
              </w:rPr>
              <w:t>监督此</w:t>
            </w:r>
            <w:proofErr w:type="gramEnd"/>
            <w:r w:rsidRPr="005F5892">
              <w:rPr>
                <w:rFonts w:hint="eastAsia"/>
                <w:sz w:val="20"/>
              </w:rPr>
              <w:t>管理方案的落实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5A16F7" w:rsidTr="00EA0571">
        <w:trPr>
          <w:cantSplit/>
          <w:trHeight w:val="57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15" w:type="dxa"/>
            <w:gridSpan w:val="6"/>
            <w:vAlign w:val="center"/>
          </w:tcPr>
          <w:p w:rsidR="00AE4B04" w:rsidRDefault="005F58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5A16F7" w:rsidTr="00EA0571">
        <w:trPr>
          <w:cantSplit/>
          <w:trHeight w:val="693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15" w:type="dxa"/>
            <w:gridSpan w:val="6"/>
            <w:vAlign w:val="center"/>
          </w:tcPr>
          <w:p w:rsidR="00AE4B04" w:rsidRDefault="005F58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F5892">
              <w:rPr>
                <w:rFonts w:hint="eastAsia"/>
                <w:b/>
                <w:sz w:val="20"/>
              </w:rPr>
              <w:t>《</w:t>
            </w:r>
            <w:r w:rsidRPr="005F5892">
              <w:rPr>
                <w:rFonts w:hint="eastAsia"/>
                <w:b/>
                <w:sz w:val="20"/>
              </w:rPr>
              <w:t xml:space="preserve">CJ128-2007 </w:t>
            </w:r>
            <w:r w:rsidRPr="005F5892">
              <w:rPr>
                <w:rFonts w:hint="eastAsia"/>
                <w:b/>
                <w:sz w:val="20"/>
              </w:rPr>
              <w:t>热量表》《</w:t>
            </w:r>
            <w:r w:rsidRPr="005F5892">
              <w:rPr>
                <w:rFonts w:hint="eastAsia"/>
                <w:b/>
                <w:sz w:val="20"/>
              </w:rPr>
              <w:t>GB/T32224-2015</w:t>
            </w:r>
            <w:r w:rsidRPr="005F5892">
              <w:rPr>
                <w:rFonts w:hint="eastAsia"/>
                <w:b/>
                <w:sz w:val="20"/>
              </w:rPr>
              <w:t>热量表》</w:t>
            </w:r>
            <w:r w:rsidR="003F5576" w:rsidRPr="003F5576">
              <w:rPr>
                <w:rFonts w:hint="eastAsia"/>
                <w:b/>
                <w:sz w:val="20"/>
              </w:rPr>
              <w:t>Q/HD DBH000</w:t>
            </w:r>
            <w:bookmarkStart w:id="6" w:name="_GoBack"/>
            <w:bookmarkEnd w:id="6"/>
            <w:r w:rsidR="003F5576" w:rsidRPr="003F5576">
              <w:rPr>
                <w:rFonts w:hint="eastAsia"/>
                <w:b/>
                <w:sz w:val="20"/>
              </w:rPr>
              <w:t>9-2017</w:t>
            </w:r>
            <w:r w:rsidR="003F5576" w:rsidRPr="003F5576">
              <w:rPr>
                <w:rFonts w:hint="eastAsia"/>
                <w:b/>
                <w:sz w:val="20"/>
              </w:rPr>
              <w:t>《集中器》</w:t>
            </w:r>
          </w:p>
        </w:tc>
      </w:tr>
      <w:tr w:rsidR="005A16F7" w:rsidTr="006519E0">
        <w:trPr>
          <w:cantSplit/>
          <w:trHeight w:val="1258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15" w:type="dxa"/>
            <w:gridSpan w:val="6"/>
            <w:vAlign w:val="center"/>
          </w:tcPr>
          <w:p w:rsidR="00AE4B04" w:rsidRDefault="00EA05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A0571">
              <w:rPr>
                <w:rFonts w:hint="eastAsia"/>
                <w:b/>
                <w:sz w:val="20"/>
              </w:rPr>
              <w:t>超声波式热量表型式评价报告</w:t>
            </w:r>
          </w:p>
        </w:tc>
      </w:tr>
      <w:tr w:rsidR="005A16F7" w:rsidTr="006519E0">
        <w:trPr>
          <w:cantSplit/>
          <w:trHeight w:val="100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3E74D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15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EA05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B62810">
      <w:pPr>
        <w:snapToGrid w:val="0"/>
        <w:rPr>
          <w:rFonts w:ascii="宋体"/>
          <w:b/>
          <w:sz w:val="22"/>
          <w:szCs w:val="22"/>
        </w:rPr>
      </w:pPr>
    </w:p>
    <w:p w:rsidR="00AE4B04" w:rsidRDefault="003E74D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B6281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E74D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10" w:rsidRDefault="00B62810">
      <w:r>
        <w:separator/>
      </w:r>
    </w:p>
  </w:endnote>
  <w:endnote w:type="continuationSeparator" w:id="0">
    <w:p w:rsidR="00B62810" w:rsidRDefault="00B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10" w:rsidRDefault="00B62810">
      <w:r>
        <w:separator/>
      </w:r>
    </w:p>
  </w:footnote>
  <w:footnote w:type="continuationSeparator" w:id="0">
    <w:p w:rsidR="00B62810" w:rsidRDefault="00B6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B62810" w:rsidP="006519E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3E74D3" w:rsidRPr="00390345">
      <w:rPr>
        <w:rStyle w:val="CharChar1"/>
        <w:rFonts w:hint="default"/>
      </w:rPr>
      <w:t>北京国标联合认证有限公司</w:t>
    </w:r>
    <w:r w:rsidR="003E74D3" w:rsidRPr="00390345">
      <w:rPr>
        <w:rStyle w:val="CharChar1"/>
        <w:rFonts w:hint="default"/>
      </w:rPr>
      <w:tab/>
    </w:r>
    <w:r w:rsidR="003E74D3" w:rsidRPr="00390345">
      <w:rPr>
        <w:rStyle w:val="CharChar1"/>
        <w:rFonts w:hint="default"/>
      </w:rPr>
      <w:tab/>
    </w:r>
    <w:r w:rsidR="003E74D3">
      <w:rPr>
        <w:rStyle w:val="CharChar1"/>
        <w:rFonts w:hint="default"/>
      </w:rPr>
      <w:tab/>
    </w:r>
  </w:p>
  <w:p w:rsidR="0092500F" w:rsidRDefault="00B62810" w:rsidP="006519E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E74D3" w:rsidP="006519E0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74D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62810">
    <w:pPr>
      <w:pStyle w:val="a4"/>
    </w:pPr>
  </w:p>
  <w:p w:rsidR="00AE4B04" w:rsidRDefault="00B62810" w:rsidP="006519E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16F7"/>
    <w:rsid w:val="003E74D3"/>
    <w:rsid w:val="003F5576"/>
    <w:rsid w:val="005A16F7"/>
    <w:rsid w:val="005F5892"/>
    <w:rsid w:val="006519E0"/>
    <w:rsid w:val="00741FF6"/>
    <w:rsid w:val="00756492"/>
    <w:rsid w:val="00B62810"/>
    <w:rsid w:val="00EA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42</cp:revision>
  <dcterms:created xsi:type="dcterms:W3CDTF">2015-06-17T11:40:00Z</dcterms:created>
  <dcterms:modified xsi:type="dcterms:W3CDTF">2019-12-16T05:26:00Z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