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9"/>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3"/>
        <w:gridCol w:w="947"/>
        <w:gridCol w:w="18"/>
        <w:gridCol w:w="9986"/>
        <w:gridCol w:w="941"/>
        <w:gridCol w:w="644"/>
        <w:gridCol w:w="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gridSpan w:val="2"/>
            <w:vAlign w:val="center"/>
          </w:tcPr>
          <w:p>
            <w:pPr>
              <w:rPr>
                <w:rFonts w:hint="default"/>
                <w:sz w:val="21"/>
                <w:szCs w:val="21"/>
                <w:lang w:val="en-US" w:eastAsia="zh-CN"/>
              </w:rPr>
            </w:pPr>
            <w:r>
              <w:rPr>
                <w:rFonts w:ascii="Times New Roman" w:hAnsi="Times New Roman" w:cs="Times New Roman"/>
                <w:szCs w:val="22"/>
                <w:highlight w:val="none"/>
              </w:rPr>
              <w:t>受审核部门：</w:t>
            </w:r>
            <w:r>
              <w:rPr>
                <w:rFonts w:hint="eastAsia" w:cs="Times New Roman"/>
                <w:szCs w:val="22"/>
                <w:highlight w:val="none"/>
                <w:lang w:val="en-US" w:eastAsia="zh-CN"/>
              </w:rPr>
              <w:t>质检部</w:t>
            </w:r>
            <w:r>
              <w:rPr>
                <w:rFonts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主管领导：</w:t>
            </w:r>
            <w:r>
              <w:rPr>
                <w:rFonts w:hint="eastAsia" w:cs="Times New Roman"/>
                <w:szCs w:val="22"/>
                <w:highlight w:val="none"/>
                <w:lang w:eastAsia="zh-CN"/>
              </w:rPr>
              <w:t>张宇</w:t>
            </w:r>
            <w:r>
              <w:rPr>
                <w:rFonts w:ascii="Times New Roman" w:hAnsi="Times New Roman" w:cs="Times New Roman"/>
                <w:szCs w:val="22"/>
                <w:highlight w:val="none"/>
              </w:rPr>
              <w:t xml:space="preserve">  </w:t>
            </w:r>
            <w:r>
              <w:rPr>
                <w:rFonts w:hint="eastAsia"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 xml:space="preserve"> 陪同人员：</w:t>
            </w:r>
            <w:r>
              <w:rPr>
                <w:rFonts w:hint="eastAsia" w:cs="Times New Roman"/>
                <w:szCs w:val="22"/>
                <w:highlight w:val="none"/>
                <w:lang w:eastAsia="zh-CN"/>
              </w:rPr>
              <w:t>高伯招</w:t>
            </w:r>
          </w:p>
        </w:tc>
        <w:tc>
          <w:tcPr>
            <w:tcW w:w="1585"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90" w:hRule="atLeast"/>
        </w:trPr>
        <w:tc>
          <w:tcPr>
            <w:tcW w:w="2160" w:type="dxa"/>
            <w:vMerge w:val="continue"/>
            <w:vAlign w:val="center"/>
          </w:tcPr>
          <w:p/>
        </w:tc>
        <w:tc>
          <w:tcPr>
            <w:tcW w:w="960" w:type="dxa"/>
            <w:gridSpan w:val="2"/>
            <w:vMerge w:val="continue"/>
            <w:vAlign w:val="center"/>
          </w:tcPr>
          <w:p/>
        </w:tc>
        <w:tc>
          <w:tcPr>
            <w:tcW w:w="10004" w:type="dxa"/>
            <w:gridSpan w:val="2"/>
            <w:vAlign w:val="center"/>
          </w:tcPr>
          <w:p>
            <w:pPr>
              <w:rPr>
                <w:rFonts w:hint="default" w:eastAsia="宋体"/>
                <w:sz w:val="21"/>
                <w:szCs w:val="21"/>
                <w:lang w:val="en-US" w:eastAsia="zh-CN"/>
              </w:rPr>
            </w:pPr>
            <w:r>
              <w:rPr>
                <w:rFonts w:hint="eastAsia"/>
                <w:color w:val="auto"/>
                <w:sz w:val="24"/>
                <w:szCs w:val="24"/>
              </w:rPr>
              <w:t>审核员：</w:t>
            </w:r>
            <w:r>
              <w:rPr>
                <w:rFonts w:hint="eastAsia"/>
                <w:color w:val="auto"/>
                <w:sz w:val="24"/>
                <w:szCs w:val="24"/>
                <w:lang w:val="en-US" w:eastAsia="zh-CN"/>
              </w:rPr>
              <w:t>张磊  蒋文豪</w:t>
            </w:r>
            <w:r>
              <w:rPr>
                <w:color w:val="auto"/>
                <w:sz w:val="24"/>
                <w:szCs w:val="24"/>
              </w:rPr>
              <w:t xml:space="preserve">      </w:t>
            </w:r>
            <w:r>
              <w:rPr>
                <w:rFonts w:hint="eastAsia"/>
                <w:color w:val="auto"/>
                <w:sz w:val="24"/>
                <w:szCs w:val="24"/>
                <w:lang w:val="en-US" w:eastAsia="zh-CN"/>
              </w:rPr>
              <w:t xml:space="preserve"> </w:t>
            </w:r>
            <w:r>
              <w:rPr>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审核</w:t>
            </w:r>
            <w:r>
              <w:rPr>
                <w:rFonts w:hint="eastAsia"/>
                <w:color w:val="auto"/>
                <w:sz w:val="24"/>
                <w:szCs w:val="24"/>
                <w:lang w:val="en-US" w:eastAsia="zh-CN"/>
              </w:rPr>
              <w:t>日期</w:t>
            </w:r>
            <w:r>
              <w:rPr>
                <w:rFonts w:hint="eastAsia"/>
                <w:color w:val="auto"/>
                <w:sz w:val="24"/>
                <w:szCs w:val="24"/>
              </w:rPr>
              <w:t>：</w:t>
            </w:r>
            <w:r>
              <w:rPr>
                <w:rFonts w:hint="eastAsia"/>
                <w:color w:val="auto"/>
                <w:sz w:val="24"/>
                <w:szCs w:val="24"/>
                <w:lang w:val="en-US" w:eastAsia="zh-CN"/>
              </w:rPr>
              <w:t xml:space="preserve">2022.6.10 </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16" w:hRule="atLeast"/>
        </w:trPr>
        <w:tc>
          <w:tcPr>
            <w:tcW w:w="2160" w:type="dxa"/>
            <w:vMerge w:val="continue"/>
            <w:vAlign w:val="center"/>
          </w:tcPr>
          <w:p/>
        </w:tc>
        <w:tc>
          <w:tcPr>
            <w:tcW w:w="960" w:type="dxa"/>
            <w:gridSpan w:val="2"/>
            <w:vMerge w:val="continue"/>
            <w:vAlign w:val="center"/>
          </w:tcPr>
          <w:p/>
        </w:tc>
        <w:tc>
          <w:tcPr>
            <w:tcW w:w="10004" w:type="dxa"/>
            <w:gridSpan w:val="2"/>
            <w:vAlign w:val="center"/>
          </w:tcPr>
          <w:p>
            <w:pPr>
              <w:snapToGrid w:val="0"/>
              <w:spacing w:line="280" w:lineRule="exact"/>
              <w:jc w:val="left"/>
              <w:rPr>
                <w:rFonts w:hint="eastAsia"/>
                <w:sz w:val="21"/>
                <w:szCs w:val="21"/>
                <w:lang w:val="de-DE"/>
              </w:rPr>
            </w:pPr>
            <w:r>
              <w:rPr>
                <w:rFonts w:hint="eastAsia"/>
                <w:sz w:val="21"/>
                <w:szCs w:val="21"/>
              </w:rPr>
              <w:t>审核条款：</w:t>
            </w:r>
            <w:r>
              <w:rPr>
                <w:rFonts w:hint="eastAsia"/>
                <w:sz w:val="21"/>
                <w:szCs w:val="21"/>
                <w:lang w:val="de-DE"/>
              </w:rPr>
              <w:t>QMS-2015</w:t>
            </w:r>
          </w:p>
          <w:p>
            <w:pPr>
              <w:snapToGrid w:val="0"/>
              <w:spacing w:line="280" w:lineRule="exact"/>
              <w:jc w:val="left"/>
              <w:rPr>
                <w:rFonts w:hint="eastAsia"/>
                <w:sz w:val="21"/>
                <w:szCs w:val="21"/>
                <w:lang w:val="en-US" w:eastAsia="zh-CN"/>
              </w:rPr>
            </w:pPr>
            <w:r>
              <w:rPr>
                <w:rFonts w:hint="eastAsia"/>
                <w:sz w:val="21"/>
                <w:szCs w:val="21"/>
              </w:rPr>
              <w:t>5.3岗位/职责 /权限；6.2质量目标及其实现的策划；7.1.5监视和测量资源；8.6产品和服务放行；8.7不合格输出的控制；10.2纠正措施；</w:t>
            </w:r>
          </w:p>
          <w:p>
            <w:pPr>
              <w:snapToGrid w:val="0"/>
              <w:spacing w:line="280" w:lineRule="exact"/>
              <w:jc w:val="left"/>
              <w:rPr>
                <w:rFonts w:hint="eastAsia"/>
                <w:sz w:val="21"/>
                <w:szCs w:val="21"/>
                <w:lang w:val="de-DE"/>
              </w:rPr>
            </w:pPr>
            <w:r>
              <w:rPr>
                <w:rFonts w:hint="eastAsia"/>
                <w:sz w:val="21"/>
                <w:szCs w:val="21"/>
                <w:lang w:val="de-DE"/>
              </w:rPr>
              <w:t xml:space="preserve">EMS-2015 </w:t>
            </w:r>
          </w:p>
          <w:p>
            <w:pPr>
              <w:snapToGrid w:val="0"/>
              <w:spacing w:line="280" w:lineRule="exact"/>
              <w:jc w:val="left"/>
              <w:rPr>
                <w:rFonts w:hint="eastAsia"/>
                <w:sz w:val="21"/>
                <w:szCs w:val="21"/>
              </w:rPr>
            </w:pPr>
            <w:r>
              <w:rPr>
                <w:rFonts w:hint="eastAsia"/>
                <w:sz w:val="21"/>
                <w:szCs w:val="21"/>
              </w:rPr>
              <w:t>5.3组织的角色、职责和权限、6.1.2环境因素；6.2目标及其达成的策划；8.1运行策划和控制；8.2应急准备和响应</w:t>
            </w:r>
          </w:p>
          <w:p>
            <w:pPr>
              <w:snapToGrid w:val="0"/>
              <w:spacing w:line="280" w:lineRule="exact"/>
              <w:jc w:val="left"/>
              <w:rPr>
                <w:rFonts w:hint="eastAsia"/>
                <w:sz w:val="21"/>
                <w:szCs w:val="21"/>
              </w:rPr>
            </w:pPr>
            <w:r>
              <w:rPr>
                <w:rFonts w:hint="eastAsia"/>
                <w:sz w:val="21"/>
                <w:szCs w:val="21"/>
                <w:lang w:val="de-DE"/>
              </w:rPr>
              <w:t>ISO 45001：2018</w:t>
            </w:r>
          </w:p>
          <w:p>
            <w:pPr>
              <w:snapToGrid w:val="0"/>
              <w:spacing w:line="280" w:lineRule="exact"/>
              <w:jc w:val="left"/>
              <w:rPr>
                <w:sz w:val="21"/>
                <w:szCs w:val="21"/>
              </w:rPr>
            </w:pPr>
            <w:r>
              <w:rPr>
                <w:rFonts w:hint="eastAsia"/>
                <w:sz w:val="21"/>
                <w:szCs w:val="21"/>
              </w:rPr>
              <w:t>5.3组织的角色、职责和权限；6.1.2危险源辨识和职业安全风险评价；6.2目标及其实现的策划；8.1运行策划和控制；8.2应急准备和响应；</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47"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rPr>
                <w:rFonts w:hint="eastAsia" w:asciiTheme="minorEastAsia" w:hAnsiTheme="minorEastAsia" w:eastAsiaTheme="minorEastAsia" w:cstheme="minorEastAsia"/>
                <w:kern w:val="2"/>
                <w:sz w:val="21"/>
                <w:szCs w:val="21"/>
                <w:lang w:val="en-US" w:eastAsia="zh-CN" w:bidi="ar-SA"/>
              </w:rPr>
            </w:pPr>
          </w:p>
        </w:tc>
        <w:tc>
          <w:tcPr>
            <w:tcW w:w="960" w:type="dxa"/>
            <w:gridSpan w:val="2"/>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QEO:5.3</w:t>
            </w:r>
          </w:p>
          <w:p>
            <w:pPr>
              <w:rPr>
                <w:rFonts w:hint="eastAsia" w:asciiTheme="minorEastAsia" w:hAnsiTheme="minorEastAsia" w:eastAsiaTheme="minorEastAsia" w:cstheme="minorEastAsia"/>
                <w:sz w:val="21"/>
                <w:szCs w:val="21"/>
                <w:lang w:val="en-US" w:eastAsia="zh-CN"/>
              </w:rPr>
            </w:pPr>
          </w:p>
        </w:tc>
        <w:tc>
          <w:tcPr>
            <w:tcW w:w="10004" w:type="dxa"/>
            <w:gridSpan w:val="2"/>
            <w:vAlign w:val="top"/>
          </w:tcPr>
          <w:p>
            <w:pPr>
              <w:spacing w:line="360" w:lineRule="auto"/>
              <w:rPr>
                <w:rFonts w:hint="eastAsia"/>
                <w:sz w:val="21"/>
                <w:szCs w:val="21"/>
              </w:rPr>
            </w:pPr>
            <w:r>
              <w:rPr>
                <w:rFonts w:hint="eastAsia"/>
                <w:sz w:val="21"/>
                <w:szCs w:val="21"/>
                <w:lang w:val="en-US" w:eastAsia="zh-CN"/>
              </w:rPr>
              <w:t>质检</w:t>
            </w:r>
            <w:r>
              <w:rPr>
                <w:rFonts w:hint="eastAsia"/>
                <w:sz w:val="21"/>
                <w:szCs w:val="21"/>
              </w:rPr>
              <w:t>部负责人：</w:t>
            </w:r>
            <w:r>
              <w:rPr>
                <w:rFonts w:hint="eastAsia"/>
                <w:sz w:val="21"/>
                <w:lang w:val="en-US" w:eastAsia="zh-CN"/>
              </w:rPr>
              <w:t>张宇</w:t>
            </w:r>
          </w:p>
          <w:p>
            <w:pPr>
              <w:spacing w:line="360" w:lineRule="auto"/>
              <w:rPr>
                <w:rFonts w:hint="eastAsia"/>
                <w:sz w:val="21"/>
                <w:szCs w:val="21"/>
              </w:rPr>
            </w:pPr>
            <w:r>
              <w:rPr>
                <w:rFonts w:hint="eastAsia"/>
                <w:sz w:val="21"/>
                <w:szCs w:val="21"/>
              </w:rPr>
              <w:t>有主管1人，</w:t>
            </w:r>
            <w:r>
              <w:rPr>
                <w:rFonts w:hint="eastAsia"/>
                <w:sz w:val="21"/>
                <w:szCs w:val="21"/>
                <w:lang w:val="en-US" w:eastAsia="zh-CN"/>
              </w:rPr>
              <w:t>质检</w:t>
            </w:r>
            <w:r>
              <w:rPr>
                <w:rFonts w:hint="eastAsia"/>
                <w:sz w:val="21"/>
                <w:szCs w:val="21"/>
              </w:rPr>
              <w:t>1个。</w:t>
            </w:r>
          </w:p>
          <w:p>
            <w:pPr>
              <w:spacing w:line="360" w:lineRule="auto"/>
              <w:rPr>
                <w:rFonts w:hint="eastAsia" w:eastAsia="宋体"/>
                <w:sz w:val="21"/>
                <w:szCs w:val="21"/>
                <w:lang w:eastAsia="zh-CN"/>
              </w:rPr>
            </w:pPr>
            <w:r>
              <w:rPr>
                <w:rFonts w:hint="eastAsia"/>
                <w:sz w:val="21"/>
                <w:szCs w:val="21"/>
              </w:rPr>
              <w:t>主要负责：原材料、生产过程、成品的检验；产品的放行；不合格品的处置；监视和测量资源的管理；环境因素危险源的识别与控制、公司目标方案的执行、应急准备和相应等</w:t>
            </w:r>
            <w:r>
              <w:rPr>
                <w:rFonts w:hint="eastAsia"/>
                <w:sz w:val="21"/>
                <w:szCs w:val="21"/>
                <w:lang w:eastAsia="zh-CN"/>
              </w:rPr>
              <w:t>。</w:t>
            </w:r>
          </w:p>
          <w:p>
            <w:pPr>
              <w:spacing w:line="360" w:lineRule="auto"/>
              <w:rPr>
                <w:rFonts w:hint="default" w:asciiTheme="minorEastAsia" w:hAnsiTheme="minorEastAsia" w:eastAsiaTheme="minorEastAsia" w:cstheme="minorEastAsia"/>
                <w:sz w:val="21"/>
                <w:szCs w:val="21"/>
                <w:lang w:val="en-US" w:eastAsia="zh-CN"/>
              </w:rPr>
            </w:pPr>
            <w:r>
              <w:rPr>
                <w:rFonts w:hint="eastAsia"/>
                <w:sz w:val="21"/>
                <w:szCs w:val="21"/>
              </w:rPr>
              <w:t>部门负责人对本部门的职责和权限以及工作流程</w:t>
            </w:r>
            <w:r>
              <w:rPr>
                <w:rFonts w:hint="eastAsia"/>
                <w:sz w:val="21"/>
                <w:szCs w:val="21"/>
                <w:lang w:eastAsia="zh-CN"/>
              </w:rPr>
              <w:t>、</w:t>
            </w:r>
            <w:r>
              <w:rPr>
                <w:rFonts w:hint="eastAsia"/>
                <w:sz w:val="21"/>
                <w:szCs w:val="21"/>
              </w:rPr>
              <w:t>工作要求明确。</w:t>
            </w:r>
          </w:p>
        </w:tc>
        <w:tc>
          <w:tcPr>
            <w:tcW w:w="1585" w:type="dxa"/>
            <w:gridSpan w:val="2"/>
          </w:tcPr>
          <w:p>
            <w:r>
              <w:rPr>
                <w:rFonts w:hint="eastAsia"/>
              </w:rPr>
              <w:t>Y</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47"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sz w:val="21"/>
                <w:szCs w:val="21"/>
              </w:rPr>
              <w:t>目标和方案</w:t>
            </w:r>
          </w:p>
        </w:tc>
        <w:tc>
          <w:tcPr>
            <w:tcW w:w="960" w:type="dxa"/>
            <w:gridSpan w:val="2"/>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QEO:</w:t>
            </w:r>
            <w:r>
              <w:rPr>
                <w:rFonts w:hint="eastAsia"/>
                <w:sz w:val="21"/>
                <w:szCs w:val="21"/>
              </w:rPr>
              <w:t>6.2</w:t>
            </w:r>
          </w:p>
        </w:tc>
        <w:tc>
          <w:tcPr>
            <w:tcW w:w="10004" w:type="dxa"/>
            <w:gridSpan w:val="2"/>
            <w:vAlign w:val="center"/>
          </w:tcPr>
          <w:p>
            <w:pPr>
              <w:rPr>
                <w:rFonts w:hint="eastAsia"/>
                <w:sz w:val="21"/>
                <w:szCs w:val="21"/>
              </w:rPr>
            </w:pPr>
            <w:r>
              <w:rPr>
                <w:rFonts w:hint="eastAsia"/>
                <w:sz w:val="21"/>
                <w:szCs w:val="21"/>
              </w:rPr>
              <w:t>部门环境目标：顾客验货一次通过率≥99%</w:t>
            </w:r>
            <w:r>
              <w:rPr>
                <w:rFonts w:hint="eastAsia"/>
                <w:sz w:val="21"/>
                <w:szCs w:val="21"/>
                <w:lang w:eastAsia="zh-CN"/>
              </w:rPr>
              <w:t>，</w:t>
            </w:r>
            <w:r>
              <w:rPr>
                <w:rFonts w:hint="eastAsia"/>
                <w:sz w:val="21"/>
                <w:szCs w:val="21"/>
              </w:rPr>
              <w:t>固体废弃物回收率100%，火灾、爆炸事故为0。</w:t>
            </w:r>
            <w:r>
              <w:rPr>
                <w:rFonts w:hint="eastAsia"/>
                <w:sz w:val="21"/>
                <w:szCs w:val="21"/>
                <w:lang w:val="en-US" w:eastAsia="zh-CN"/>
              </w:rPr>
              <w:t>意外</w:t>
            </w:r>
            <w:r>
              <w:rPr>
                <w:rFonts w:hint="eastAsia"/>
                <w:sz w:val="21"/>
                <w:szCs w:val="21"/>
              </w:rPr>
              <w:t>事故</w:t>
            </w:r>
            <w:r>
              <w:rPr>
                <w:rFonts w:hint="eastAsia"/>
                <w:sz w:val="21"/>
                <w:szCs w:val="21"/>
                <w:lang w:val="en-US" w:eastAsia="zh-CN"/>
              </w:rPr>
              <w:t>为</w:t>
            </w:r>
            <w:r>
              <w:rPr>
                <w:rFonts w:hint="eastAsia"/>
                <w:sz w:val="21"/>
                <w:szCs w:val="21"/>
              </w:rPr>
              <w:t>0，职业病发生率0。</w:t>
            </w:r>
          </w:p>
          <w:p>
            <w:pPr>
              <w:rPr>
                <w:rFonts w:hint="eastAsia"/>
                <w:sz w:val="21"/>
                <w:szCs w:val="21"/>
              </w:rPr>
            </w:pPr>
            <w:r>
              <w:rPr>
                <w:rFonts w:hint="eastAsia"/>
                <w:sz w:val="21"/>
                <w:szCs w:val="21"/>
              </w:rPr>
              <w:t>按照季度进行考核，提供了</w:t>
            </w:r>
            <w:r>
              <w:rPr>
                <w:rFonts w:hint="eastAsia"/>
                <w:sz w:val="21"/>
                <w:szCs w:val="21"/>
                <w:lang w:eastAsia="zh-CN"/>
              </w:rPr>
              <w:t>2021</w:t>
            </w:r>
            <w:r>
              <w:rPr>
                <w:rFonts w:hint="eastAsia"/>
                <w:sz w:val="21"/>
                <w:szCs w:val="21"/>
              </w:rPr>
              <w:t>.</w:t>
            </w:r>
            <w:r>
              <w:rPr>
                <w:rFonts w:hint="eastAsia"/>
                <w:sz w:val="21"/>
                <w:szCs w:val="21"/>
                <w:lang w:val="en-US" w:eastAsia="zh-CN"/>
              </w:rPr>
              <w:t>11</w:t>
            </w:r>
            <w:r>
              <w:rPr>
                <w:rFonts w:hint="eastAsia"/>
                <w:sz w:val="21"/>
                <w:szCs w:val="21"/>
              </w:rPr>
              <w:t>-</w:t>
            </w:r>
            <w:r>
              <w:rPr>
                <w:rFonts w:hint="eastAsia"/>
                <w:sz w:val="21"/>
                <w:szCs w:val="21"/>
                <w:lang w:eastAsia="zh-CN"/>
              </w:rPr>
              <w:t>2022.5</w:t>
            </w:r>
            <w:r>
              <w:rPr>
                <w:rFonts w:hint="eastAsia"/>
                <w:sz w:val="21"/>
                <w:szCs w:val="21"/>
              </w:rPr>
              <w:t>目标考核表：</w:t>
            </w:r>
            <w:r>
              <w:rPr>
                <w:rFonts w:hint="eastAsia"/>
                <w:sz w:val="21"/>
                <w:szCs w:val="21"/>
                <w:lang w:val="en-US" w:eastAsia="zh-CN"/>
              </w:rPr>
              <w:t>产品</w:t>
            </w:r>
            <w:r>
              <w:rPr>
                <w:rFonts w:hint="eastAsia"/>
                <w:sz w:val="21"/>
                <w:szCs w:val="21"/>
              </w:rPr>
              <w:t>检验</w:t>
            </w:r>
            <w:r>
              <w:rPr>
                <w:rFonts w:hint="eastAsia"/>
                <w:sz w:val="21"/>
                <w:szCs w:val="21"/>
                <w:lang w:val="en-US" w:eastAsia="zh-CN"/>
              </w:rPr>
              <w:t>合格</w:t>
            </w:r>
            <w:r>
              <w:rPr>
                <w:rFonts w:hint="eastAsia"/>
                <w:sz w:val="21"/>
                <w:szCs w:val="21"/>
              </w:rPr>
              <w:t>率100%；废弃物100%实现分类存放，无火灾、</w:t>
            </w:r>
            <w:r>
              <w:rPr>
                <w:rFonts w:hint="eastAsia"/>
                <w:sz w:val="21"/>
                <w:szCs w:val="21"/>
                <w:lang w:val="en-US" w:eastAsia="zh-CN"/>
              </w:rPr>
              <w:t>意外</w:t>
            </w:r>
            <w:r>
              <w:rPr>
                <w:rFonts w:hint="eastAsia"/>
                <w:sz w:val="21"/>
                <w:szCs w:val="21"/>
              </w:rPr>
              <w:t>事故，无职业病。</w:t>
            </w:r>
          </w:p>
          <w:p>
            <w:pPr>
              <w:rPr>
                <w:rFonts w:hint="eastAsia"/>
                <w:sz w:val="21"/>
                <w:szCs w:val="21"/>
              </w:rPr>
            </w:pPr>
            <w:r>
              <w:rPr>
                <w:rFonts w:hint="eastAsia"/>
                <w:sz w:val="21"/>
                <w:szCs w:val="21"/>
              </w:rPr>
              <w:t>经查显示目标均已完成。</w:t>
            </w:r>
          </w:p>
          <w:p>
            <w:pPr>
              <w:rPr>
                <w:rFonts w:hint="eastAsia"/>
                <w:sz w:val="21"/>
                <w:szCs w:val="21"/>
              </w:rPr>
            </w:pPr>
            <w:r>
              <w:rPr>
                <w:rFonts w:hint="eastAsia"/>
                <w:sz w:val="21"/>
                <w:szCs w:val="21"/>
              </w:rPr>
              <w:t>抽目标——火灾发生率为0管理方案：</w:t>
            </w:r>
          </w:p>
          <w:p>
            <w:pPr>
              <w:rPr>
                <w:rFonts w:hint="default"/>
                <w:sz w:val="21"/>
                <w:szCs w:val="21"/>
                <w:lang w:val="en-US"/>
              </w:rPr>
            </w:pPr>
            <w:r>
              <w:rPr>
                <w:rFonts w:hint="eastAsia"/>
                <w:sz w:val="21"/>
                <w:szCs w:val="21"/>
              </w:rPr>
              <w:t>1）下班时及时关闭办公设备电源，日常；2）抽查电源的关闭情况，每月。3）禁烟，日常。4）易燃材料限量采购，日常。5）配备灭火器材</w:t>
            </w:r>
          </w:p>
          <w:p>
            <w:pPr>
              <w:rPr>
                <w:rFonts w:hint="eastAsia"/>
                <w:sz w:val="21"/>
                <w:szCs w:val="21"/>
              </w:rPr>
            </w:pPr>
            <w:r>
              <w:rPr>
                <w:rFonts w:hint="eastAsia"/>
                <w:sz w:val="21"/>
                <w:szCs w:val="21"/>
              </w:rPr>
              <w:t>经查，已完成。</w:t>
            </w:r>
          </w:p>
        </w:tc>
        <w:tc>
          <w:tcPr>
            <w:tcW w:w="1585" w:type="dxa"/>
            <w:gridSpan w:val="2"/>
          </w:tcPr>
          <w:p>
            <w:r>
              <w:rPr>
                <w:rFonts w:hint="eastAsia"/>
              </w:rPr>
              <w:t>Y</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47" w:hRule="atLeast"/>
        </w:trPr>
        <w:tc>
          <w:tcPr>
            <w:tcW w:w="21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环境因素识别，危险源辨识、风险评估及控制措施</w:t>
            </w:r>
          </w:p>
        </w:tc>
        <w:tc>
          <w:tcPr>
            <w:tcW w:w="960" w:type="dxa"/>
            <w:gridSpan w:val="2"/>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EO:6.1.2/6.1.4</w:t>
            </w:r>
          </w:p>
        </w:tc>
        <w:tc>
          <w:tcPr>
            <w:tcW w:w="10004" w:type="dxa"/>
            <w:gridSpan w:val="2"/>
            <w:vAlign w:val="top"/>
          </w:tcPr>
          <w:p>
            <w:pPr>
              <w:spacing w:line="360" w:lineRule="auto"/>
              <w:rPr>
                <w:rFonts w:hint="eastAsia"/>
                <w:sz w:val="21"/>
                <w:szCs w:val="21"/>
              </w:rPr>
            </w:pPr>
            <w:r>
              <w:rPr>
                <w:rFonts w:hint="eastAsia"/>
                <w:sz w:val="21"/>
                <w:szCs w:val="21"/>
              </w:rPr>
              <w:t>提供《环境因素评价表》，其中涉及</w:t>
            </w:r>
            <w:r>
              <w:rPr>
                <w:rFonts w:hint="eastAsia"/>
                <w:sz w:val="21"/>
                <w:szCs w:val="21"/>
                <w:lang w:val="en-US" w:eastAsia="zh-CN"/>
              </w:rPr>
              <w:t>质检</w:t>
            </w:r>
            <w:r>
              <w:rPr>
                <w:rFonts w:hint="eastAsia"/>
                <w:sz w:val="21"/>
                <w:szCs w:val="21"/>
              </w:rPr>
              <w:t>部包括固废废弃、</w:t>
            </w:r>
            <w:r>
              <w:rPr>
                <w:rFonts w:hint="eastAsia"/>
                <w:sz w:val="21"/>
                <w:szCs w:val="21"/>
                <w:lang w:val="en-US" w:eastAsia="zh-CN"/>
              </w:rPr>
              <w:t>试样</w:t>
            </w:r>
            <w:r>
              <w:rPr>
                <w:rFonts w:hint="eastAsia"/>
                <w:sz w:val="21"/>
                <w:szCs w:val="21"/>
              </w:rPr>
              <w:t>的废弃、意外火灾、原材料损耗、资源的消耗等。</w:t>
            </w:r>
          </w:p>
          <w:p>
            <w:pPr>
              <w:spacing w:line="360" w:lineRule="auto"/>
              <w:rPr>
                <w:rFonts w:hint="eastAsia"/>
                <w:sz w:val="21"/>
                <w:szCs w:val="21"/>
              </w:rPr>
            </w:pPr>
            <w:r>
              <w:rPr>
                <w:rFonts w:hint="eastAsia"/>
                <w:sz w:val="21"/>
                <w:szCs w:val="21"/>
              </w:rPr>
              <w:t>可以提供《重要环境因素清单》，其中涉及</w:t>
            </w:r>
            <w:r>
              <w:rPr>
                <w:rFonts w:hint="eastAsia"/>
                <w:sz w:val="21"/>
                <w:szCs w:val="21"/>
                <w:lang w:val="en-US" w:eastAsia="zh-CN"/>
              </w:rPr>
              <w:t>质检</w:t>
            </w:r>
            <w:r>
              <w:rPr>
                <w:rFonts w:hint="eastAsia"/>
                <w:sz w:val="21"/>
                <w:szCs w:val="21"/>
              </w:rPr>
              <w:t>部的有：火灾发生、固废排放。评价基本合理。</w:t>
            </w:r>
          </w:p>
          <w:p>
            <w:pPr>
              <w:spacing w:line="360" w:lineRule="auto"/>
              <w:rPr>
                <w:rFonts w:hint="eastAsia"/>
                <w:sz w:val="21"/>
                <w:szCs w:val="21"/>
              </w:rPr>
            </w:pPr>
            <w:r>
              <w:rPr>
                <w:rFonts w:hint="eastAsia"/>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r>
              <w:rPr>
                <w:rFonts w:hint="eastAsia"/>
                <w:sz w:val="21"/>
                <w:szCs w:val="21"/>
                <w:lang w:val="en-US" w:eastAsia="zh-CN"/>
              </w:rPr>
              <w:t>试验过程的粉尘吸入</w:t>
            </w:r>
            <w:r>
              <w:rPr>
                <w:rFonts w:hint="eastAsia"/>
                <w:sz w:val="21"/>
                <w:szCs w:val="21"/>
              </w:rPr>
              <w:t>。</w:t>
            </w:r>
          </w:p>
          <w:p>
            <w:pPr>
              <w:pStyle w:val="2"/>
              <w:spacing w:line="360" w:lineRule="auto"/>
              <w:jc w:val="left"/>
              <w:rPr>
                <w:rFonts w:hint="eastAsia" w:asciiTheme="minorEastAsia" w:hAnsiTheme="minorEastAsia" w:eastAsiaTheme="minorEastAsia" w:cstheme="minorEastAsia"/>
                <w:bCs/>
                <w:spacing w:val="10"/>
                <w:kern w:val="2"/>
                <w:sz w:val="21"/>
                <w:szCs w:val="21"/>
                <w:highlight w:val="none"/>
                <w:lang w:val="en-US" w:eastAsia="zh-CN" w:bidi="ar-SA"/>
              </w:rPr>
            </w:pPr>
            <w:r>
              <w:rPr>
                <w:rFonts w:hint="eastAsia"/>
                <w:sz w:val="21"/>
                <w:szCs w:val="21"/>
              </w:rPr>
              <w:t>用LEC法对识别的危险源进行评价，本部门不可接受风险火灾、触电</w:t>
            </w:r>
            <w:r>
              <w:rPr>
                <w:rFonts w:hint="eastAsia"/>
                <w:sz w:val="21"/>
                <w:szCs w:val="21"/>
                <w:lang w:eastAsia="zh-CN"/>
              </w:rPr>
              <w:t>、</w:t>
            </w:r>
            <w:r>
              <w:rPr>
                <w:rFonts w:hint="eastAsia"/>
                <w:sz w:val="21"/>
                <w:szCs w:val="21"/>
                <w:lang w:val="en-US" w:eastAsia="zh-CN"/>
              </w:rPr>
              <w:t>机械伤害</w:t>
            </w:r>
            <w:r>
              <w:rPr>
                <w:rFonts w:hint="eastAsia"/>
                <w:sz w:val="21"/>
                <w:szCs w:val="21"/>
              </w:rPr>
              <w:t>，评价基本准确。</w:t>
            </w:r>
          </w:p>
        </w:tc>
        <w:tc>
          <w:tcPr>
            <w:tcW w:w="1585"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958" w:hRule="atLeast"/>
        </w:trPr>
        <w:tc>
          <w:tcPr>
            <w:tcW w:w="2160" w:type="dxa"/>
            <w:vAlign w:val="top"/>
          </w:tcPr>
          <w:p>
            <w:pPr>
              <w:pStyle w:val="2"/>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环境和职业健康安全运行控制</w:t>
            </w:r>
          </w:p>
        </w:tc>
        <w:tc>
          <w:tcPr>
            <w:tcW w:w="960" w:type="dxa"/>
            <w:gridSpan w:val="2"/>
            <w:vAlign w:val="top"/>
          </w:tcPr>
          <w:p>
            <w:pPr>
              <w:rPr>
                <w:rFonts w:ascii="宋体" w:hAnsi="宋体" w:cs="新宋体"/>
                <w:szCs w:val="21"/>
              </w:rPr>
            </w:pPr>
            <w:r>
              <w:rPr>
                <w:rFonts w:hint="eastAsia" w:ascii="宋体" w:hAnsi="宋体" w:cs="新宋体"/>
                <w:szCs w:val="21"/>
              </w:rPr>
              <w:t>E8.1 </w:t>
            </w:r>
          </w:p>
          <w:p>
            <w:pPr>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宋体" w:hAnsi="宋体" w:cs="新宋体"/>
                <w:szCs w:val="21"/>
              </w:rPr>
              <w:t>S8.1</w:t>
            </w:r>
          </w:p>
        </w:tc>
        <w:tc>
          <w:tcPr>
            <w:tcW w:w="10004" w:type="dxa"/>
            <w:gridSpan w:val="2"/>
            <w:vAlign w:val="top"/>
          </w:tcPr>
          <w:p>
            <w:pPr>
              <w:spacing w:line="360" w:lineRule="auto"/>
              <w:rPr>
                <w:rFonts w:hint="eastAsia"/>
                <w:sz w:val="21"/>
                <w:szCs w:val="21"/>
              </w:rPr>
            </w:pPr>
            <w:r>
              <w:rPr>
                <w:rFonts w:hint="eastAsia"/>
                <w:sz w:val="21"/>
                <w:szCs w:val="21"/>
              </w:rPr>
              <w:t>本部门应执行的运行控制文件包括：环境、职业健康安全运行控制程序、</w:t>
            </w:r>
            <w:r>
              <w:rPr>
                <w:rFonts w:hint="eastAsia"/>
                <w:sz w:val="21"/>
                <w:szCs w:val="21"/>
                <w:lang w:val="en-US" w:eastAsia="zh-CN"/>
              </w:rPr>
              <w:t>实验室管理制度、检验规程</w:t>
            </w:r>
            <w:r>
              <w:rPr>
                <w:rFonts w:hint="eastAsia"/>
                <w:sz w:val="21"/>
                <w:szCs w:val="21"/>
              </w:rPr>
              <w:t>等。</w:t>
            </w:r>
          </w:p>
          <w:p>
            <w:pPr>
              <w:spacing w:line="360" w:lineRule="auto"/>
              <w:rPr>
                <w:rFonts w:hint="eastAsia"/>
                <w:sz w:val="21"/>
                <w:szCs w:val="21"/>
              </w:rPr>
            </w:pPr>
            <w:r>
              <w:rPr>
                <w:rFonts w:hint="eastAsia"/>
                <w:sz w:val="21"/>
                <w:szCs w:val="21"/>
              </w:rPr>
              <w:t>查运行控制情况：</w:t>
            </w:r>
          </w:p>
          <w:p>
            <w:pPr>
              <w:spacing w:line="360" w:lineRule="auto"/>
              <w:rPr>
                <w:rFonts w:hint="eastAsia"/>
                <w:sz w:val="21"/>
                <w:szCs w:val="21"/>
              </w:rPr>
            </w:pPr>
            <w:r>
              <w:rPr>
                <w:rFonts w:hint="eastAsia"/>
                <w:sz w:val="21"/>
                <w:szCs w:val="21"/>
              </w:rPr>
              <w:t>办公过程注意节约用电，</w:t>
            </w:r>
            <w:r>
              <w:rPr>
                <w:rFonts w:hint="eastAsia"/>
                <w:sz w:val="21"/>
                <w:szCs w:val="21"/>
                <w:lang w:val="en-US" w:eastAsia="zh-CN"/>
              </w:rPr>
              <w:t>质检</w:t>
            </w:r>
            <w:r>
              <w:rPr>
                <w:rFonts w:hint="eastAsia"/>
                <w:sz w:val="21"/>
                <w:szCs w:val="21"/>
              </w:rPr>
              <w:t>部做到人走灯灭，电脑长时间不用时关机，下班前要关闭电源；</w:t>
            </w:r>
          </w:p>
          <w:p>
            <w:pPr>
              <w:spacing w:line="360" w:lineRule="auto"/>
              <w:rPr>
                <w:rFonts w:hint="eastAsia"/>
                <w:sz w:val="21"/>
                <w:szCs w:val="21"/>
              </w:rPr>
            </w:pPr>
            <w:r>
              <w:rPr>
                <w:rFonts w:hint="eastAsia"/>
                <w:sz w:val="21"/>
                <w:szCs w:val="21"/>
              </w:rPr>
              <w:t>办公过程产生的固废按</w:t>
            </w:r>
            <w:r>
              <w:rPr>
                <w:rFonts w:hint="eastAsia"/>
                <w:sz w:val="21"/>
                <w:szCs w:val="21"/>
                <w:lang w:eastAsia="zh-CN"/>
              </w:rPr>
              <w:t>行政部</w:t>
            </w:r>
            <w:r>
              <w:rPr>
                <w:rFonts w:hint="eastAsia"/>
                <w:sz w:val="21"/>
                <w:szCs w:val="21"/>
              </w:rPr>
              <w:t>要求放到指定地点，现场查看无混放现象；办公用品按要求由</w:t>
            </w:r>
            <w:r>
              <w:rPr>
                <w:rFonts w:hint="eastAsia"/>
                <w:sz w:val="21"/>
                <w:szCs w:val="21"/>
                <w:lang w:eastAsia="zh-CN"/>
              </w:rPr>
              <w:t>行政部</w:t>
            </w:r>
            <w:r>
              <w:rPr>
                <w:rFonts w:hint="eastAsia"/>
                <w:sz w:val="21"/>
                <w:szCs w:val="21"/>
              </w:rPr>
              <w:t xml:space="preserve">负责发放，作好记录； </w:t>
            </w:r>
          </w:p>
          <w:p>
            <w:pPr>
              <w:spacing w:line="360" w:lineRule="auto"/>
              <w:rPr>
                <w:rFonts w:hint="eastAsia"/>
                <w:sz w:val="21"/>
                <w:szCs w:val="21"/>
              </w:rPr>
            </w:pPr>
            <w:r>
              <w:rPr>
                <w:rFonts w:hint="eastAsia"/>
                <w:sz w:val="21"/>
                <w:szCs w:val="21"/>
              </w:rPr>
              <w:t>工作时间平均每天不超过8小时，公司为员工办理了意外伤害等保险；</w:t>
            </w:r>
          </w:p>
          <w:p>
            <w:pPr>
              <w:spacing w:line="360" w:lineRule="auto"/>
              <w:rPr>
                <w:sz w:val="21"/>
                <w:szCs w:val="21"/>
              </w:rPr>
            </w:pPr>
            <w:r>
              <w:rPr>
                <w:rFonts w:hint="eastAsia"/>
                <w:sz w:val="21"/>
                <w:szCs w:val="21"/>
              </w:rPr>
              <w:t>外出办公要求遵守道路交通安全法，不违章行驶，驾驶证和车辆定期年审，确保出行安全；</w:t>
            </w:r>
          </w:p>
          <w:p>
            <w:pPr>
              <w:spacing w:line="360" w:lineRule="auto"/>
              <w:rPr>
                <w:rFonts w:hint="eastAsia"/>
                <w:sz w:val="21"/>
                <w:szCs w:val="21"/>
                <w:lang w:val="en-US" w:eastAsia="zh-CN"/>
              </w:rPr>
            </w:pPr>
            <w:r>
              <w:rPr>
                <w:rFonts w:hint="eastAsia"/>
                <w:sz w:val="21"/>
                <w:szCs w:val="21"/>
                <w:lang w:val="en-US" w:eastAsia="zh-CN"/>
              </w:rPr>
              <w:t>试验的废物分类存放，统一回收。</w:t>
            </w:r>
          </w:p>
          <w:p>
            <w:pPr>
              <w:spacing w:line="360" w:lineRule="auto"/>
              <w:rPr>
                <w:rFonts w:hint="default"/>
                <w:sz w:val="21"/>
                <w:szCs w:val="21"/>
                <w:lang w:val="en-US" w:eastAsia="zh-CN"/>
              </w:rPr>
            </w:pPr>
            <w:r>
              <w:rPr>
                <w:rFonts w:hint="eastAsia"/>
                <w:sz w:val="21"/>
                <w:szCs w:val="21"/>
                <w:lang w:val="en-US" w:eastAsia="zh-CN"/>
              </w:rPr>
              <w:t>试验过程佩戴好手套、面罩等防护用品。</w:t>
            </w:r>
          </w:p>
          <w:p>
            <w:pPr>
              <w:spacing w:line="360" w:lineRule="auto"/>
              <w:rPr>
                <w:rFonts w:hint="eastAsia"/>
                <w:lang w:val="en-US" w:eastAsia="zh-CN"/>
              </w:rPr>
            </w:pPr>
            <w:r>
              <w:rPr>
                <w:rFonts w:hint="eastAsia"/>
                <w:sz w:val="21"/>
                <w:szCs w:val="21"/>
              </w:rPr>
              <w:t>现场查看</w:t>
            </w:r>
            <w:r>
              <w:rPr>
                <w:rFonts w:hint="eastAsia"/>
                <w:sz w:val="21"/>
                <w:szCs w:val="21"/>
                <w:lang w:eastAsia="zh-CN"/>
              </w:rPr>
              <w:t>行政部</w:t>
            </w:r>
            <w:r>
              <w:rPr>
                <w:rFonts w:hint="eastAsia"/>
                <w:sz w:val="21"/>
                <w:szCs w:val="21"/>
              </w:rPr>
              <w:t>设备、电器状态良好，配置了灭火器，无火灾、触电隐患，废弃物无混放现象。</w:t>
            </w:r>
          </w:p>
        </w:tc>
        <w:tc>
          <w:tcPr>
            <w:tcW w:w="1585" w:type="dxa"/>
            <w:gridSpan w:val="2"/>
          </w:tcPr>
          <w:p/>
          <w:p>
            <w:pPr>
              <w:pStyle w:val="7"/>
            </w:pPr>
          </w:p>
          <w:p>
            <w:pPr>
              <w:pStyle w:val="8"/>
              <w:rPr>
                <w:rFonts w:hint="eastAsia" w:eastAsia="黑体"/>
                <w:lang w:val="en-US" w:eastAsia="zh-CN"/>
              </w:rPr>
            </w:pPr>
            <w:r>
              <w:rPr>
                <w:rFonts w:hint="eastAsia"/>
                <w:lang w:val="en-US" w:eastAsia="zh-CN"/>
              </w:rPr>
              <w:t>Y</w:t>
            </w:r>
          </w:p>
          <w:p>
            <w:pPr>
              <w:pStyle w:val="10"/>
            </w:pPr>
          </w:p>
          <w:p/>
          <w:p>
            <w:pPr>
              <w:pStyle w:val="7"/>
            </w:pPr>
          </w:p>
          <w:p>
            <w:pPr>
              <w:pStyle w:val="8"/>
            </w:pPr>
          </w:p>
          <w:p>
            <w:pPr>
              <w:pStyle w:val="10"/>
            </w:pPr>
          </w:p>
          <w:p/>
          <w:p>
            <w:pPr>
              <w:pStyle w:val="7"/>
            </w:pPr>
          </w:p>
          <w:p>
            <w:pPr>
              <w:pStyle w:val="8"/>
            </w:pPr>
          </w:p>
          <w:p>
            <w:pPr>
              <w:pStyle w:val="10"/>
            </w:pPr>
          </w:p>
          <w:p/>
          <w:p>
            <w:pPr>
              <w:pStyle w:val="7"/>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547" w:hRule="atLeast"/>
        </w:trPr>
        <w:tc>
          <w:tcPr>
            <w:tcW w:w="216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应急准备和响应</w:t>
            </w:r>
          </w:p>
        </w:tc>
        <w:tc>
          <w:tcPr>
            <w:tcW w:w="960" w:type="dxa"/>
            <w:gridSpan w:val="2"/>
            <w:vAlign w:val="top"/>
          </w:tcPr>
          <w:p>
            <w:pPr>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EO8.2</w:t>
            </w:r>
          </w:p>
        </w:tc>
        <w:tc>
          <w:tcPr>
            <w:tcW w:w="10004" w:type="dxa"/>
            <w:gridSpan w:val="2"/>
            <w:vAlign w:val="top"/>
          </w:tcPr>
          <w:p>
            <w:pPr>
              <w:spacing w:line="360" w:lineRule="auto"/>
              <w:ind w:firstLine="420" w:firstLineChars="200"/>
              <w:rPr>
                <w:rFonts w:hint="eastAsia" w:ascii="宋体" w:hAnsi="宋体" w:eastAsia="宋体" w:cs="Times New Roman"/>
                <w:color w:val="auto"/>
                <w:szCs w:val="21"/>
              </w:rPr>
            </w:pPr>
            <w:r>
              <w:rPr>
                <w:rFonts w:hint="eastAsia" w:ascii="宋体" w:hAnsi="宋体"/>
                <w:color w:val="auto"/>
                <w:szCs w:val="21"/>
              </w:rPr>
              <w:t>提</w:t>
            </w:r>
            <w:r>
              <w:rPr>
                <w:rFonts w:hint="eastAsia" w:ascii="宋体" w:hAnsi="宋体" w:eastAsia="宋体" w:cs="Times New Roman"/>
                <w:color w:val="auto"/>
                <w:szCs w:val="21"/>
              </w:rPr>
              <w:t>供了《应急准备和响应控制程序》、《消防安全应急预案》，其中包括目的、适用范围、职责、应急领导小组成员职责、程序、现场应急措施等，相关内容基本充分。</w:t>
            </w:r>
          </w:p>
          <w:p>
            <w:pPr>
              <w:spacing w:line="360" w:lineRule="auto"/>
              <w:ind w:firstLine="420" w:firstLineChars="200"/>
              <w:rPr>
                <w:rFonts w:hint="eastAsia" w:ascii="宋体" w:hAnsi="宋体" w:eastAsia="宋体" w:cs="Times New Roman"/>
                <w:color w:val="auto"/>
                <w:szCs w:val="21"/>
              </w:rPr>
            </w:pPr>
            <w:r>
              <w:rPr>
                <w:rFonts w:hint="eastAsia" w:ascii="Times New Roman" w:hAnsi="Times New Roman" w:eastAsia="宋体" w:cs="Times New Roman"/>
                <w:color w:val="auto"/>
                <w:szCs w:val="22"/>
              </w:rPr>
              <w:t>查消防灭火演练，</w:t>
            </w:r>
            <w:r>
              <w:rPr>
                <w:rFonts w:hint="eastAsia" w:cs="Times New Roman"/>
                <w:color w:val="auto"/>
                <w:szCs w:val="22"/>
                <w:lang w:val="en-US" w:eastAsia="zh-CN"/>
              </w:rPr>
              <w:t>质检部参加了火灾事故</w:t>
            </w:r>
            <w:r>
              <w:rPr>
                <w:rFonts w:hint="eastAsia" w:ascii="Times New Roman" w:hAnsi="Times New Roman" w:eastAsia="宋体" w:cs="Times New Roman"/>
                <w:color w:val="auto"/>
                <w:szCs w:val="22"/>
              </w:rPr>
              <w:t>演练</w:t>
            </w:r>
            <w:r>
              <w:rPr>
                <w:rFonts w:hint="eastAsia" w:cs="Times New Roman"/>
                <w:color w:val="auto"/>
                <w:szCs w:val="22"/>
                <w:lang w:eastAsia="zh-CN"/>
              </w:rPr>
              <w:t>，</w:t>
            </w:r>
            <w:r>
              <w:rPr>
                <w:rFonts w:hint="eastAsia" w:ascii="Times New Roman" w:hAnsi="Times New Roman" w:eastAsia="宋体" w:cs="Times New Roman"/>
                <w:color w:val="auto"/>
                <w:szCs w:val="22"/>
              </w:rPr>
              <w:t>时间202</w:t>
            </w:r>
            <w:r>
              <w:rPr>
                <w:rFonts w:hint="eastAsia" w:cs="Times New Roman"/>
                <w:color w:val="auto"/>
                <w:szCs w:val="22"/>
                <w:lang w:val="en-US" w:eastAsia="zh-CN"/>
              </w:rPr>
              <w:t>1</w:t>
            </w:r>
            <w:r>
              <w:rPr>
                <w:rFonts w:hint="eastAsia" w:ascii="Times New Roman" w:hAnsi="Times New Roman" w:eastAsia="宋体" w:cs="Times New Roman"/>
                <w:color w:val="auto"/>
                <w:szCs w:val="22"/>
              </w:rPr>
              <w:t>年</w:t>
            </w:r>
            <w:r>
              <w:rPr>
                <w:rFonts w:hint="eastAsia" w:cs="Times New Roman"/>
                <w:color w:val="auto"/>
                <w:szCs w:val="22"/>
                <w:lang w:val="en-US" w:eastAsia="zh-CN"/>
              </w:rPr>
              <w:t>12</w:t>
            </w:r>
            <w:r>
              <w:rPr>
                <w:rFonts w:hint="eastAsia" w:ascii="Times New Roman" w:hAnsi="Times New Roman" w:eastAsia="宋体" w:cs="Times New Roman"/>
                <w:color w:val="auto"/>
                <w:szCs w:val="22"/>
              </w:rPr>
              <w:t>月</w:t>
            </w:r>
            <w:r>
              <w:rPr>
                <w:rFonts w:hint="eastAsia" w:cs="Times New Roman"/>
                <w:color w:val="auto"/>
                <w:szCs w:val="22"/>
                <w:lang w:val="en-US" w:eastAsia="zh-CN"/>
              </w:rPr>
              <w:t>20</w:t>
            </w:r>
            <w:r>
              <w:rPr>
                <w:rFonts w:hint="eastAsia" w:ascii="Times New Roman" w:hAnsi="Times New Roman" w:eastAsia="宋体" w:cs="Times New Roman"/>
                <w:color w:val="auto"/>
                <w:szCs w:val="22"/>
              </w:rPr>
              <w:t>日下午</w:t>
            </w:r>
            <w:r>
              <w:rPr>
                <w:rFonts w:hint="eastAsia" w:cs="Times New Roman"/>
                <w:color w:val="auto"/>
                <w:szCs w:val="22"/>
                <w:lang w:val="en-US" w:eastAsia="zh-CN"/>
              </w:rPr>
              <w:t>14：00</w:t>
            </w:r>
            <w:r>
              <w:rPr>
                <w:rFonts w:hint="eastAsia" w:ascii="Times New Roman" w:hAnsi="Times New Roman" w:eastAsia="宋体" w:cs="Times New Roman"/>
                <w:color w:val="auto"/>
                <w:szCs w:val="22"/>
              </w:rPr>
              <w:t>，地点</w:t>
            </w:r>
            <w:r>
              <w:rPr>
                <w:rFonts w:hint="eastAsia" w:ascii="Times New Roman" w:hAnsi="Times New Roman" w:eastAsia="宋体" w:cs="Times New Roman"/>
                <w:color w:val="auto"/>
                <w:szCs w:val="22"/>
                <w:lang w:val="en-US" w:eastAsia="zh-CN"/>
              </w:rPr>
              <w:t>在</w:t>
            </w:r>
            <w:r>
              <w:rPr>
                <w:rFonts w:hint="eastAsia" w:cs="Times New Roman"/>
                <w:color w:val="auto"/>
                <w:szCs w:val="22"/>
                <w:lang w:val="en-US" w:eastAsia="zh-CN"/>
              </w:rPr>
              <w:t>厂区内</w:t>
            </w:r>
            <w:r>
              <w:rPr>
                <w:rFonts w:hint="eastAsia" w:ascii="Times New Roman" w:hAnsi="Times New Roman" w:eastAsia="宋体" w:cs="Times New Roman"/>
                <w:color w:val="auto"/>
                <w:szCs w:val="22"/>
              </w:rPr>
              <w:t>，对演练过程进行了描述，并对预案的有效性进</w:t>
            </w:r>
            <w:r>
              <w:rPr>
                <w:rFonts w:hint="eastAsia"/>
                <w:color w:val="auto"/>
              </w:rPr>
              <w:t>行了评价。目前未发生火灾、人身伤害等事故。</w:t>
            </w:r>
            <w:r>
              <w:rPr>
                <w:rFonts w:hint="eastAsia" w:ascii="宋体" w:hAnsi="宋体" w:eastAsia="宋体" w:cs="Times New Roman"/>
                <w:color w:val="auto"/>
                <w:szCs w:val="21"/>
              </w:rPr>
              <w:t>现场查看</w:t>
            </w:r>
            <w:r>
              <w:rPr>
                <w:rFonts w:hint="eastAsia" w:ascii="宋体" w:hAnsi="宋体" w:eastAsia="宋体" w:cs="Times New Roman"/>
                <w:color w:val="auto"/>
                <w:szCs w:val="21"/>
                <w:lang w:val="en-US" w:eastAsia="zh-CN"/>
              </w:rPr>
              <w:t>办公区</w:t>
            </w:r>
            <w:r>
              <w:rPr>
                <w:rFonts w:hint="eastAsia" w:ascii="宋体" w:hAnsi="宋体" w:eastAsia="宋体" w:cs="Times New Roman"/>
                <w:color w:val="auto"/>
                <w:szCs w:val="21"/>
              </w:rPr>
              <w:t>有消防栓和灭火器若干个，状态良好。</w:t>
            </w:r>
          </w:p>
          <w:p>
            <w:pPr>
              <w:pStyle w:val="2"/>
              <w:rPr>
                <w:rFonts w:hint="eastAsia" w:ascii="Times New Roman" w:hAnsi="Times New Roman" w:eastAsia="宋体" w:cs="Times New Roman"/>
                <w:bCs w:val="0"/>
                <w:color w:val="auto"/>
                <w:spacing w:val="0"/>
                <w:kern w:val="2"/>
                <w:sz w:val="21"/>
                <w:szCs w:val="22"/>
                <w:lang w:val="en-US" w:eastAsia="zh-CN" w:bidi="ar-SA"/>
              </w:rPr>
            </w:pPr>
            <w:r>
              <w:rPr>
                <w:rFonts w:hint="eastAsia" w:ascii="宋体" w:hAnsi="宋体" w:eastAsia="宋体" w:cs="Times New Roman"/>
                <w:color w:val="auto"/>
                <w:szCs w:val="21"/>
              </w:rPr>
              <w:t>自体系运行以来未发生应急情况。</w:t>
            </w:r>
          </w:p>
        </w:tc>
        <w:tc>
          <w:tcPr>
            <w:tcW w:w="1585"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gridSpan w:val="2"/>
            <w:vAlign w:val="center"/>
          </w:tcPr>
          <w:p>
            <w:pPr>
              <w:rPr>
                <w:rFonts w:hint="eastAsia" w:ascii="宋体" w:hAnsi="宋体" w:eastAsia="宋体" w:cs="宋体"/>
                <w:color w:val="auto"/>
                <w:kern w:val="2"/>
                <w:sz w:val="21"/>
                <w:szCs w:val="21"/>
                <w:lang w:val="en-US" w:eastAsia="zh-CN" w:bidi="ar-SA"/>
              </w:rPr>
            </w:pPr>
            <w:r>
              <w:rPr>
                <w:rFonts w:hint="eastAsia" w:ascii="楷体" w:hAnsi="楷体" w:eastAsia="楷体"/>
                <w:sz w:val="24"/>
                <w:szCs w:val="24"/>
                <w:lang w:val="en-US" w:eastAsia="zh-CN"/>
              </w:rPr>
              <w:t>监视和测量资源</w:t>
            </w:r>
          </w:p>
        </w:tc>
        <w:tc>
          <w:tcPr>
            <w:tcW w:w="965" w:type="dxa"/>
            <w:gridSpan w:val="2"/>
            <w:vAlign w:val="top"/>
          </w:tcPr>
          <w:p>
            <w:pPr>
              <w:spacing w:line="360" w:lineRule="auto"/>
              <w:rPr>
                <w:rFonts w:hint="eastAsia"/>
              </w:rPr>
            </w:pPr>
          </w:p>
          <w:p>
            <w:pPr>
              <w:spacing w:line="360" w:lineRule="auto"/>
              <w:rPr>
                <w:rFonts w:hint="eastAsia"/>
              </w:rPr>
            </w:pPr>
          </w:p>
          <w:p>
            <w:pPr>
              <w:pStyle w:val="3"/>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rPr>
                <w:rFonts w:hint="default"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rPr>
              <w:t>Q</w:t>
            </w:r>
            <w:r>
              <w:rPr>
                <w:rFonts w:hint="eastAsia" w:ascii="楷体" w:hAnsi="楷体" w:eastAsia="楷体" w:cs="宋体"/>
                <w:color w:val="000000"/>
                <w:kern w:val="0"/>
                <w:sz w:val="24"/>
                <w:szCs w:val="24"/>
                <w:lang w:val="en-US" w:eastAsia="zh-CN"/>
              </w:rPr>
              <w:t>7.1.5</w:t>
            </w:r>
          </w:p>
          <w:p>
            <w:pPr>
              <w:pStyle w:val="3"/>
              <w:ind w:right="48" w:rightChars="0"/>
              <w:rPr>
                <w:rFonts w:hint="eastAsia" w:ascii="宋体" w:hAnsi="宋体" w:eastAsia="宋体" w:cs="宋体"/>
                <w:color w:val="auto"/>
                <w:kern w:val="2"/>
                <w:sz w:val="21"/>
                <w:szCs w:val="21"/>
                <w:lang w:val="en-US" w:eastAsia="zh-CN" w:bidi="ar-SA"/>
              </w:rPr>
            </w:pPr>
          </w:p>
        </w:tc>
        <w:tc>
          <w:tcPr>
            <w:tcW w:w="10927" w:type="dxa"/>
            <w:gridSpan w:val="2"/>
            <w:vAlign w:val="top"/>
          </w:tcPr>
          <w:p>
            <w:pPr>
              <w:spacing w:line="240" w:lineRule="auto"/>
              <w:rPr>
                <w:rFonts w:hint="eastAsia" w:ascii="楷体" w:hAnsi="楷体" w:eastAsia="楷体" w:cs="宋体"/>
                <w:bCs/>
                <w:sz w:val="24"/>
                <w:szCs w:val="24"/>
              </w:rPr>
            </w:pPr>
            <w:r>
              <w:rPr>
                <w:rFonts w:hint="eastAsia" w:ascii="宋体" w:hAnsi="宋体" w:eastAsia="宋体" w:cs="宋体"/>
                <w:sz w:val="21"/>
                <w:szCs w:val="21"/>
                <w:lang w:eastAsia="zh-CN"/>
              </w:rPr>
              <w:t>仪器设备能够满足所从事的校准/检测/检定工作范围内对资源的要求</w:t>
            </w:r>
            <w:r>
              <w:rPr>
                <w:rFonts w:hint="eastAsia" w:ascii="宋体" w:hAnsi="宋体" w:cs="宋体"/>
                <w:sz w:val="21"/>
                <w:szCs w:val="21"/>
                <w:lang w:eastAsia="zh-CN"/>
              </w:rPr>
              <w:t>。</w:t>
            </w:r>
          </w:p>
          <w:p>
            <w:pPr>
              <w:spacing w:line="240" w:lineRule="auto"/>
              <w:rPr>
                <w:rFonts w:hint="default"/>
                <w:b/>
                <w:bCs/>
                <w:color w:val="0000FF"/>
                <w:lang w:val="en-US"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3869055</wp:posOffset>
                  </wp:positionH>
                  <wp:positionV relativeFrom="paragraph">
                    <wp:posOffset>1006475</wp:posOffset>
                  </wp:positionV>
                  <wp:extent cx="2856230" cy="1994535"/>
                  <wp:effectExtent l="0" t="0" r="12065" b="1270"/>
                  <wp:wrapNone/>
                  <wp:docPr id="9" name="图片 9" descr="d88a3b0add72bd52ba0e6fc1d75a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88a3b0add72bd52ba0e6fc1d75ad7a"/>
                          <pic:cNvPicPr>
                            <a:picLocks noChangeAspect="1"/>
                          </pic:cNvPicPr>
                        </pic:nvPicPr>
                        <pic:blipFill>
                          <a:blip r:embed="rId6"/>
                          <a:srcRect l="8859" t="5437" r="6605" b="15871"/>
                          <a:stretch>
                            <a:fillRect/>
                          </a:stretch>
                        </pic:blipFill>
                        <pic:spPr>
                          <a:xfrm rot="5400000">
                            <a:off x="0" y="0"/>
                            <a:ext cx="2856230" cy="1994535"/>
                          </a:xfrm>
                          <a:prstGeom prst="rect">
                            <a:avLst/>
                          </a:prstGeom>
                        </pic:spPr>
                      </pic:pic>
                    </a:graphicData>
                  </a:graphic>
                </wp:anchor>
              </w:drawing>
            </w:r>
            <w:r>
              <w:rPr>
                <w:rFonts w:hint="eastAsia" w:ascii="楷体" w:hAnsi="楷体" w:eastAsia="楷体" w:cs="宋体"/>
                <w:bCs/>
                <w:sz w:val="24"/>
                <w:szCs w:val="24"/>
                <w:lang w:eastAsia="zh-CN"/>
              </w:rPr>
              <w:drawing>
                <wp:anchor distT="0" distB="0" distL="114300" distR="114300" simplePos="0" relativeHeight="251664384" behindDoc="0" locked="0" layoutInCell="1" allowOverlap="1">
                  <wp:simplePos x="0" y="0"/>
                  <wp:positionH relativeFrom="column">
                    <wp:posOffset>1720215</wp:posOffset>
                  </wp:positionH>
                  <wp:positionV relativeFrom="paragraph">
                    <wp:posOffset>1041400</wp:posOffset>
                  </wp:positionV>
                  <wp:extent cx="2861945" cy="1960245"/>
                  <wp:effectExtent l="0" t="0" r="8255" b="8255"/>
                  <wp:wrapNone/>
                  <wp:docPr id="8" name="图片 8" descr="def333ab6e9d6b30b7d99b024ebc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f333ab6e9d6b30b7d99b024ebcc9c"/>
                          <pic:cNvPicPr>
                            <a:picLocks noChangeAspect="1"/>
                          </pic:cNvPicPr>
                        </pic:nvPicPr>
                        <pic:blipFill>
                          <a:blip r:embed="rId7"/>
                          <a:srcRect l="4350" t="7528" r="4030" b="8794"/>
                          <a:stretch>
                            <a:fillRect/>
                          </a:stretch>
                        </pic:blipFill>
                        <pic:spPr>
                          <a:xfrm rot="5400000">
                            <a:off x="0" y="0"/>
                            <a:ext cx="2861945" cy="1960245"/>
                          </a:xfrm>
                          <a:prstGeom prst="rect">
                            <a:avLst/>
                          </a:prstGeom>
                        </pic:spPr>
                      </pic:pic>
                    </a:graphicData>
                  </a:graphic>
                </wp:anchor>
              </w:drawing>
            </w:r>
            <w:r>
              <w:rPr>
                <w:rFonts w:hint="eastAsia" w:ascii="宋体" w:hAnsi="宋体" w:eastAsia="宋体" w:cs="宋体"/>
                <w:sz w:val="21"/>
                <w:szCs w:val="21"/>
                <w:lang w:eastAsia="zh-CN"/>
              </w:rPr>
              <w:t>提供检定（</w:t>
            </w:r>
            <w:r>
              <w:rPr>
                <w:rFonts w:hint="eastAsia" w:ascii="宋体" w:hAnsi="宋体" w:eastAsia="宋体" w:cs="宋体"/>
                <w:sz w:val="21"/>
                <w:szCs w:val="21"/>
                <w:lang w:val="en-US" w:eastAsia="zh-CN"/>
              </w:rPr>
              <w:t>校准</w:t>
            </w:r>
            <w:r>
              <w:rPr>
                <w:rFonts w:hint="eastAsia" w:ascii="宋体" w:hAnsi="宋体" w:eastAsia="宋体" w:cs="宋体"/>
                <w:sz w:val="21"/>
                <w:szCs w:val="21"/>
                <w:lang w:eastAsia="zh-CN"/>
              </w:rPr>
              <w:t>）合格证书（见</w:t>
            </w:r>
            <w:r>
              <w:rPr>
                <w:rFonts w:hint="eastAsia" w:ascii="宋体" w:hAnsi="宋体" w:eastAsia="宋体" w:cs="宋体"/>
                <w:sz w:val="21"/>
                <w:szCs w:val="21"/>
                <w:lang w:val="en-US" w:eastAsia="zh-CN"/>
              </w:rPr>
              <w:t>相关证据），均按规定和时间间隔要求溯源管理</w:t>
            </w:r>
            <w:r>
              <w:rPr>
                <w:rFonts w:hint="eastAsia" w:ascii="宋体" w:hAnsi="宋体" w:cs="宋体"/>
                <w:sz w:val="21"/>
                <w:szCs w:val="21"/>
                <w:lang w:val="en-US" w:eastAsia="zh-CN"/>
              </w:rPr>
              <w:t>，抽查了工业热电偶、钢直尺、游标卡尺、数显卡尺、电子汽车衡、抗折抗压试验机、电子计数称、架盘天平、案称、膜盒压力表、压力表等，满足检测需求。见附件。</w:t>
            </w:r>
          </w:p>
          <w:p>
            <w:pPr>
              <w:spacing w:line="360" w:lineRule="auto"/>
              <w:rPr>
                <w:rFonts w:hint="eastAsia" w:ascii="楷体" w:hAnsi="楷体" w:eastAsia="楷体" w:cs="宋体"/>
                <w:bCs/>
                <w:sz w:val="24"/>
                <w:szCs w:val="24"/>
                <w:lang w:eastAsia="zh-CN"/>
              </w:rPr>
            </w:pPr>
            <w:r>
              <w:rPr>
                <w:rFonts w:hint="eastAsia" w:ascii="楷体" w:hAnsi="楷体" w:eastAsia="楷体" w:cs="宋体"/>
                <w:bCs/>
                <w:sz w:val="24"/>
                <w:szCs w:val="24"/>
                <w:lang w:eastAsia="zh-CN"/>
              </w:rPr>
              <w:drawing>
                <wp:anchor distT="0" distB="0" distL="114300" distR="114300" simplePos="0" relativeHeight="251663360" behindDoc="0" locked="0" layoutInCell="1" allowOverlap="1">
                  <wp:simplePos x="0" y="0"/>
                  <wp:positionH relativeFrom="column">
                    <wp:posOffset>-353060</wp:posOffset>
                  </wp:positionH>
                  <wp:positionV relativeFrom="paragraph">
                    <wp:posOffset>430530</wp:posOffset>
                  </wp:positionV>
                  <wp:extent cx="2844800" cy="2012315"/>
                  <wp:effectExtent l="0" t="0" r="6985" b="0"/>
                  <wp:wrapNone/>
                  <wp:docPr id="7" name="图片 7" descr="0afcb5f732c1ae830e3f4977521c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fcb5f732c1ae830e3f4977521c6f5"/>
                          <pic:cNvPicPr>
                            <a:picLocks noChangeAspect="1"/>
                          </pic:cNvPicPr>
                        </pic:nvPicPr>
                        <pic:blipFill>
                          <a:blip r:embed="rId8"/>
                          <a:srcRect l="6558" t="5299" r="5440" b="11700"/>
                          <a:stretch>
                            <a:fillRect/>
                          </a:stretch>
                        </pic:blipFill>
                        <pic:spPr>
                          <a:xfrm rot="5400000">
                            <a:off x="0" y="0"/>
                            <a:ext cx="2844800" cy="2012315"/>
                          </a:xfrm>
                          <a:prstGeom prst="rect">
                            <a:avLst/>
                          </a:prstGeom>
                        </pic:spPr>
                      </pic:pic>
                    </a:graphicData>
                  </a:graphic>
                </wp:anchor>
              </w:drawing>
            </w:r>
          </w:p>
          <w:p>
            <w:pPr>
              <w:spacing w:line="360" w:lineRule="auto"/>
              <w:rPr>
                <w:rFonts w:hint="eastAsia" w:ascii="楷体" w:hAnsi="楷体" w:eastAsia="楷体" w:cs="宋体"/>
                <w:bCs/>
                <w:sz w:val="24"/>
                <w:szCs w:val="24"/>
                <w:lang w:eastAsia="zh-CN"/>
              </w:rPr>
            </w:pPr>
          </w:p>
          <w:p>
            <w:pPr>
              <w:spacing w:line="360" w:lineRule="auto"/>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rPr>
            </w:pPr>
          </w:p>
          <w:p>
            <w:pPr>
              <w:spacing w:line="360" w:lineRule="auto"/>
              <w:ind w:firstLine="480" w:firstLineChars="200"/>
              <w:rPr>
                <w:rFonts w:hint="eastAsia" w:ascii="楷体" w:hAnsi="楷体" w:eastAsia="楷体" w:cs="宋体"/>
                <w:bCs/>
                <w:sz w:val="24"/>
                <w:szCs w:val="24"/>
              </w:rPr>
            </w:pPr>
          </w:p>
          <w:p>
            <w:pPr>
              <w:spacing w:line="360" w:lineRule="auto"/>
              <w:ind w:firstLine="480" w:firstLineChars="200"/>
              <w:rPr>
                <w:rFonts w:hint="eastAsia" w:ascii="楷体" w:hAnsi="楷体" w:eastAsia="楷体" w:cs="宋体"/>
                <w:bCs/>
                <w:sz w:val="24"/>
                <w:szCs w:val="24"/>
              </w:rPr>
            </w:pPr>
          </w:p>
          <w:p>
            <w:pPr>
              <w:pStyle w:val="2"/>
              <w:rPr>
                <w:rFonts w:hint="eastAsia" w:eastAsia="宋体"/>
                <w:lang w:eastAsia="zh-CN"/>
              </w:rPr>
            </w:pPr>
          </w:p>
          <w:p>
            <w:pPr>
              <w:spacing w:line="360" w:lineRule="auto"/>
              <w:rPr>
                <w:rFonts w:hint="eastAsia" w:ascii="宋体" w:hAnsi="宋体" w:eastAsia="宋体" w:cs="宋体"/>
                <w:bCs/>
                <w:sz w:val="21"/>
                <w:szCs w:val="21"/>
                <w:lang w:val="en-US" w:eastAsia="zh-CN"/>
              </w:rPr>
            </w:pPr>
          </w:p>
          <w:p>
            <w:pPr>
              <w:spacing w:line="360" w:lineRule="auto"/>
              <w:rPr>
                <w:rFonts w:hint="eastAsia" w:ascii="宋体" w:hAnsi="宋体" w:cs="宋体"/>
                <w:bCs/>
                <w:sz w:val="21"/>
                <w:szCs w:val="21"/>
                <w:lang w:val="en-US" w:eastAsia="zh-CN"/>
              </w:rPr>
            </w:pPr>
          </w:p>
          <w:p>
            <w:pPr>
              <w:spacing w:line="360" w:lineRule="auto"/>
              <w:rPr>
                <w:rFonts w:hint="eastAsia" w:ascii="宋体" w:hAnsi="宋体" w:cs="宋体"/>
                <w:bCs/>
                <w:sz w:val="21"/>
                <w:szCs w:val="21"/>
                <w:lang w:val="en-US" w:eastAsia="zh-CN"/>
              </w:rPr>
            </w:pPr>
            <w:r>
              <w:rPr>
                <w:rFonts w:hint="eastAsia" w:ascii="宋体" w:hAnsi="宋体" w:cs="宋体"/>
                <w:bCs/>
                <w:sz w:val="21"/>
                <w:szCs w:val="21"/>
                <w:lang w:val="en-US" w:eastAsia="zh-CN"/>
              </w:rPr>
              <w:drawing>
                <wp:anchor distT="0" distB="0" distL="114300" distR="114300" simplePos="0" relativeHeight="251668480" behindDoc="0" locked="0" layoutInCell="1" allowOverlap="1">
                  <wp:simplePos x="0" y="0"/>
                  <wp:positionH relativeFrom="column">
                    <wp:posOffset>4424045</wp:posOffset>
                  </wp:positionH>
                  <wp:positionV relativeFrom="paragraph">
                    <wp:posOffset>162560</wp:posOffset>
                  </wp:positionV>
                  <wp:extent cx="2089150" cy="2992755"/>
                  <wp:effectExtent l="0" t="0" r="6350" b="4445"/>
                  <wp:wrapNone/>
                  <wp:docPr id="12" name="图片 12" descr="884b746de82028d862dbb2613a74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4b746de82028d862dbb2613a74f09"/>
                          <pic:cNvPicPr>
                            <a:picLocks noChangeAspect="1"/>
                          </pic:cNvPicPr>
                        </pic:nvPicPr>
                        <pic:blipFill>
                          <a:blip r:embed="rId9"/>
                          <a:srcRect t="2680" r="4681" b="4455"/>
                          <a:stretch>
                            <a:fillRect/>
                          </a:stretch>
                        </pic:blipFill>
                        <pic:spPr>
                          <a:xfrm>
                            <a:off x="0" y="0"/>
                            <a:ext cx="2089150" cy="2992755"/>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2221230</wp:posOffset>
                  </wp:positionH>
                  <wp:positionV relativeFrom="paragraph">
                    <wp:posOffset>97155</wp:posOffset>
                  </wp:positionV>
                  <wp:extent cx="2065020" cy="3165475"/>
                  <wp:effectExtent l="0" t="0" r="5080" b="952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2065020" cy="3165475"/>
                          </a:xfrm>
                          <a:prstGeom prst="rect">
                            <a:avLst/>
                          </a:prstGeom>
                          <a:noFill/>
                          <a:ln>
                            <a:noFill/>
                          </a:ln>
                        </pic:spPr>
                      </pic:pic>
                    </a:graphicData>
                  </a:graphic>
                </wp:anchor>
              </w:drawing>
            </w:r>
            <w:r>
              <w:rPr>
                <w:rFonts w:hint="eastAsia" w:ascii="宋体" w:hAnsi="宋体" w:cs="宋体"/>
                <w:bCs/>
                <w:sz w:val="21"/>
                <w:szCs w:val="21"/>
                <w:lang w:val="en-US" w:eastAsia="zh-CN"/>
              </w:rPr>
              <w:drawing>
                <wp:anchor distT="0" distB="0" distL="114300" distR="114300" simplePos="0" relativeHeight="251666432" behindDoc="0" locked="0" layoutInCell="1" allowOverlap="1">
                  <wp:simplePos x="0" y="0"/>
                  <wp:positionH relativeFrom="column">
                    <wp:posOffset>-506730</wp:posOffset>
                  </wp:positionH>
                  <wp:positionV relativeFrom="paragraph">
                    <wp:posOffset>602615</wp:posOffset>
                  </wp:positionV>
                  <wp:extent cx="3148965" cy="2182495"/>
                  <wp:effectExtent l="0" t="0" r="1905" b="635"/>
                  <wp:wrapNone/>
                  <wp:docPr id="10" name="图片 10" descr="bfa8db2271b4c37e74cfdb1134df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fa8db2271b4c37e74cfdb1134df302"/>
                          <pic:cNvPicPr>
                            <a:picLocks noChangeAspect="1"/>
                          </pic:cNvPicPr>
                        </pic:nvPicPr>
                        <pic:blipFill>
                          <a:blip r:embed="rId11"/>
                          <a:srcRect l="3411" t="6128" r="3297" b="7666"/>
                          <a:stretch>
                            <a:fillRect/>
                          </a:stretch>
                        </pic:blipFill>
                        <pic:spPr>
                          <a:xfrm rot="5400000">
                            <a:off x="0" y="0"/>
                            <a:ext cx="3148965" cy="2182495"/>
                          </a:xfrm>
                          <a:prstGeom prst="rect">
                            <a:avLst/>
                          </a:prstGeom>
                        </pic:spPr>
                      </pic:pic>
                    </a:graphicData>
                  </a:graphic>
                </wp:anchor>
              </w:drawing>
            </w:r>
          </w:p>
          <w:p>
            <w:pPr>
              <w:spacing w:line="360" w:lineRule="auto"/>
              <w:rPr>
                <w:rFonts w:hint="eastAsia" w:ascii="宋体" w:hAnsi="宋体" w:cs="宋体"/>
                <w:bCs/>
                <w:sz w:val="21"/>
                <w:szCs w:val="21"/>
                <w:lang w:val="en-US" w:eastAsia="zh-CN"/>
              </w:rPr>
            </w:pPr>
          </w:p>
          <w:p>
            <w:pPr>
              <w:spacing w:line="360" w:lineRule="auto"/>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pStyle w:val="2"/>
              <w:rPr>
                <w:rFonts w:hint="eastAsia" w:ascii="宋体" w:hAnsi="宋体" w:cs="宋体"/>
                <w:bCs/>
                <w:sz w:val="21"/>
                <w:szCs w:val="21"/>
                <w:lang w:val="en-US" w:eastAsia="zh-CN"/>
              </w:rPr>
            </w:pPr>
          </w:p>
          <w:p>
            <w:pPr>
              <w:spacing w:line="360" w:lineRule="auto"/>
              <w:rPr>
                <w:rFonts w:hint="eastAsia" w:ascii="宋体" w:hAnsi="宋体" w:cs="宋体"/>
                <w:bCs/>
                <w:sz w:val="21"/>
                <w:szCs w:val="21"/>
                <w:lang w:val="en-US" w:eastAsia="zh-CN"/>
              </w:rPr>
            </w:pPr>
          </w:p>
          <w:p>
            <w:pPr>
              <w:spacing w:line="360" w:lineRule="auto"/>
              <w:rPr>
                <w:rFonts w:hint="default"/>
                <w:lang w:val="en-US" w:eastAsia="zh-CN"/>
              </w:rPr>
            </w:pPr>
            <w:r>
              <w:rPr>
                <w:rFonts w:hint="eastAsia" w:ascii="宋体" w:hAnsi="宋体" w:cs="宋体"/>
                <w:bCs/>
                <w:sz w:val="21"/>
                <w:szCs w:val="21"/>
                <w:lang w:val="en-US" w:eastAsia="zh-CN"/>
              </w:rPr>
              <w:t>其中</w:t>
            </w:r>
            <w:r>
              <w:rPr>
                <w:rFonts w:hint="eastAsia" w:ascii="宋体" w:hAnsi="宋体" w:cs="宋体"/>
                <w:sz w:val="21"/>
                <w:szCs w:val="21"/>
                <w:lang w:val="en-US" w:eastAsia="zh-CN"/>
              </w:rPr>
              <w:t>电子汽车衡、抗折抗压试验机、电子计数称、架盘天平、案称的检定证书将于6月份到期，要求企业尽快送检，明年监督审核重点查看。</w:t>
            </w:r>
          </w:p>
        </w:tc>
        <w:tc>
          <w:tcPr>
            <w:tcW w:w="732" w:type="dxa"/>
            <w:gridSpan w:val="2"/>
          </w:tcPr>
          <w:p>
            <w:pPr>
              <w:spacing w:line="320" w:lineRule="exact"/>
              <w:rPr>
                <w:rFonts w:hint="default"/>
                <w:lang w:val="en-US" w:eastAsia="zh-CN"/>
              </w:rPr>
            </w:pPr>
          </w:p>
          <w:p>
            <w:pPr>
              <w:pStyle w:val="3"/>
              <w:rPr>
                <w:rFonts w:hint="default"/>
                <w:lang w:val="en-US" w:eastAsia="zh-CN"/>
              </w:rPr>
            </w:pPr>
          </w:p>
          <w:p>
            <w:pPr>
              <w:pStyle w:val="4"/>
              <w:ind w:left="0" w:leftChars="0" w:firstLine="0" w:firstLineChars="0"/>
              <w:jc w:val="left"/>
              <w:rPr>
                <w:rFonts w:hint="eastAsia"/>
                <w:lang w:val="en-US" w:eastAsia="zh-CN"/>
              </w:rPr>
            </w:pPr>
          </w:p>
          <w:p>
            <w:pPr>
              <w:pStyle w:val="4"/>
              <w:ind w:left="0" w:leftChars="0" w:firstLine="0" w:firstLineChars="0"/>
              <w:jc w:val="left"/>
              <w:rPr>
                <w:rFonts w:hint="default"/>
                <w:lang w:val="en-US" w:eastAsia="zh-CN"/>
              </w:rPr>
            </w:pPr>
            <w:r>
              <w:rPr>
                <w:rFonts w:hint="eastAsia"/>
                <w:lang w:val="en-US" w:eastAsia="zh-CN"/>
              </w:rPr>
              <w:t>N</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gridSpan w:val="2"/>
            <w:vAlign w:val="center"/>
          </w:tcPr>
          <w:p>
            <w:pPr>
              <w:rPr>
                <w:rFonts w:hint="eastAsia" w:ascii="楷体" w:hAnsi="楷体" w:eastAsia="楷体" w:cs="Times New Roman"/>
                <w:kern w:val="2"/>
                <w:sz w:val="24"/>
                <w:szCs w:val="24"/>
                <w:lang w:val="en-US" w:eastAsia="zh-CN" w:bidi="ar-SA"/>
              </w:rPr>
            </w:pPr>
            <w:r>
              <w:rPr>
                <w:rFonts w:hint="eastAsia" w:asciiTheme="minorEastAsia" w:hAnsiTheme="minorEastAsia" w:eastAsiaTheme="minorEastAsia" w:cstheme="minorEastAsia"/>
                <w:b w:val="0"/>
                <w:bCs w:val="0"/>
                <w:color w:val="auto"/>
                <w:sz w:val="21"/>
                <w:szCs w:val="21"/>
                <w:lang w:val="en-US" w:eastAsia="zh-CN"/>
              </w:rPr>
              <w:t>产品和服务的放行</w:t>
            </w:r>
          </w:p>
        </w:tc>
        <w:tc>
          <w:tcPr>
            <w:tcW w:w="965" w:type="dxa"/>
            <w:gridSpan w:val="2"/>
            <w:vAlign w:val="center"/>
          </w:tcPr>
          <w:p>
            <w:pPr>
              <w:rPr>
                <w:rFonts w:hint="default" w:ascii="楷体" w:hAnsi="楷体" w:eastAsia="楷体" w:cs="Times New Roman"/>
                <w:kern w:val="2"/>
                <w:sz w:val="24"/>
                <w:szCs w:val="24"/>
                <w:lang w:val="en-US" w:eastAsia="zh-CN" w:bidi="ar-SA"/>
              </w:rPr>
            </w:pPr>
            <w:r>
              <w:rPr>
                <w:rFonts w:hint="eastAsia" w:ascii="楷体" w:hAnsi="楷体" w:eastAsia="楷体" w:cs="Times New Roman"/>
                <w:kern w:val="2"/>
                <w:sz w:val="24"/>
                <w:szCs w:val="24"/>
                <w:lang w:val="en-US" w:eastAsia="zh-CN" w:bidi="ar-SA"/>
              </w:rPr>
              <w:t>Q8.6</w:t>
            </w:r>
          </w:p>
        </w:tc>
        <w:tc>
          <w:tcPr>
            <w:tcW w:w="10927" w:type="dxa"/>
            <w:gridSpan w:val="2"/>
            <w:vAlign w:val="center"/>
          </w:tcPr>
          <w:p>
            <w:pPr>
              <w:spacing w:line="360" w:lineRule="auto"/>
              <w:rPr>
                <w:rFonts w:hint="eastAsia"/>
                <w:color w:val="auto"/>
                <w:sz w:val="21"/>
                <w:szCs w:val="21"/>
              </w:rPr>
            </w:pPr>
            <w:r>
              <w:rPr>
                <w:rFonts w:hint="eastAsia"/>
                <w:color w:val="auto"/>
                <w:sz w:val="21"/>
                <w:szCs w:val="21"/>
              </w:rPr>
              <w:t>依据JGJ/T350-2015《保温防火复合板应用技术规程》</w:t>
            </w:r>
            <w:r>
              <w:rPr>
                <w:rFonts w:hint="eastAsia"/>
                <w:color w:val="auto"/>
                <w:sz w:val="21"/>
                <w:szCs w:val="21"/>
                <w:lang w:eastAsia="zh-CN"/>
              </w:rPr>
              <w:t>、</w:t>
            </w:r>
            <w:r>
              <w:rPr>
                <w:rFonts w:hint="eastAsia"/>
                <w:color w:val="auto"/>
                <w:sz w:val="21"/>
                <w:szCs w:val="21"/>
              </w:rPr>
              <w:t>T/CECS 480-2017《发泡陶瓷保温板应用技术规程》</w:t>
            </w:r>
            <w:r>
              <w:rPr>
                <w:rFonts w:hint="eastAsia"/>
                <w:color w:val="auto"/>
                <w:sz w:val="21"/>
                <w:szCs w:val="21"/>
                <w:lang w:eastAsia="zh-CN"/>
              </w:rPr>
              <w:t>、</w:t>
            </w:r>
            <w:r>
              <w:rPr>
                <w:rFonts w:hint="eastAsia"/>
                <w:color w:val="auto"/>
                <w:sz w:val="21"/>
                <w:szCs w:val="21"/>
              </w:rPr>
              <w:t>Q/320281ZJ002-2021《ZJ发泡陶瓷保温装饰板外墙外保温系统材料》及客户、行业要求编制产品检验标准、产品检验规程—经查阅满足标准要求。</w:t>
            </w:r>
          </w:p>
          <w:p>
            <w:pPr>
              <w:spacing w:line="360" w:lineRule="auto"/>
              <w:rPr>
                <w:rFonts w:hint="eastAsia" w:eastAsia="宋体"/>
                <w:color w:val="auto"/>
                <w:sz w:val="21"/>
                <w:szCs w:val="21"/>
                <w:lang w:eastAsia="zh-CN"/>
              </w:rPr>
            </w:pPr>
            <w:r>
              <w:rPr>
                <w:rFonts w:hint="eastAsia"/>
                <w:color w:val="auto"/>
                <w:sz w:val="21"/>
                <w:szCs w:val="21"/>
              </w:rPr>
              <w:t>1</w:t>
            </w:r>
            <w:r>
              <w:rPr>
                <w:rFonts w:hint="eastAsia"/>
                <w:color w:val="auto"/>
                <w:sz w:val="21"/>
                <w:szCs w:val="21"/>
                <w:lang w:val="zh-CN"/>
              </w:rPr>
              <w:t>、</w:t>
            </w:r>
            <w:r>
              <w:rPr>
                <w:rFonts w:hint="eastAsia"/>
                <w:color w:val="auto"/>
                <w:sz w:val="21"/>
                <w:szCs w:val="21"/>
              </w:rPr>
              <w:t>原料采用进厂后验证方式，抽查</w:t>
            </w:r>
            <w:r>
              <w:rPr>
                <w:rFonts w:hint="eastAsia"/>
                <w:color w:val="auto"/>
                <w:sz w:val="21"/>
                <w:szCs w:val="21"/>
                <w:lang w:eastAsia="zh-CN"/>
              </w:rPr>
              <w:t>《</w:t>
            </w:r>
            <w:r>
              <w:rPr>
                <w:rFonts w:hint="eastAsia"/>
                <w:color w:val="auto"/>
                <w:sz w:val="21"/>
                <w:szCs w:val="21"/>
                <w:lang w:val="en-US" w:eastAsia="zh-CN"/>
              </w:rPr>
              <w:t>原料进货小样检验单</w:t>
            </w:r>
            <w:r>
              <w:rPr>
                <w:rFonts w:hint="eastAsia"/>
                <w:color w:val="auto"/>
                <w:sz w:val="21"/>
                <w:szCs w:val="21"/>
                <w:lang w:eastAsia="zh-CN"/>
              </w:rPr>
              <w:t>》</w:t>
            </w:r>
          </w:p>
          <w:p>
            <w:pPr>
              <w:spacing w:line="360" w:lineRule="auto"/>
              <w:rPr>
                <w:rFonts w:hint="default" w:eastAsia="宋体"/>
                <w:color w:val="auto"/>
                <w:sz w:val="21"/>
                <w:szCs w:val="21"/>
                <w:lang w:val="en-US" w:eastAsia="zh-CN"/>
              </w:rPr>
            </w:pPr>
            <w:r>
              <w:rPr>
                <w:rFonts w:hint="eastAsia"/>
                <w:color w:val="auto"/>
                <w:sz w:val="21"/>
                <w:szCs w:val="21"/>
              </w:rPr>
              <w:t xml:space="preserve"> 1）</w:t>
            </w:r>
            <w:r>
              <w:rPr>
                <w:rFonts w:hint="eastAsia"/>
                <w:color w:val="auto"/>
                <w:sz w:val="21"/>
                <w:szCs w:val="21"/>
                <w:lang w:val="en-US" w:eastAsia="zh-CN"/>
              </w:rPr>
              <w:t>锂长石</w:t>
            </w:r>
            <w:r>
              <w:rPr>
                <w:rFonts w:hint="eastAsia"/>
                <w:color w:val="auto"/>
                <w:sz w:val="21"/>
                <w:szCs w:val="21"/>
              </w:rPr>
              <w:t>：</w:t>
            </w:r>
            <w:r>
              <w:rPr>
                <w:rFonts w:hint="eastAsia"/>
                <w:color w:val="auto"/>
                <w:sz w:val="21"/>
                <w:szCs w:val="21"/>
                <w:lang w:val="en-US" w:eastAsia="zh-CN"/>
              </w:rPr>
              <w:t>供方名称：江西省宜春市亿信陶玻材料有限公司</w:t>
            </w:r>
          </w:p>
          <w:p>
            <w:pPr>
              <w:spacing w:line="360" w:lineRule="auto"/>
              <w:rPr>
                <w:rFonts w:hint="eastAsia"/>
                <w:color w:val="auto"/>
                <w:sz w:val="21"/>
                <w:szCs w:val="21"/>
              </w:rPr>
            </w:pPr>
            <w:r>
              <w:rPr>
                <w:rFonts w:hint="eastAsia"/>
                <w:color w:val="auto"/>
                <w:sz w:val="21"/>
                <w:szCs w:val="21"/>
              </w:rPr>
              <w:t>检验项目：数量</w:t>
            </w:r>
            <w:r>
              <w:rPr>
                <w:rFonts w:hint="eastAsia"/>
                <w:color w:val="auto"/>
                <w:sz w:val="21"/>
                <w:szCs w:val="21"/>
                <w:lang w:val="en-US" w:eastAsia="zh-CN"/>
              </w:rPr>
              <w:t>104.56吨</w:t>
            </w:r>
            <w:r>
              <w:rPr>
                <w:rFonts w:hint="eastAsia"/>
                <w:color w:val="auto"/>
                <w:sz w:val="21"/>
                <w:szCs w:val="21"/>
              </w:rPr>
              <w:t>，</w:t>
            </w:r>
            <w:r>
              <w:rPr>
                <w:rFonts w:hint="eastAsia"/>
                <w:color w:val="auto"/>
                <w:sz w:val="21"/>
                <w:szCs w:val="21"/>
                <w:lang w:val="en-US" w:eastAsia="zh-CN"/>
              </w:rPr>
              <w:t>结论：产品试验结果达到产品要求，可以使用</w:t>
            </w:r>
            <w:r>
              <w:rPr>
                <w:rFonts w:hint="eastAsia"/>
                <w:color w:val="auto"/>
                <w:sz w:val="21"/>
                <w:szCs w:val="21"/>
              </w:rPr>
              <w:t>。</w:t>
            </w:r>
          </w:p>
          <w:p>
            <w:pPr>
              <w:spacing w:line="360" w:lineRule="auto"/>
              <w:rPr>
                <w:rFonts w:hint="default" w:eastAsia="宋体"/>
                <w:color w:val="auto"/>
                <w:sz w:val="21"/>
                <w:szCs w:val="21"/>
                <w:lang w:val="en-US" w:eastAsia="zh-CN"/>
              </w:rPr>
            </w:pPr>
            <w:r>
              <w:rPr>
                <w:rFonts w:hint="eastAsia"/>
                <w:color w:val="auto"/>
                <w:sz w:val="21"/>
                <w:szCs w:val="21"/>
              </w:rPr>
              <w:t>检验员：</w:t>
            </w:r>
            <w:r>
              <w:rPr>
                <w:rFonts w:hint="eastAsia"/>
                <w:color w:val="auto"/>
                <w:sz w:val="21"/>
                <w:szCs w:val="21"/>
                <w:lang w:val="en-US" w:eastAsia="zh-CN"/>
              </w:rPr>
              <w:t>许益军</w:t>
            </w:r>
            <w:r>
              <w:rPr>
                <w:rFonts w:hint="eastAsia"/>
                <w:color w:val="auto"/>
                <w:sz w:val="21"/>
                <w:szCs w:val="21"/>
              </w:rPr>
              <w:t xml:space="preserve">   </w:t>
            </w:r>
            <w:r>
              <w:rPr>
                <w:rFonts w:hint="eastAsia"/>
                <w:color w:val="auto"/>
                <w:sz w:val="21"/>
                <w:szCs w:val="21"/>
                <w:lang w:eastAsia="zh-CN"/>
              </w:rPr>
              <w:t>202</w:t>
            </w:r>
            <w:r>
              <w:rPr>
                <w:rFonts w:hint="eastAsia"/>
                <w:color w:val="auto"/>
                <w:sz w:val="21"/>
                <w:szCs w:val="21"/>
                <w:lang w:val="en-US" w:eastAsia="zh-CN"/>
              </w:rPr>
              <w:t>2</w:t>
            </w:r>
            <w:r>
              <w:rPr>
                <w:rFonts w:hint="eastAsia"/>
                <w:color w:val="auto"/>
                <w:sz w:val="21"/>
                <w:szCs w:val="21"/>
              </w:rPr>
              <w:t>.</w:t>
            </w: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31</w:t>
            </w:r>
          </w:p>
          <w:p>
            <w:pPr>
              <w:spacing w:line="360" w:lineRule="auto"/>
              <w:rPr>
                <w:rFonts w:hint="eastAsia"/>
                <w:color w:val="auto"/>
                <w:sz w:val="21"/>
                <w:szCs w:val="21"/>
              </w:rPr>
            </w:pPr>
            <w:r>
              <w:rPr>
                <w:rFonts w:hint="eastAsia"/>
                <w:color w:val="auto"/>
                <w:sz w:val="21"/>
                <w:szCs w:val="21"/>
              </w:rPr>
              <w:t xml:space="preserve"> 2）</w:t>
            </w:r>
            <w:r>
              <w:rPr>
                <w:rFonts w:hint="eastAsia"/>
                <w:color w:val="auto"/>
                <w:sz w:val="21"/>
                <w:szCs w:val="21"/>
                <w:lang w:val="en-US" w:eastAsia="zh-CN"/>
              </w:rPr>
              <w:t>抛光粉</w:t>
            </w:r>
            <w:r>
              <w:rPr>
                <w:rFonts w:hint="eastAsia"/>
                <w:color w:val="auto"/>
                <w:sz w:val="21"/>
                <w:szCs w:val="21"/>
              </w:rPr>
              <w:t>，</w:t>
            </w:r>
            <w:r>
              <w:rPr>
                <w:rFonts w:hint="eastAsia"/>
                <w:color w:val="auto"/>
                <w:sz w:val="21"/>
                <w:szCs w:val="21"/>
                <w:lang w:val="en-US" w:eastAsia="zh-CN"/>
              </w:rPr>
              <w:t>供应商：宜兴市长茂升物资有限公司，</w:t>
            </w:r>
            <w:r>
              <w:rPr>
                <w:rFonts w:hint="eastAsia"/>
                <w:color w:val="auto"/>
                <w:sz w:val="21"/>
                <w:szCs w:val="21"/>
              </w:rPr>
              <w:t>数量</w:t>
            </w:r>
            <w:r>
              <w:rPr>
                <w:rFonts w:hint="eastAsia"/>
                <w:color w:val="auto"/>
                <w:sz w:val="21"/>
                <w:szCs w:val="21"/>
                <w:lang w:val="en-US" w:eastAsia="zh-CN"/>
              </w:rPr>
              <w:t>1253.84吨</w:t>
            </w:r>
            <w:r>
              <w:rPr>
                <w:rFonts w:hint="eastAsia"/>
                <w:color w:val="auto"/>
                <w:sz w:val="21"/>
                <w:szCs w:val="21"/>
              </w:rPr>
              <w:t>，</w:t>
            </w:r>
            <w:r>
              <w:rPr>
                <w:rFonts w:hint="eastAsia"/>
                <w:color w:val="auto"/>
                <w:sz w:val="21"/>
                <w:szCs w:val="21"/>
                <w:lang w:val="en-US" w:eastAsia="zh-CN"/>
              </w:rPr>
              <w:t>结论：产品试验结果达到产品要求，可以使用</w:t>
            </w:r>
            <w:r>
              <w:rPr>
                <w:rFonts w:hint="eastAsia"/>
                <w:color w:val="auto"/>
                <w:sz w:val="21"/>
                <w:szCs w:val="21"/>
              </w:rPr>
              <w:t>，检验员：</w:t>
            </w:r>
            <w:r>
              <w:rPr>
                <w:rFonts w:hint="eastAsia"/>
                <w:color w:val="auto"/>
                <w:sz w:val="21"/>
                <w:szCs w:val="21"/>
                <w:lang w:val="en-US" w:eastAsia="zh-CN"/>
              </w:rPr>
              <w:t>许益军</w:t>
            </w:r>
            <w:r>
              <w:rPr>
                <w:rFonts w:hint="eastAsia"/>
                <w:color w:val="auto"/>
                <w:sz w:val="21"/>
                <w:szCs w:val="21"/>
              </w:rPr>
              <w:t xml:space="preserve">   </w:t>
            </w:r>
            <w:r>
              <w:rPr>
                <w:rFonts w:hint="eastAsia"/>
                <w:color w:val="auto"/>
                <w:sz w:val="21"/>
                <w:szCs w:val="21"/>
                <w:lang w:eastAsia="zh-CN"/>
              </w:rPr>
              <w:t>202</w:t>
            </w:r>
            <w:r>
              <w:rPr>
                <w:rFonts w:hint="eastAsia"/>
                <w:color w:val="auto"/>
                <w:sz w:val="21"/>
                <w:szCs w:val="21"/>
                <w:lang w:val="en-US" w:eastAsia="zh-CN"/>
              </w:rPr>
              <w:t>2</w:t>
            </w:r>
            <w:r>
              <w:rPr>
                <w:rFonts w:hint="eastAsia"/>
                <w:color w:val="auto"/>
                <w:sz w:val="21"/>
                <w:szCs w:val="21"/>
              </w:rPr>
              <w:t>.</w:t>
            </w: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13</w:t>
            </w:r>
          </w:p>
          <w:p>
            <w:pPr>
              <w:spacing w:line="360" w:lineRule="auto"/>
              <w:rPr>
                <w:rFonts w:hint="eastAsia"/>
                <w:color w:val="auto"/>
                <w:sz w:val="21"/>
                <w:szCs w:val="21"/>
                <w:lang w:val="en-US" w:eastAsia="zh-CN"/>
              </w:rPr>
            </w:pPr>
            <w:r>
              <w:rPr>
                <w:rFonts w:hint="eastAsia"/>
                <w:color w:val="auto"/>
                <w:sz w:val="21"/>
                <w:szCs w:val="21"/>
              </w:rPr>
              <w:t xml:space="preserve"> 3）</w:t>
            </w:r>
            <w:r>
              <w:rPr>
                <w:rFonts w:hint="eastAsia"/>
                <w:color w:val="auto"/>
                <w:sz w:val="21"/>
                <w:szCs w:val="21"/>
                <w:lang w:val="en-US" w:eastAsia="zh-CN"/>
              </w:rPr>
              <w:t>白泥</w:t>
            </w:r>
            <w:r>
              <w:rPr>
                <w:rFonts w:hint="eastAsia"/>
                <w:color w:val="auto"/>
                <w:sz w:val="21"/>
                <w:szCs w:val="21"/>
              </w:rPr>
              <w:t>，</w:t>
            </w:r>
            <w:r>
              <w:rPr>
                <w:rFonts w:hint="eastAsia"/>
                <w:color w:val="auto"/>
                <w:sz w:val="21"/>
                <w:szCs w:val="21"/>
                <w:lang w:val="en-US" w:eastAsia="zh-CN"/>
              </w:rPr>
              <w:t>供应商：宜兴国君陶瓷泥料经营部，</w:t>
            </w:r>
            <w:r>
              <w:rPr>
                <w:rFonts w:hint="eastAsia"/>
                <w:color w:val="auto"/>
                <w:sz w:val="21"/>
                <w:szCs w:val="21"/>
              </w:rPr>
              <w:t>数量</w:t>
            </w:r>
            <w:r>
              <w:rPr>
                <w:rFonts w:hint="eastAsia"/>
                <w:color w:val="auto"/>
                <w:sz w:val="21"/>
                <w:szCs w:val="21"/>
                <w:lang w:val="en-US" w:eastAsia="zh-CN"/>
              </w:rPr>
              <w:t>62.42吨</w:t>
            </w:r>
            <w:r>
              <w:rPr>
                <w:rFonts w:hint="eastAsia"/>
                <w:color w:val="auto"/>
                <w:sz w:val="21"/>
                <w:szCs w:val="21"/>
              </w:rPr>
              <w:t>，</w:t>
            </w:r>
            <w:r>
              <w:rPr>
                <w:rFonts w:hint="eastAsia"/>
                <w:color w:val="auto"/>
                <w:sz w:val="21"/>
                <w:szCs w:val="21"/>
                <w:lang w:val="en-US" w:eastAsia="zh-CN"/>
              </w:rPr>
              <w:t>结论：产品试验结果达到产品颜色要求，可以使用</w:t>
            </w:r>
            <w:r>
              <w:rPr>
                <w:rFonts w:hint="eastAsia"/>
                <w:color w:val="auto"/>
                <w:sz w:val="21"/>
                <w:szCs w:val="21"/>
              </w:rPr>
              <w:t>，检验员：</w:t>
            </w:r>
            <w:r>
              <w:rPr>
                <w:rFonts w:hint="eastAsia"/>
                <w:color w:val="auto"/>
                <w:sz w:val="21"/>
                <w:szCs w:val="21"/>
                <w:lang w:val="en-US" w:eastAsia="zh-CN"/>
              </w:rPr>
              <w:t>许益军</w:t>
            </w:r>
            <w:r>
              <w:rPr>
                <w:rFonts w:hint="eastAsia"/>
                <w:color w:val="auto"/>
                <w:sz w:val="21"/>
                <w:szCs w:val="21"/>
              </w:rPr>
              <w:t xml:space="preserve">   </w:t>
            </w:r>
            <w:r>
              <w:rPr>
                <w:rFonts w:hint="eastAsia"/>
                <w:color w:val="auto"/>
                <w:sz w:val="21"/>
                <w:szCs w:val="21"/>
                <w:lang w:eastAsia="zh-CN"/>
              </w:rPr>
              <w:t>202</w:t>
            </w:r>
            <w:r>
              <w:rPr>
                <w:rFonts w:hint="eastAsia"/>
                <w:color w:val="auto"/>
                <w:sz w:val="21"/>
                <w:szCs w:val="21"/>
                <w:lang w:val="en-US" w:eastAsia="zh-CN"/>
              </w:rPr>
              <w:t>2</w:t>
            </w:r>
            <w:r>
              <w:rPr>
                <w:rFonts w:hint="eastAsia"/>
                <w:color w:val="auto"/>
                <w:sz w:val="21"/>
                <w:szCs w:val="21"/>
              </w:rPr>
              <w:t>.</w:t>
            </w:r>
            <w:r>
              <w:rPr>
                <w:rFonts w:hint="eastAsia"/>
                <w:color w:val="auto"/>
                <w:sz w:val="21"/>
                <w:szCs w:val="21"/>
                <w:lang w:val="en-US" w:eastAsia="zh-CN"/>
              </w:rPr>
              <w:t>6</w:t>
            </w:r>
            <w:r>
              <w:rPr>
                <w:rFonts w:hint="eastAsia"/>
                <w:color w:val="auto"/>
                <w:sz w:val="21"/>
                <w:szCs w:val="21"/>
              </w:rPr>
              <w:t>.</w:t>
            </w:r>
            <w:r>
              <w:rPr>
                <w:rFonts w:hint="eastAsia"/>
                <w:color w:val="auto"/>
                <w:sz w:val="21"/>
                <w:szCs w:val="21"/>
                <w:lang w:val="en-US" w:eastAsia="zh-CN"/>
              </w:rPr>
              <w:t>4</w:t>
            </w:r>
          </w:p>
          <w:p>
            <w:pPr>
              <w:pStyle w:val="2"/>
              <w:rPr>
                <w:rFonts w:hint="default"/>
                <w:color w:val="auto"/>
                <w:lang w:val="en-US" w:eastAsia="zh-CN"/>
              </w:rPr>
            </w:pPr>
            <w:r>
              <w:rPr>
                <w:rFonts w:hint="eastAsia"/>
                <w:color w:val="auto"/>
                <w:sz w:val="21"/>
                <w:szCs w:val="21"/>
                <w:lang w:val="en-US" w:eastAsia="zh-CN"/>
              </w:rPr>
              <w:t>又抽查了方解粉等材料的检验单。</w:t>
            </w:r>
          </w:p>
          <w:p>
            <w:pPr>
              <w:spacing w:line="360" w:lineRule="auto"/>
              <w:rPr>
                <w:rFonts w:hint="eastAsia"/>
                <w:color w:val="auto"/>
                <w:sz w:val="21"/>
                <w:szCs w:val="21"/>
              </w:rPr>
            </w:pPr>
            <w:r>
              <w:rPr>
                <w:rFonts w:hint="eastAsia"/>
                <w:color w:val="auto"/>
                <w:sz w:val="21"/>
                <w:szCs w:val="21"/>
              </w:rPr>
              <w:t>进货检验基本符合要求。</w:t>
            </w:r>
          </w:p>
          <w:p>
            <w:pPr>
              <w:pStyle w:val="2"/>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3157855" cy="1748790"/>
                  <wp:effectExtent l="0" t="0" r="4445" b="3810"/>
                  <wp:docPr id="13" name="图片 13" descr="微信图片_2022061016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610162230"/>
                          <pic:cNvPicPr>
                            <a:picLocks noChangeAspect="1"/>
                          </pic:cNvPicPr>
                        </pic:nvPicPr>
                        <pic:blipFill>
                          <a:blip r:embed="rId12"/>
                          <a:srcRect t="3457" r="11287" b="9225"/>
                          <a:stretch>
                            <a:fillRect/>
                          </a:stretch>
                        </pic:blipFill>
                        <pic:spPr>
                          <a:xfrm>
                            <a:off x="0" y="0"/>
                            <a:ext cx="3157855" cy="1748790"/>
                          </a:xfrm>
                          <a:prstGeom prst="rect">
                            <a:avLst/>
                          </a:prstGeom>
                        </pic:spPr>
                      </pic:pic>
                    </a:graphicData>
                  </a:graphic>
                </wp:inline>
              </w:drawing>
            </w:r>
            <w:r>
              <w:rPr>
                <w:rFonts w:hint="eastAsia" w:eastAsia="宋体"/>
                <w:color w:val="auto"/>
                <w:sz w:val="21"/>
                <w:szCs w:val="21"/>
                <w:lang w:eastAsia="zh-CN"/>
              </w:rPr>
              <w:drawing>
                <wp:inline distT="0" distB="0" distL="114300" distR="114300">
                  <wp:extent cx="3561715" cy="1805305"/>
                  <wp:effectExtent l="0" t="0" r="6985" b="10795"/>
                  <wp:docPr id="14" name="图片 14" descr="微信图片_2022061016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610162256"/>
                          <pic:cNvPicPr>
                            <a:picLocks noChangeAspect="1"/>
                          </pic:cNvPicPr>
                        </pic:nvPicPr>
                        <pic:blipFill>
                          <a:blip r:embed="rId13"/>
                          <a:srcRect t="4937" r="11492" b="15326"/>
                          <a:stretch>
                            <a:fillRect/>
                          </a:stretch>
                        </pic:blipFill>
                        <pic:spPr>
                          <a:xfrm>
                            <a:off x="0" y="0"/>
                            <a:ext cx="3561715" cy="1805305"/>
                          </a:xfrm>
                          <a:prstGeom prst="rect">
                            <a:avLst/>
                          </a:prstGeom>
                        </pic:spPr>
                      </pic:pic>
                    </a:graphicData>
                  </a:graphic>
                </wp:inline>
              </w:drawing>
            </w: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pStyle w:val="2"/>
              <w:rPr>
                <w:rFonts w:hint="eastAsia"/>
                <w:color w:val="auto"/>
                <w:sz w:val="21"/>
                <w:szCs w:val="21"/>
              </w:rPr>
            </w:pPr>
          </w:p>
          <w:p>
            <w:pPr>
              <w:numPr>
                <w:ilvl w:val="0"/>
                <w:numId w:val="2"/>
              </w:numPr>
              <w:spacing w:line="360" w:lineRule="auto"/>
              <w:rPr>
                <w:rFonts w:hint="eastAsia"/>
                <w:sz w:val="21"/>
                <w:szCs w:val="21"/>
              </w:rPr>
            </w:pPr>
            <w:r>
              <w:rPr>
                <w:rFonts w:hint="eastAsia"/>
                <w:sz w:val="21"/>
                <w:szCs w:val="21"/>
              </w:rPr>
              <w:t>抽查：</w:t>
            </w:r>
            <w:r>
              <w:rPr>
                <w:rFonts w:hint="eastAsia"/>
                <w:sz w:val="21"/>
                <w:szCs w:val="21"/>
                <w:lang w:eastAsia="zh-CN"/>
              </w:rPr>
              <w:t>《</w:t>
            </w:r>
            <w:r>
              <w:rPr>
                <w:rFonts w:hint="eastAsia"/>
                <w:sz w:val="21"/>
                <w:szCs w:val="21"/>
                <w:lang w:val="en-US" w:eastAsia="zh-CN"/>
              </w:rPr>
              <w:t>喷雾干燥塔粉料检测单</w:t>
            </w:r>
            <w:r>
              <w:rPr>
                <w:rFonts w:hint="eastAsia"/>
                <w:sz w:val="21"/>
                <w:szCs w:val="21"/>
                <w:lang w:eastAsia="zh-CN"/>
              </w:rPr>
              <w:t>》</w:t>
            </w:r>
            <w:r>
              <w:rPr>
                <w:rFonts w:hint="eastAsia"/>
                <w:sz w:val="21"/>
                <w:szCs w:val="21"/>
                <w:lang w:val="en-US" w:eastAsia="zh-CN"/>
              </w:rPr>
              <w:t>2022.5月检验电力砖，检测人：张宇，检测结果如图：</w:t>
            </w:r>
            <w:r>
              <w:rPr>
                <w:rFonts w:hint="eastAsia"/>
                <w:sz w:val="21"/>
                <w:szCs w:val="21"/>
              </w:rPr>
              <w:t>。</w:t>
            </w:r>
          </w:p>
          <w:p>
            <w:pPr>
              <w:pStyle w:val="3"/>
              <w:rPr>
                <w:rFonts w:hint="eastAsia" w:eastAsia="宋体"/>
                <w:sz w:val="21"/>
                <w:szCs w:val="21"/>
                <w:lang w:eastAsia="zh-CN"/>
              </w:rPr>
            </w:pPr>
            <w:r>
              <w:rPr>
                <w:rFonts w:hint="eastAsia" w:eastAsia="宋体"/>
                <w:sz w:val="21"/>
                <w:szCs w:val="21"/>
                <w:lang w:eastAsia="zh-CN"/>
              </w:rPr>
              <w:drawing>
                <wp:inline distT="0" distB="0" distL="114300" distR="114300">
                  <wp:extent cx="6339205" cy="3820160"/>
                  <wp:effectExtent l="0" t="0" r="10795" b="2540"/>
                  <wp:docPr id="15" name="图片 15" descr="4db1e65f9620273b9477850a5199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db1e65f9620273b9477850a5199b44"/>
                          <pic:cNvPicPr>
                            <a:picLocks noChangeAspect="1"/>
                          </pic:cNvPicPr>
                        </pic:nvPicPr>
                        <pic:blipFill>
                          <a:blip r:embed="rId14"/>
                          <a:srcRect l="1870" r="4778"/>
                          <a:stretch>
                            <a:fillRect/>
                          </a:stretch>
                        </pic:blipFill>
                        <pic:spPr>
                          <a:xfrm>
                            <a:off x="0" y="0"/>
                            <a:ext cx="6339205" cy="3820160"/>
                          </a:xfrm>
                          <a:prstGeom prst="rect">
                            <a:avLst/>
                          </a:prstGeom>
                        </pic:spPr>
                      </pic:pic>
                    </a:graphicData>
                  </a:graphic>
                </wp:inline>
              </w:drawing>
            </w:r>
          </w:p>
          <w:p>
            <w:pPr>
              <w:pStyle w:val="4"/>
              <w:rPr>
                <w:rFonts w:hint="eastAsia"/>
                <w:sz w:val="21"/>
                <w:szCs w:val="21"/>
              </w:rPr>
            </w:pPr>
          </w:p>
          <w:p>
            <w:pPr>
              <w:pStyle w:val="4"/>
              <w:rPr>
                <w:rFonts w:hint="eastAsia"/>
                <w:sz w:val="21"/>
                <w:szCs w:val="21"/>
              </w:rPr>
            </w:pPr>
          </w:p>
          <w:p>
            <w:pPr>
              <w:pStyle w:val="4"/>
              <w:rPr>
                <w:rFonts w:hint="eastAsia"/>
                <w:sz w:val="21"/>
                <w:szCs w:val="21"/>
              </w:rPr>
            </w:pPr>
          </w:p>
          <w:p>
            <w:pPr>
              <w:numPr>
                <w:ilvl w:val="0"/>
                <w:numId w:val="0"/>
              </w:numPr>
              <w:spacing w:line="360" w:lineRule="auto"/>
              <w:ind w:leftChars="0"/>
              <w:rPr>
                <w:rFonts w:hint="eastAsia" w:eastAsia="宋体"/>
                <w:sz w:val="21"/>
                <w:szCs w:val="21"/>
                <w:lang w:eastAsia="zh-CN"/>
              </w:rPr>
            </w:pPr>
          </w:p>
          <w:p>
            <w:pPr>
              <w:pStyle w:val="4"/>
              <w:ind w:left="0" w:leftChars="0" w:firstLine="0" w:firstLineChars="0"/>
              <w:rPr>
                <w:rFonts w:hint="eastAsia"/>
                <w:sz w:val="21"/>
                <w:szCs w:val="21"/>
              </w:rPr>
            </w:pPr>
          </w:p>
          <w:p>
            <w:pPr>
              <w:pStyle w:val="4"/>
              <w:ind w:left="0" w:leftChars="0" w:firstLine="0" w:firstLineChars="0"/>
              <w:jc w:val="left"/>
              <w:rPr>
                <w:rFonts w:hint="default" w:eastAsia="宋体"/>
                <w:sz w:val="21"/>
                <w:szCs w:val="21"/>
                <w:lang w:val="en-US" w:eastAsia="zh-CN"/>
              </w:rPr>
            </w:pPr>
            <w:r>
              <w:rPr>
                <w:rFonts w:hint="eastAsia" w:eastAsia="宋体"/>
                <w:sz w:val="21"/>
                <w:szCs w:val="21"/>
                <w:lang w:eastAsia="zh-CN"/>
              </w:rPr>
              <w:drawing>
                <wp:anchor distT="0" distB="0" distL="114300" distR="114300" simplePos="0" relativeHeight="251661312" behindDoc="0" locked="0" layoutInCell="1" allowOverlap="1">
                  <wp:simplePos x="0" y="0"/>
                  <wp:positionH relativeFrom="column">
                    <wp:posOffset>3111500</wp:posOffset>
                  </wp:positionH>
                  <wp:positionV relativeFrom="paragraph">
                    <wp:posOffset>471805</wp:posOffset>
                  </wp:positionV>
                  <wp:extent cx="2183765" cy="2198370"/>
                  <wp:effectExtent l="0" t="0" r="635" b="11430"/>
                  <wp:wrapNone/>
                  <wp:docPr id="21" name="图片 21" descr="微信图片_202105151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515140529"/>
                          <pic:cNvPicPr>
                            <a:picLocks noChangeAspect="1"/>
                          </pic:cNvPicPr>
                        </pic:nvPicPr>
                        <pic:blipFill>
                          <a:blip r:embed="rId15"/>
                          <a:srcRect t="6414" b="22105"/>
                          <a:stretch>
                            <a:fillRect/>
                          </a:stretch>
                        </pic:blipFill>
                        <pic:spPr>
                          <a:xfrm>
                            <a:off x="0" y="0"/>
                            <a:ext cx="2183765" cy="2198370"/>
                          </a:xfrm>
                          <a:prstGeom prst="rect">
                            <a:avLst/>
                          </a:prstGeom>
                        </pic:spPr>
                      </pic:pic>
                    </a:graphicData>
                  </a:graphic>
                </wp:anchor>
              </w:drawing>
            </w:r>
            <w:r>
              <w:rPr>
                <w:rFonts w:hint="eastAsia"/>
                <w:sz w:val="21"/>
                <w:szCs w:val="21"/>
                <w:lang w:val="en-US" w:eastAsia="zh-CN"/>
              </w:rPr>
              <w:t>4、抽查了成品检验的《检测报告》，产品名称：黑色建材板，规格：300*300*30mm，样品数量：3块，取样时间：2020年11月25日，技术要求检验项目≤3.0、体积吸水率%≤180、体积密度kg /cm3≥0.4、常温抗压强度Mpa热面温度35℃时导热系数≤0.065W/(m·k)；结果如下：</w:t>
            </w:r>
          </w:p>
          <w:p>
            <w:pPr>
              <w:pStyle w:val="4"/>
              <w:rPr>
                <w:rFonts w:hint="eastAsia" w:eastAsia="宋体"/>
                <w:sz w:val="21"/>
                <w:szCs w:val="21"/>
                <w:lang w:eastAsia="zh-CN"/>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ind w:left="0" w:leftChars="0" w:firstLine="0" w:firstLineChars="0"/>
              <w:rPr>
                <w:rFonts w:hint="eastAsia"/>
                <w:sz w:val="21"/>
                <w:szCs w:val="21"/>
              </w:rPr>
            </w:pPr>
            <w:r>
              <w:rPr>
                <w:rFonts w:hint="eastAsia"/>
                <w:sz w:val="21"/>
                <w:szCs w:val="21"/>
                <w:lang w:val="en-US" w:eastAsia="zh-CN"/>
              </w:rPr>
              <w:t>5、抽查了成品检验的《检测报告》，产品名称：电子防腐砖，规格：240*120*50mm，样品数量：5块，取样时间：2020年10月17日，结果如下：</w:t>
            </w:r>
          </w:p>
          <w:p>
            <w:pPr>
              <w:pStyle w:val="4"/>
              <w:rPr>
                <w:rFonts w:hint="eastAsia" w:eastAsia="宋体"/>
                <w:sz w:val="21"/>
                <w:szCs w:val="21"/>
                <w:lang w:eastAsia="zh-CN"/>
              </w:rPr>
            </w:pPr>
            <w:r>
              <w:rPr>
                <w:rFonts w:hint="eastAsia" w:eastAsia="宋体"/>
                <w:sz w:val="21"/>
                <w:szCs w:val="21"/>
                <w:lang w:eastAsia="zh-CN"/>
              </w:rPr>
              <w:drawing>
                <wp:anchor distT="0" distB="0" distL="114300" distR="114300" simplePos="0" relativeHeight="251662336" behindDoc="0" locked="0" layoutInCell="1" allowOverlap="1">
                  <wp:simplePos x="0" y="0"/>
                  <wp:positionH relativeFrom="column">
                    <wp:posOffset>1955800</wp:posOffset>
                  </wp:positionH>
                  <wp:positionV relativeFrom="paragraph">
                    <wp:posOffset>15875</wp:posOffset>
                  </wp:positionV>
                  <wp:extent cx="2221865" cy="2251710"/>
                  <wp:effectExtent l="0" t="0" r="635" b="8890"/>
                  <wp:wrapNone/>
                  <wp:docPr id="22" name="图片 22" descr="微信图片_202105151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515140529"/>
                          <pic:cNvPicPr>
                            <a:picLocks noChangeAspect="1"/>
                          </pic:cNvPicPr>
                        </pic:nvPicPr>
                        <pic:blipFill>
                          <a:blip r:embed="rId15"/>
                          <a:srcRect t="6070" b="21991"/>
                          <a:stretch>
                            <a:fillRect/>
                          </a:stretch>
                        </pic:blipFill>
                        <pic:spPr>
                          <a:xfrm>
                            <a:off x="0" y="0"/>
                            <a:ext cx="2221865" cy="2251710"/>
                          </a:xfrm>
                          <a:prstGeom prst="rect">
                            <a:avLst/>
                          </a:prstGeom>
                        </pic:spPr>
                      </pic:pic>
                    </a:graphicData>
                  </a:graphic>
                </wp:anchor>
              </w:drawing>
            </w: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pStyle w:val="4"/>
              <w:rPr>
                <w:rFonts w:hint="eastAsia"/>
                <w:sz w:val="21"/>
                <w:szCs w:val="21"/>
              </w:rPr>
            </w:pPr>
          </w:p>
          <w:p>
            <w:pPr>
              <w:spacing w:line="360" w:lineRule="auto"/>
              <w:rPr>
                <w:rFonts w:hint="default"/>
                <w:color w:val="auto"/>
                <w:sz w:val="21"/>
                <w:szCs w:val="21"/>
                <w:lang w:val="en-US" w:eastAsia="zh-CN"/>
              </w:rPr>
            </w:pPr>
            <w:r>
              <w:rPr>
                <w:rFonts w:hint="eastAsia"/>
                <w:sz w:val="21"/>
                <w:szCs w:val="21"/>
                <w:lang w:val="en-US" w:eastAsia="zh-CN"/>
              </w:rPr>
              <w:t>6、企业送检产品</w:t>
            </w:r>
            <w:r>
              <w:rPr>
                <w:rFonts w:hint="eastAsia"/>
                <w:color w:val="auto"/>
                <w:sz w:val="21"/>
                <w:szCs w:val="21"/>
                <w:lang w:val="en-US" w:eastAsia="zh-CN"/>
              </w:rPr>
              <w:t>进行第三方委托检验。</w:t>
            </w:r>
          </w:p>
          <w:p>
            <w:pPr>
              <w:spacing w:line="360" w:lineRule="auto"/>
              <w:rPr>
                <w:rFonts w:hint="default" w:eastAsia="宋体"/>
                <w:color w:val="auto"/>
                <w:sz w:val="21"/>
                <w:szCs w:val="21"/>
                <w:lang w:val="en-US" w:eastAsia="zh-CN"/>
              </w:rPr>
            </w:pPr>
            <w:r>
              <w:rPr>
                <w:rFonts w:hint="eastAsia"/>
                <w:color w:val="auto"/>
                <w:sz w:val="21"/>
                <w:szCs w:val="21"/>
                <w:lang w:val="en-US" w:eastAsia="zh-CN"/>
              </w:rPr>
              <w:t>1）</w:t>
            </w:r>
            <w:r>
              <w:rPr>
                <w:rFonts w:hint="eastAsia"/>
                <w:color w:val="auto"/>
                <w:sz w:val="21"/>
                <w:szCs w:val="21"/>
              </w:rPr>
              <w:t>提供了</w:t>
            </w:r>
            <w:r>
              <w:rPr>
                <w:rFonts w:hint="eastAsia"/>
                <w:color w:val="auto"/>
                <w:sz w:val="21"/>
                <w:szCs w:val="21"/>
                <w:lang w:val="en-US" w:eastAsia="zh-CN"/>
              </w:rPr>
              <w:t>江苏省建工检材质量检测中心有限公司出具的</w:t>
            </w:r>
            <w:r>
              <w:rPr>
                <w:rFonts w:hint="eastAsia"/>
                <w:color w:val="auto"/>
                <w:sz w:val="21"/>
                <w:szCs w:val="21"/>
              </w:rPr>
              <w:t>检验报告</w:t>
            </w:r>
            <w:r>
              <w:rPr>
                <w:rFonts w:hint="eastAsia"/>
                <w:color w:val="auto"/>
                <w:sz w:val="21"/>
                <w:szCs w:val="21"/>
                <w:lang w:eastAsia="zh-CN"/>
              </w:rPr>
              <w:t>：</w:t>
            </w:r>
            <w:r>
              <w:rPr>
                <w:rFonts w:hint="eastAsia"/>
                <w:color w:val="auto"/>
                <w:sz w:val="21"/>
                <w:szCs w:val="21"/>
                <w:lang w:val="en-US" w:eastAsia="zh-CN"/>
              </w:rPr>
              <w:t>报告编号：（2020）51363，产品名称：发泡陶瓷保温板，生产单位/送检单位：江苏泽建环境科技有限公司，签发日期：2020年9月30日。检验结论：样本经检测，符合JGJ/T350-2015标准中无烧结釉面发泡陶瓷保温板的规定要求。见附件。</w:t>
            </w:r>
          </w:p>
          <w:p>
            <w:pPr>
              <w:spacing w:line="360" w:lineRule="auto"/>
              <w:jc w:val="both"/>
              <w:rPr>
                <w:rFonts w:hint="default" w:ascii="宋体" w:hAnsi="宋体" w:eastAsia="宋体" w:cs="宋体"/>
                <w:kern w:val="2"/>
                <w:sz w:val="21"/>
                <w:szCs w:val="21"/>
                <w:lang w:val="en-US" w:eastAsia="zh-CN" w:bidi="ar-SA"/>
              </w:rPr>
            </w:pPr>
            <w:r>
              <w:rPr>
                <w:rFonts w:hint="eastAsia"/>
                <w:color w:val="auto"/>
                <w:sz w:val="21"/>
                <w:szCs w:val="21"/>
                <w:lang w:val="en-US" w:eastAsia="zh-CN"/>
              </w:rPr>
              <w:t>2）另抽宜兴市宏信建设工程质量检测有限公司出具的发泡陶瓷保温条板的检测报告，结论为符合。详见附件。</w:t>
            </w:r>
          </w:p>
        </w:tc>
        <w:tc>
          <w:tcPr>
            <w:tcW w:w="732" w:type="dxa"/>
            <w:gridSpan w:val="2"/>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2173" w:type="dxa"/>
            <w:gridSpan w:val="2"/>
            <w:vAlign w:val="top"/>
          </w:tcPr>
          <w:p>
            <w:pPr>
              <w:spacing w:line="360" w:lineRule="auto"/>
              <w:rPr>
                <w:rFonts w:hint="eastAsia" w:ascii="楷体" w:hAnsi="楷体" w:eastAsia="楷体" w:cs="Times New Roman"/>
                <w:b/>
                <w:color w:val="auto"/>
                <w:kern w:val="2"/>
                <w:sz w:val="24"/>
                <w:szCs w:val="24"/>
                <w:lang w:val="en-US" w:eastAsia="zh-CN" w:bidi="ar-SA"/>
              </w:rPr>
            </w:pPr>
            <w:r>
              <w:rPr>
                <w:rFonts w:hint="eastAsia" w:ascii="楷体" w:hAnsi="楷体" w:eastAsia="楷体"/>
                <w:color w:val="auto"/>
                <w:sz w:val="24"/>
                <w:szCs w:val="24"/>
              </w:rPr>
              <w:t>不合格输出的控制</w:t>
            </w:r>
          </w:p>
        </w:tc>
        <w:tc>
          <w:tcPr>
            <w:tcW w:w="965" w:type="dxa"/>
            <w:gridSpan w:val="2"/>
            <w:vAlign w:val="top"/>
          </w:tcPr>
          <w:p>
            <w:pPr>
              <w:spacing w:line="360" w:lineRule="auto"/>
              <w:rPr>
                <w:rFonts w:ascii="楷体" w:hAnsi="楷体" w:eastAsia="楷体"/>
                <w:color w:val="auto"/>
                <w:sz w:val="24"/>
                <w:szCs w:val="24"/>
              </w:rPr>
            </w:pPr>
            <w:r>
              <w:rPr>
                <w:rFonts w:hint="eastAsia" w:ascii="楷体" w:hAnsi="楷体" w:eastAsia="楷体"/>
                <w:color w:val="auto"/>
                <w:sz w:val="24"/>
                <w:szCs w:val="24"/>
              </w:rPr>
              <w:t>Q</w:t>
            </w:r>
            <w:r>
              <w:rPr>
                <w:rFonts w:ascii="楷体" w:hAnsi="楷体" w:eastAsia="楷体"/>
                <w:color w:val="auto"/>
                <w:sz w:val="24"/>
                <w:szCs w:val="24"/>
              </w:rPr>
              <w:t>8.7</w:t>
            </w:r>
            <w:r>
              <w:rPr>
                <w:rFonts w:hint="eastAsia" w:ascii="楷体" w:hAnsi="楷体" w:eastAsia="楷体"/>
                <w:color w:val="auto"/>
                <w:sz w:val="24"/>
                <w:szCs w:val="24"/>
              </w:rPr>
              <w:t xml:space="preserve"> </w:t>
            </w:r>
          </w:p>
          <w:p>
            <w:pPr>
              <w:spacing w:line="360" w:lineRule="auto"/>
              <w:ind w:left="105" w:leftChars="0"/>
              <w:rPr>
                <w:rFonts w:hint="eastAsia" w:ascii="楷体" w:hAnsi="楷体" w:eastAsia="楷体" w:cs="Arial"/>
                <w:color w:val="auto"/>
                <w:kern w:val="2"/>
                <w:sz w:val="24"/>
                <w:szCs w:val="24"/>
                <w:lang w:val="en-US" w:eastAsia="zh-CN" w:bidi="ar-SA"/>
              </w:rPr>
            </w:pPr>
          </w:p>
        </w:tc>
        <w:tc>
          <w:tcPr>
            <w:tcW w:w="10927" w:type="dxa"/>
            <w:gridSpan w:val="2"/>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26"/>
              <w:numPr>
                <w:ilvl w:val="0"/>
                <w:numId w:val="3"/>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26"/>
              <w:numPr>
                <w:ilvl w:val="0"/>
                <w:numId w:val="3"/>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26"/>
              <w:numPr>
                <w:ilvl w:val="0"/>
                <w:numId w:val="3"/>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26"/>
              <w:numPr>
                <w:ilvl w:val="0"/>
                <w:numId w:val="3"/>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26"/>
              <w:numPr>
                <w:ilvl w:val="0"/>
                <w:numId w:val="3"/>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10</w:t>
            </w:r>
            <w:r>
              <w:rPr>
                <w:rFonts w:hint="eastAsia" w:ascii="宋体" w:hAnsi="宋体"/>
                <w:color w:val="auto"/>
                <w:sz w:val="21"/>
                <w:szCs w:val="21"/>
              </w:rPr>
              <w:t>.</w:t>
            </w:r>
            <w:r>
              <w:rPr>
                <w:rFonts w:hint="eastAsia" w:ascii="宋体" w:hAnsi="宋体"/>
                <w:color w:val="auto"/>
                <w:sz w:val="21"/>
                <w:szCs w:val="21"/>
                <w:lang w:val="en-US" w:eastAsia="zh-CN"/>
              </w:rPr>
              <w:t>25</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黑色检材</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rPr>
              <w:t>验证人：</w:t>
            </w:r>
            <w:r>
              <w:rPr>
                <w:rFonts w:hint="eastAsia" w:ascii="宋体" w:hAnsi="宋体"/>
                <w:color w:val="auto"/>
                <w:sz w:val="21"/>
                <w:szCs w:val="21"/>
                <w:lang w:eastAsia="zh-CN"/>
              </w:rPr>
              <w:t>张宇</w:t>
            </w:r>
          </w:p>
          <w:p>
            <w:pPr>
              <w:spacing w:line="360" w:lineRule="auto"/>
              <w:rPr>
                <w:rFonts w:ascii="宋体" w:hAnsi="宋体"/>
                <w:color w:val="auto"/>
                <w:sz w:val="21"/>
                <w:szCs w:val="21"/>
              </w:rPr>
            </w:pPr>
            <w:r>
              <w:rPr>
                <w:rFonts w:hint="eastAsia" w:ascii="宋体" w:hAnsi="宋体"/>
                <w:color w:val="auto"/>
                <w:sz w:val="21"/>
                <w:szCs w:val="21"/>
              </w:rPr>
              <w:t>经查，</w:t>
            </w:r>
            <w:r>
              <w:rPr>
                <w:rFonts w:hint="eastAsia" w:ascii="宋体" w:hAnsi="宋体"/>
                <w:color w:val="auto"/>
                <w:sz w:val="21"/>
                <w:szCs w:val="21"/>
                <w:lang w:val="en-US" w:eastAsia="zh-CN"/>
              </w:rPr>
              <w:t>暂时</w:t>
            </w:r>
            <w:r>
              <w:rPr>
                <w:rFonts w:hint="eastAsia" w:ascii="宋体" w:hAnsi="宋体"/>
                <w:color w:val="auto"/>
                <w:sz w:val="21"/>
                <w:szCs w:val="21"/>
              </w:rPr>
              <w:t>没发生对不合格品进行让步放行的情况，</w:t>
            </w:r>
          </w:p>
          <w:p>
            <w:pPr>
              <w:spacing w:line="360" w:lineRule="auto"/>
              <w:rPr>
                <w:rFonts w:hint="eastAsia" w:ascii="宋体" w:hAnsi="宋体" w:eastAsia="宋体" w:cs="宋体"/>
                <w:color w:val="auto"/>
                <w:kern w:val="2"/>
                <w:sz w:val="21"/>
                <w:szCs w:val="21"/>
                <w:lang w:val="en-US" w:eastAsia="zh-TW" w:bidi="ar-SA"/>
              </w:rPr>
            </w:pPr>
            <w:r>
              <w:rPr>
                <w:rFonts w:hint="eastAsia" w:ascii="宋体" w:hAnsi="宋体"/>
                <w:color w:val="auto"/>
                <w:sz w:val="21"/>
                <w:szCs w:val="21"/>
              </w:rPr>
              <w:t xml:space="preserve">部门对不合格品的性质、处理的措施及结论的结果进行了记录及保持。 </w:t>
            </w:r>
          </w:p>
        </w:tc>
        <w:tc>
          <w:tcPr>
            <w:tcW w:w="732" w:type="dxa"/>
            <w:gridSpan w:val="2"/>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2173" w:type="dxa"/>
            <w:gridSpan w:val="2"/>
            <w:vAlign w:val="top"/>
          </w:tcPr>
          <w:p>
            <w:pPr>
              <w:spacing w:line="360" w:lineRule="auto"/>
              <w:rPr>
                <w:rFonts w:hint="eastAsia" w:ascii="楷体" w:hAnsi="楷体" w:eastAsia="楷体"/>
                <w:color w:val="0000FF"/>
                <w:sz w:val="24"/>
                <w:szCs w:val="24"/>
              </w:rPr>
            </w:pPr>
            <w:r>
              <w:rPr>
                <w:rFonts w:hint="eastAsia" w:ascii="宋体" w:hAnsi="宋体" w:cs="Arial"/>
                <w:sz w:val="21"/>
                <w:szCs w:val="21"/>
              </w:rPr>
              <w:t>不符合/事件和纠正措施</w:t>
            </w:r>
          </w:p>
        </w:tc>
        <w:tc>
          <w:tcPr>
            <w:tcW w:w="965" w:type="dxa"/>
            <w:gridSpan w:val="2"/>
            <w:vAlign w:val="top"/>
          </w:tcPr>
          <w:p>
            <w:pPr>
              <w:spacing w:line="360" w:lineRule="auto"/>
              <w:rPr>
                <w:rFonts w:hint="eastAsia" w:ascii="楷体" w:hAnsi="楷体" w:eastAsia="楷体" w:cs="Arial"/>
                <w:color w:val="0000FF"/>
                <w:kern w:val="2"/>
                <w:sz w:val="24"/>
                <w:szCs w:val="24"/>
                <w:lang w:val="en-US" w:eastAsia="zh-CN" w:bidi="ar-SA"/>
              </w:rPr>
            </w:pPr>
            <w:r>
              <w:rPr>
                <w:rFonts w:hint="eastAsia"/>
                <w:u w:val="none"/>
              </w:rPr>
              <w:t>QE</w:t>
            </w:r>
            <w:r>
              <w:rPr>
                <w:u w:val="none"/>
              </w:rPr>
              <w:t>O</w:t>
            </w:r>
            <w:r>
              <w:rPr>
                <w:rFonts w:hint="eastAsia"/>
                <w:u w:val="none"/>
                <w:lang w:val="en-US" w:eastAsia="zh-CN"/>
              </w:rPr>
              <w:t>10</w:t>
            </w:r>
            <w:r>
              <w:rPr>
                <w:rFonts w:hint="eastAsia"/>
                <w:u w:val="none"/>
              </w:rPr>
              <w:t>.</w:t>
            </w:r>
            <w:r>
              <w:rPr>
                <w:u w:val="none"/>
              </w:rPr>
              <w:t>2</w:t>
            </w:r>
          </w:p>
        </w:tc>
        <w:tc>
          <w:tcPr>
            <w:tcW w:w="10927" w:type="dxa"/>
            <w:gridSpan w:val="2"/>
            <w:vAlign w:val="center"/>
          </w:tcPr>
          <w:p>
            <w:pPr>
              <w:spacing w:line="360" w:lineRule="auto"/>
              <w:ind w:firstLine="480" w:firstLineChars="0"/>
              <w:jc w:val="left"/>
              <w:rPr>
                <w:rFonts w:hint="default" w:ascii="Times New Roman" w:hAnsi="Times New Roman" w:eastAsia="宋体" w:cs="Times New Roman"/>
                <w:szCs w:val="21"/>
                <w:u w:val="none"/>
              </w:rPr>
            </w:pPr>
            <w:r>
              <w:rPr>
                <w:rFonts w:hint="eastAsia" w:ascii="Times New Roman" w:hAnsi="Times New Roman" w:eastAsia="宋体" w:cs="Times New Roman"/>
                <w:szCs w:val="21"/>
                <w:u w:val="none"/>
              </w:rPr>
              <w:t>查：公司编制有</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不符合控制程序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《纠正措施控制程序》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预防措施控制程序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，规定了发现不合格应采取纠正措施的具体要求，并按要求进行了控制。</w:t>
            </w:r>
          </w:p>
          <w:p>
            <w:pPr>
              <w:spacing w:line="360" w:lineRule="auto"/>
              <w:ind w:firstLine="480" w:firstLineChars="0"/>
              <w:jc w:val="left"/>
              <w:rPr>
                <w:rFonts w:hint="default" w:ascii="Times New Roman" w:hAnsi="Times New Roman" w:eastAsia="宋体" w:cs="Times New Roman"/>
                <w:szCs w:val="21"/>
                <w:u w:val="none"/>
              </w:rPr>
            </w:pPr>
            <w:r>
              <w:rPr>
                <w:rFonts w:hint="eastAsia" w:ascii="Times New Roman" w:hAnsi="Times New Roman" w:eastAsia="宋体" w:cs="Times New Roman"/>
                <w:szCs w:val="21"/>
                <w:u w:val="none"/>
              </w:rPr>
              <w:t>抽查内审《不符合报告》，针对内审中发现的不合格事实，责任部门进行了原因分析，制定了纠正措施并实施，涉及</w:t>
            </w:r>
            <w:r>
              <w:rPr>
                <w:rFonts w:hint="eastAsia" w:cs="Times New Roman"/>
                <w:szCs w:val="21"/>
                <w:u w:val="none"/>
                <w:lang w:val="en-US" w:eastAsia="zh-CN"/>
              </w:rPr>
              <w:t>行政人事部7</w:t>
            </w:r>
            <w:r>
              <w:rPr>
                <w:rFonts w:hint="eastAsia" w:ascii="Times New Roman" w:hAnsi="Times New Roman" w:eastAsia="宋体" w:cs="Times New Roman"/>
                <w:szCs w:val="21"/>
                <w:u w:val="none"/>
                <w:lang w:val="en-US" w:eastAsia="zh-CN"/>
              </w:rPr>
              <w:t>.2条</w:t>
            </w:r>
            <w:r>
              <w:rPr>
                <w:rFonts w:hint="eastAsia" w:ascii="Times New Roman" w:hAnsi="Times New Roman" w:eastAsia="宋体" w:cs="Times New Roman"/>
                <w:szCs w:val="21"/>
                <w:u w:val="none"/>
              </w:rPr>
              <w:t>款的不符合项，经验证整改有效。</w:t>
            </w:r>
          </w:p>
          <w:p>
            <w:pPr>
              <w:spacing w:line="360" w:lineRule="auto"/>
              <w:ind w:firstLine="480" w:firstLineChars="0"/>
              <w:jc w:val="left"/>
              <w:rPr>
                <w:rFonts w:hint="eastAsia" w:ascii="宋体" w:hAnsi="宋体"/>
                <w:color w:val="0000FF"/>
                <w:sz w:val="21"/>
                <w:szCs w:val="21"/>
              </w:rPr>
            </w:pPr>
            <w:r>
              <w:rPr>
                <w:rFonts w:hint="eastAsia" w:ascii="Times New Roman" w:hAnsi="Times New Roman" w:eastAsia="宋体" w:cs="Times New Roman"/>
                <w:szCs w:val="21"/>
                <w:u w:val="none"/>
              </w:rPr>
              <w:t>体系运行的</w:t>
            </w:r>
            <w:r>
              <w:rPr>
                <w:rFonts w:hint="default" w:ascii="Times New Roman" w:hAnsi="Times New Roman" w:eastAsia="宋体" w:cs="Times New Roman"/>
                <w:szCs w:val="21"/>
                <w:u w:val="none"/>
              </w:rPr>
              <w:t>其他方面经过日常工作检查和数据分析，暂未发现应采取纠正和预防措施的机会。日后应进一步加大日常工作检查力度，及时发现不符合及潜在不符合并及时采取相应措施，持续改进体系的有效性。</w:t>
            </w:r>
          </w:p>
        </w:tc>
        <w:tc>
          <w:tcPr>
            <w:tcW w:w="732" w:type="dxa"/>
            <w:gridSpan w:val="2"/>
          </w:tcPr>
          <w:p>
            <w:pPr>
              <w:rPr>
                <w:rFonts w:hint="eastAsia" w:asciiTheme="minorEastAsia" w:hAnsiTheme="minorEastAsia" w:eastAsiaTheme="minorEastAsia" w:cstheme="minorEastAsia"/>
                <w:sz w:val="21"/>
                <w:szCs w:val="21"/>
              </w:rPr>
            </w:pPr>
          </w:p>
        </w:tc>
      </w:tr>
    </w:tbl>
    <w:p>
      <w:pPr>
        <w:pStyle w:val="14"/>
        <w:rPr>
          <w:rFonts w:hint="eastAsia"/>
        </w:rPr>
      </w:pPr>
    </w:p>
    <w:p>
      <w:r>
        <w:ptab w:relativeTo="margin" w:alignment="center" w:leader="none"/>
      </w:r>
    </w:p>
    <w:p/>
    <w:p>
      <w:pPr>
        <w:pStyle w:val="14"/>
      </w:pPr>
      <w:r>
        <w:rPr>
          <w:rFonts w:hint="eastAsia"/>
        </w:rPr>
        <w:t>说明：不符合标注N</w:t>
      </w:r>
    </w:p>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left" w:pos="8910"/>
        <w:tab w:val="left" w:pos="9142"/>
        <w:tab w:val="clear" w:pos="4153"/>
      </w:tabs>
      <w:spacing w:line="320" w:lineRule="exact"/>
      <w:ind w:left="-86" w:leftChars="-41" w:firstLine="810" w:firstLineChars="450"/>
      <w:jc w:val="left"/>
      <w:rPr>
        <w:rStyle w:val="2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bookmarkStart w:id="0" w:name="_GoBack"/>
    <w:bookmarkEnd w:id="0"/>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25"/>
        <w:rFonts w:hint="default"/>
      </w:rPr>
      <w:t>北京国标联合认证有限公司</w:t>
    </w:r>
    <w:r>
      <w:rPr>
        <w:rStyle w:val="25"/>
        <w:rFonts w:hint="default"/>
      </w:rPr>
      <w:tab/>
    </w:r>
    <w:r>
      <w:rPr>
        <w:rStyle w:val="25"/>
        <w:rFonts w:hint="default"/>
      </w:rPr>
      <w:tab/>
    </w:r>
    <w:r>
      <w:rPr>
        <w:rStyle w:val="25"/>
        <w:rFonts w:hint="default"/>
      </w:rPr>
      <w:tab/>
    </w:r>
  </w:p>
  <w:p>
    <w:pPr>
      <w:pStyle w:val="15"/>
      <w:pBdr>
        <w:bottom w:val="none" w:color="auto" w:sz="0" w:space="0"/>
      </w:pBdr>
      <w:spacing w:line="320" w:lineRule="exact"/>
      <w:ind w:firstLine="756" w:firstLineChars="400"/>
      <w:jc w:val="left"/>
    </w:pPr>
    <w:r>
      <w:rPr>
        <w:rStyle w:val="25"/>
        <w:rFonts w:hint="default"/>
        <w:w w:val="90"/>
      </w:rPr>
      <w:t>Beijing International Standard united Certification Co.,Ltd.</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70241"/>
    <w:multiLevelType w:val="singleLevel"/>
    <w:tmpl w:val="A4870241"/>
    <w:lvl w:ilvl="0" w:tentative="0">
      <w:start w:val="2"/>
      <w:numFmt w:val="decimal"/>
      <w:suff w:val="nothing"/>
      <w:lvlText w:val="%1、"/>
      <w:lvlJc w:val="left"/>
    </w:lvl>
  </w:abstractNum>
  <w:abstractNum w:abstractNumId="1">
    <w:nsid w:val="0DB92DEA"/>
    <w:multiLevelType w:val="multilevel"/>
    <w:tmpl w:val="0DB92DEA"/>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425" w:hanging="425"/>
      </w:pPr>
      <w:rPr>
        <w:rFonts w:hint="default" w:ascii="Calibri" w:hAnsi="Calibri" w:cs="Calibri"/>
        <w:sz w:val="32"/>
        <w:szCs w:val="32"/>
      </w:rPr>
    </w:lvl>
    <w:lvl w:ilvl="2" w:tentative="0">
      <w:start w:val="1"/>
      <w:numFmt w:val="decimal"/>
      <w:pStyle w:val="5"/>
      <w:suff w:val="space"/>
      <w:lvlText w:val="%1.%2.%3"/>
      <w:lvlJc w:val="left"/>
      <w:pPr>
        <w:ind w:left="567" w:hanging="567"/>
      </w:pPr>
      <w:rPr>
        <w:rFonts w:hint="eastAsia"/>
      </w:rPr>
    </w:lvl>
    <w:lvl w:ilvl="3" w:tentative="0">
      <w:start w:val="1"/>
      <w:numFmt w:val="decimal"/>
      <w:suff w:val="space"/>
      <w:lvlText w:val="%1.%2.%3.%4"/>
      <w:lvlJc w:val="left"/>
      <w:pPr>
        <w:ind w:left="1418" w:hanging="567"/>
      </w:pPr>
      <w:rPr>
        <w:rFonts w:hint="eastAsia"/>
        <w:b/>
      </w:rPr>
    </w:lvl>
    <w:lvl w:ilvl="4" w:tentative="0">
      <w:start w:val="1"/>
      <w:numFmt w:val="decimal"/>
      <w:suff w:val="space"/>
      <w:lvlText w:val="%1.%2.%3.%4.%5"/>
      <w:lvlJc w:val="left"/>
      <w:pPr>
        <w:ind w:left="2835" w:hanging="709"/>
      </w:pPr>
      <w:rPr>
        <w:rFonts w:hint="eastAsia"/>
      </w:rPr>
    </w:lvl>
    <w:lvl w:ilvl="5" w:tentative="0">
      <w:start w:val="1"/>
      <w:numFmt w:val="decimal"/>
      <w:suff w:val="space"/>
      <w:lvlText w:val="%1.%2.%3.%4.%5.%6"/>
      <w:lvlJc w:val="left"/>
      <w:pPr>
        <w:ind w:left="2693" w:hanging="992"/>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c4ZWJiZGY2YjU2MmRhNjg4NDA1NWJhMzhhZTVmYzcifQ=="/>
  </w:docVars>
  <w:rsids>
    <w:rsidRoot w:val="00000000"/>
    <w:rsid w:val="00693905"/>
    <w:rsid w:val="007B3DAF"/>
    <w:rsid w:val="00DB72B2"/>
    <w:rsid w:val="00ED266B"/>
    <w:rsid w:val="00F43426"/>
    <w:rsid w:val="00F72ABE"/>
    <w:rsid w:val="010E5F91"/>
    <w:rsid w:val="010F4C60"/>
    <w:rsid w:val="01D45074"/>
    <w:rsid w:val="01E3771F"/>
    <w:rsid w:val="024F1167"/>
    <w:rsid w:val="027A5C11"/>
    <w:rsid w:val="028A342A"/>
    <w:rsid w:val="02B74B3F"/>
    <w:rsid w:val="03124185"/>
    <w:rsid w:val="03314A7D"/>
    <w:rsid w:val="036F46BE"/>
    <w:rsid w:val="03833B24"/>
    <w:rsid w:val="03971E0B"/>
    <w:rsid w:val="03BF4DF3"/>
    <w:rsid w:val="03FE7E72"/>
    <w:rsid w:val="04476F14"/>
    <w:rsid w:val="0458744E"/>
    <w:rsid w:val="050D203E"/>
    <w:rsid w:val="050F7AD6"/>
    <w:rsid w:val="0515091E"/>
    <w:rsid w:val="056F513E"/>
    <w:rsid w:val="05F12FC1"/>
    <w:rsid w:val="06276BA1"/>
    <w:rsid w:val="062B104D"/>
    <w:rsid w:val="066575B9"/>
    <w:rsid w:val="071E0BD8"/>
    <w:rsid w:val="071E5396"/>
    <w:rsid w:val="07252F75"/>
    <w:rsid w:val="07511AB9"/>
    <w:rsid w:val="077168B6"/>
    <w:rsid w:val="07760118"/>
    <w:rsid w:val="07DD4098"/>
    <w:rsid w:val="07F268B7"/>
    <w:rsid w:val="08151499"/>
    <w:rsid w:val="08193D3A"/>
    <w:rsid w:val="085F30D4"/>
    <w:rsid w:val="0872572E"/>
    <w:rsid w:val="0875081F"/>
    <w:rsid w:val="08870786"/>
    <w:rsid w:val="08F215E2"/>
    <w:rsid w:val="09296E07"/>
    <w:rsid w:val="09B01C49"/>
    <w:rsid w:val="09E31136"/>
    <w:rsid w:val="09EB1CAA"/>
    <w:rsid w:val="0A165B13"/>
    <w:rsid w:val="0A226B2B"/>
    <w:rsid w:val="0A7372D5"/>
    <w:rsid w:val="0A8F604A"/>
    <w:rsid w:val="0A9E77B1"/>
    <w:rsid w:val="0AAD3E63"/>
    <w:rsid w:val="0ABE51AD"/>
    <w:rsid w:val="0B063520"/>
    <w:rsid w:val="0B2B563D"/>
    <w:rsid w:val="0B59105B"/>
    <w:rsid w:val="0BED6A15"/>
    <w:rsid w:val="0C1A06B5"/>
    <w:rsid w:val="0C361B65"/>
    <w:rsid w:val="0C3B40FC"/>
    <w:rsid w:val="0C4D319C"/>
    <w:rsid w:val="0CE5132C"/>
    <w:rsid w:val="0D0518EE"/>
    <w:rsid w:val="0D086F79"/>
    <w:rsid w:val="0D444194"/>
    <w:rsid w:val="0D4B347F"/>
    <w:rsid w:val="0D570C8A"/>
    <w:rsid w:val="0DBD63B7"/>
    <w:rsid w:val="0DC41218"/>
    <w:rsid w:val="0DDC4A26"/>
    <w:rsid w:val="0DF56EC2"/>
    <w:rsid w:val="0E04283D"/>
    <w:rsid w:val="0E9D5FB7"/>
    <w:rsid w:val="0F033D06"/>
    <w:rsid w:val="0F9C26D4"/>
    <w:rsid w:val="10146BF1"/>
    <w:rsid w:val="104F6DAF"/>
    <w:rsid w:val="107D501B"/>
    <w:rsid w:val="10B27CAD"/>
    <w:rsid w:val="11273C0B"/>
    <w:rsid w:val="115D74E2"/>
    <w:rsid w:val="1174748E"/>
    <w:rsid w:val="11915D99"/>
    <w:rsid w:val="11DE4C1C"/>
    <w:rsid w:val="11EC7CB4"/>
    <w:rsid w:val="120C44D2"/>
    <w:rsid w:val="121C34B5"/>
    <w:rsid w:val="122956EF"/>
    <w:rsid w:val="125C12A9"/>
    <w:rsid w:val="130F1D4C"/>
    <w:rsid w:val="134C3D0E"/>
    <w:rsid w:val="138C3317"/>
    <w:rsid w:val="13A84DED"/>
    <w:rsid w:val="13B66175"/>
    <w:rsid w:val="13ED22A6"/>
    <w:rsid w:val="13FB79B0"/>
    <w:rsid w:val="14013214"/>
    <w:rsid w:val="140B4438"/>
    <w:rsid w:val="14496629"/>
    <w:rsid w:val="1492636B"/>
    <w:rsid w:val="14A062F4"/>
    <w:rsid w:val="154636A6"/>
    <w:rsid w:val="15BC20C7"/>
    <w:rsid w:val="163D703F"/>
    <w:rsid w:val="16A75BB1"/>
    <w:rsid w:val="16D67ED2"/>
    <w:rsid w:val="16E26F0E"/>
    <w:rsid w:val="16F02E90"/>
    <w:rsid w:val="17062B69"/>
    <w:rsid w:val="175C0D34"/>
    <w:rsid w:val="176909E5"/>
    <w:rsid w:val="17961FEA"/>
    <w:rsid w:val="17F81885"/>
    <w:rsid w:val="182164BB"/>
    <w:rsid w:val="18252AF6"/>
    <w:rsid w:val="186C2B10"/>
    <w:rsid w:val="188972CF"/>
    <w:rsid w:val="18B95C0D"/>
    <w:rsid w:val="18D068A4"/>
    <w:rsid w:val="18E915DE"/>
    <w:rsid w:val="18EC7DF4"/>
    <w:rsid w:val="19122210"/>
    <w:rsid w:val="194A1301"/>
    <w:rsid w:val="195576C8"/>
    <w:rsid w:val="19BB3A05"/>
    <w:rsid w:val="19CA1922"/>
    <w:rsid w:val="19CA6AEA"/>
    <w:rsid w:val="1A4A1F1B"/>
    <w:rsid w:val="1AB22DB0"/>
    <w:rsid w:val="1ABC3B36"/>
    <w:rsid w:val="1ADB6CEB"/>
    <w:rsid w:val="1B04548A"/>
    <w:rsid w:val="1B1421E8"/>
    <w:rsid w:val="1B3A1DD3"/>
    <w:rsid w:val="1B522224"/>
    <w:rsid w:val="1BEE6C7E"/>
    <w:rsid w:val="1C4D73A6"/>
    <w:rsid w:val="1C7B7059"/>
    <w:rsid w:val="1C984EA9"/>
    <w:rsid w:val="1CF54D0D"/>
    <w:rsid w:val="1D173593"/>
    <w:rsid w:val="1D5510E6"/>
    <w:rsid w:val="1D8927A9"/>
    <w:rsid w:val="1D8A0989"/>
    <w:rsid w:val="1DAA697C"/>
    <w:rsid w:val="1DBC259A"/>
    <w:rsid w:val="1DFA356D"/>
    <w:rsid w:val="1DFC4614"/>
    <w:rsid w:val="1E57661E"/>
    <w:rsid w:val="1E8D2F4B"/>
    <w:rsid w:val="1ECA6098"/>
    <w:rsid w:val="1F5A25AA"/>
    <w:rsid w:val="1F87166B"/>
    <w:rsid w:val="1FCA614B"/>
    <w:rsid w:val="1FE4312C"/>
    <w:rsid w:val="20093412"/>
    <w:rsid w:val="20221AB6"/>
    <w:rsid w:val="20641CD2"/>
    <w:rsid w:val="206D5617"/>
    <w:rsid w:val="207E2925"/>
    <w:rsid w:val="2088751F"/>
    <w:rsid w:val="209C2F82"/>
    <w:rsid w:val="20D87DD3"/>
    <w:rsid w:val="21333CB9"/>
    <w:rsid w:val="215B5EE3"/>
    <w:rsid w:val="2170552A"/>
    <w:rsid w:val="21725EAA"/>
    <w:rsid w:val="21BD1856"/>
    <w:rsid w:val="21F775B6"/>
    <w:rsid w:val="21FE778F"/>
    <w:rsid w:val="22035D26"/>
    <w:rsid w:val="222511D3"/>
    <w:rsid w:val="222A7E1E"/>
    <w:rsid w:val="22A33E3D"/>
    <w:rsid w:val="230565E6"/>
    <w:rsid w:val="23C53F61"/>
    <w:rsid w:val="24AF1061"/>
    <w:rsid w:val="24BB2A4F"/>
    <w:rsid w:val="2528193B"/>
    <w:rsid w:val="25444A65"/>
    <w:rsid w:val="255B2849"/>
    <w:rsid w:val="264941D1"/>
    <w:rsid w:val="26703415"/>
    <w:rsid w:val="268F7A4C"/>
    <w:rsid w:val="26A21C12"/>
    <w:rsid w:val="26AA3E0B"/>
    <w:rsid w:val="26B137CD"/>
    <w:rsid w:val="26E32CAC"/>
    <w:rsid w:val="27416481"/>
    <w:rsid w:val="27512300"/>
    <w:rsid w:val="27556201"/>
    <w:rsid w:val="276F23A0"/>
    <w:rsid w:val="277F67AF"/>
    <w:rsid w:val="27C231BC"/>
    <w:rsid w:val="280C386E"/>
    <w:rsid w:val="283C5AAF"/>
    <w:rsid w:val="28AC6FA1"/>
    <w:rsid w:val="28AD7F2A"/>
    <w:rsid w:val="290772D8"/>
    <w:rsid w:val="29526A59"/>
    <w:rsid w:val="29991719"/>
    <w:rsid w:val="29DB75AB"/>
    <w:rsid w:val="2A0F693C"/>
    <w:rsid w:val="2A4B79CF"/>
    <w:rsid w:val="2A583BDC"/>
    <w:rsid w:val="2B0C4BC4"/>
    <w:rsid w:val="2B846F6E"/>
    <w:rsid w:val="2BBB1285"/>
    <w:rsid w:val="2BDE2DFD"/>
    <w:rsid w:val="2C015FF7"/>
    <w:rsid w:val="2C1F26D0"/>
    <w:rsid w:val="2C3D292E"/>
    <w:rsid w:val="2C477944"/>
    <w:rsid w:val="2C681735"/>
    <w:rsid w:val="2CB46FDB"/>
    <w:rsid w:val="2CDD7B70"/>
    <w:rsid w:val="2D612F17"/>
    <w:rsid w:val="2DA54E89"/>
    <w:rsid w:val="2DD41160"/>
    <w:rsid w:val="2DFB27B7"/>
    <w:rsid w:val="2E2A0988"/>
    <w:rsid w:val="2EA773C5"/>
    <w:rsid w:val="2EAE5130"/>
    <w:rsid w:val="2ED42FAB"/>
    <w:rsid w:val="2F366741"/>
    <w:rsid w:val="2FD8124B"/>
    <w:rsid w:val="31CE1739"/>
    <w:rsid w:val="325B5177"/>
    <w:rsid w:val="32625B19"/>
    <w:rsid w:val="32F96D37"/>
    <w:rsid w:val="32FA5B66"/>
    <w:rsid w:val="33077788"/>
    <w:rsid w:val="33672B89"/>
    <w:rsid w:val="33803AE5"/>
    <w:rsid w:val="33DA419B"/>
    <w:rsid w:val="33E7097A"/>
    <w:rsid w:val="340D5819"/>
    <w:rsid w:val="34823E1A"/>
    <w:rsid w:val="34C2320E"/>
    <w:rsid w:val="34FD6C4E"/>
    <w:rsid w:val="35027C4E"/>
    <w:rsid w:val="350323C9"/>
    <w:rsid w:val="351F01B0"/>
    <w:rsid w:val="357F7BE6"/>
    <w:rsid w:val="359E5DA6"/>
    <w:rsid w:val="35E05158"/>
    <w:rsid w:val="35FD6528"/>
    <w:rsid w:val="3603329E"/>
    <w:rsid w:val="36292E46"/>
    <w:rsid w:val="36721D93"/>
    <w:rsid w:val="36C67F48"/>
    <w:rsid w:val="36FE6ED4"/>
    <w:rsid w:val="370C0EF6"/>
    <w:rsid w:val="370E2444"/>
    <w:rsid w:val="376E0FA8"/>
    <w:rsid w:val="37A03B9A"/>
    <w:rsid w:val="37DF01D1"/>
    <w:rsid w:val="38871868"/>
    <w:rsid w:val="38C773A4"/>
    <w:rsid w:val="38D65753"/>
    <w:rsid w:val="39021D3D"/>
    <w:rsid w:val="39245C50"/>
    <w:rsid w:val="395C4DB9"/>
    <w:rsid w:val="39622AB9"/>
    <w:rsid w:val="39824704"/>
    <w:rsid w:val="39A15878"/>
    <w:rsid w:val="39AD5135"/>
    <w:rsid w:val="39F545FE"/>
    <w:rsid w:val="3A2A5397"/>
    <w:rsid w:val="3A730B2A"/>
    <w:rsid w:val="3A7733B5"/>
    <w:rsid w:val="3A8F42DA"/>
    <w:rsid w:val="3ACC739E"/>
    <w:rsid w:val="3AF251B7"/>
    <w:rsid w:val="3AFD3559"/>
    <w:rsid w:val="3B085560"/>
    <w:rsid w:val="3B1825C5"/>
    <w:rsid w:val="3B320E51"/>
    <w:rsid w:val="3B8023A1"/>
    <w:rsid w:val="3B8519B2"/>
    <w:rsid w:val="3B874061"/>
    <w:rsid w:val="3C676135"/>
    <w:rsid w:val="3CB60938"/>
    <w:rsid w:val="3CEC76B7"/>
    <w:rsid w:val="3D0E3869"/>
    <w:rsid w:val="3D372831"/>
    <w:rsid w:val="3D586B1B"/>
    <w:rsid w:val="3DE31B82"/>
    <w:rsid w:val="3E200911"/>
    <w:rsid w:val="3EB82705"/>
    <w:rsid w:val="3EC5675F"/>
    <w:rsid w:val="3F767015"/>
    <w:rsid w:val="3FA7773D"/>
    <w:rsid w:val="40543EF5"/>
    <w:rsid w:val="40596711"/>
    <w:rsid w:val="405F7DF3"/>
    <w:rsid w:val="408A5C74"/>
    <w:rsid w:val="40CC02CC"/>
    <w:rsid w:val="40D031F2"/>
    <w:rsid w:val="40D83E9F"/>
    <w:rsid w:val="40E4142D"/>
    <w:rsid w:val="40F362A8"/>
    <w:rsid w:val="41736CE5"/>
    <w:rsid w:val="41982DB7"/>
    <w:rsid w:val="419D4385"/>
    <w:rsid w:val="420F0402"/>
    <w:rsid w:val="42261EF7"/>
    <w:rsid w:val="43126C97"/>
    <w:rsid w:val="431E0008"/>
    <w:rsid w:val="434D13B2"/>
    <w:rsid w:val="437753D5"/>
    <w:rsid w:val="43B70C81"/>
    <w:rsid w:val="44292AD4"/>
    <w:rsid w:val="4469254F"/>
    <w:rsid w:val="44B27C2A"/>
    <w:rsid w:val="451A3510"/>
    <w:rsid w:val="45394FD3"/>
    <w:rsid w:val="46300AAA"/>
    <w:rsid w:val="463E3A7E"/>
    <w:rsid w:val="469B1CAE"/>
    <w:rsid w:val="46AE5FF3"/>
    <w:rsid w:val="46FC77ED"/>
    <w:rsid w:val="47192EA5"/>
    <w:rsid w:val="474D75E2"/>
    <w:rsid w:val="478E4EA1"/>
    <w:rsid w:val="48150E11"/>
    <w:rsid w:val="48212EC4"/>
    <w:rsid w:val="4862186A"/>
    <w:rsid w:val="48A91119"/>
    <w:rsid w:val="48B614A6"/>
    <w:rsid w:val="48CB5056"/>
    <w:rsid w:val="49370AB5"/>
    <w:rsid w:val="4A0C4B1D"/>
    <w:rsid w:val="4B031B7A"/>
    <w:rsid w:val="4BA4167F"/>
    <w:rsid w:val="4BF806A6"/>
    <w:rsid w:val="4C540BEC"/>
    <w:rsid w:val="4C6427BD"/>
    <w:rsid w:val="4C8D6CF7"/>
    <w:rsid w:val="4CE66527"/>
    <w:rsid w:val="4D221E11"/>
    <w:rsid w:val="4D271D07"/>
    <w:rsid w:val="4D4D6563"/>
    <w:rsid w:val="4D7719FF"/>
    <w:rsid w:val="4DC95573"/>
    <w:rsid w:val="4E230FE8"/>
    <w:rsid w:val="4E3C6E2B"/>
    <w:rsid w:val="4E3E4E22"/>
    <w:rsid w:val="4E4832CD"/>
    <w:rsid w:val="4E76224A"/>
    <w:rsid w:val="4E835676"/>
    <w:rsid w:val="4F0F48AA"/>
    <w:rsid w:val="4F395B19"/>
    <w:rsid w:val="4F8326B0"/>
    <w:rsid w:val="4FB9214A"/>
    <w:rsid w:val="4FC5339D"/>
    <w:rsid w:val="4FC66683"/>
    <w:rsid w:val="4FCE6C6A"/>
    <w:rsid w:val="4FD23DCD"/>
    <w:rsid w:val="4FE20E43"/>
    <w:rsid w:val="500B41C6"/>
    <w:rsid w:val="50243E54"/>
    <w:rsid w:val="50425DAA"/>
    <w:rsid w:val="50A713CB"/>
    <w:rsid w:val="50B84E9F"/>
    <w:rsid w:val="513405CC"/>
    <w:rsid w:val="513813F3"/>
    <w:rsid w:val="515A41FC"/>
    <w:rsid w:val="517921CD"/>
    <w:rsid w:val="519B1D3C"/>
    <w:rsid w:val="524D2A61"/>
    <w:rsid w:val="527E73EA"/>
    <w:rsid w:val="52802927"/>
    <w:rsid w:val="528E5686"/>
    <w:rsid w:val="53604C26"/>
    <w:rsid w:val="543904D4"/>
    <w:rsid w:val="54431A0E"/>
    <w:rsid w:val="54552B6D"/>
    <w:rsid w:val="54914C1C"/>
    <w:rsid w:val="54D44AC7"/>
    <w:rsid w:val="552D55B5"/>
    <w:rsid w:val="553F67DC"/>
    <w:rsid w:val="55CE15C1"/>
    <w:rsid w:val="56112655"/>
    <w:rsid w:val="564B5EE6"/>
    <w:rsid w:val="56A42262"/>
    <w:rsid w:val="56B90A6D"/>
    <w:rsid w:val="5711455E"/>
    <w:rsid w:val="57134D7D"/>
    <w:rsid w:val="573A638F"/>
    <w:rsid w:val="57644048"/>
    <w:rsid w:val="57802FAE"/>
    <w:rsid w:val="57B9702B"/>
    <w:rsid w:val="57D07126"/>
    <w:rsid w:val="58260B9B"/>
    <w:rsid w:val="58500DD6"/>
    <w:rsid w:val="5855243C"/>
    <w:rsid w:val="585D3DF0"/>
    <w:rsid w:val="58746F33"/>
    <w:rsid w:val="58CF6491"/>
    <w:rsid w:val="58D108AE"/>
    <w:rsid w:val="58D25A73"/>
    <w:rsid w:val="58D54B9A"/>
    <w:rsid w:val="593C5129"/>
    <w:rsid w:val="599249DD"/>
    <w:rsid w:val="59BE02C8"/>
    <w:rsid w:val="59D624CA"/>
    <w:rsid w:val="5A006A6B"/>
    <w:rsid w:val="5A493ED1"/>
    <w:rsid w:val="5A4A3433"/>
    <w:rsid w:val="5AA804F6"/>
    <w:rsid w:val="5B0B47FB"/>
    <w:rsid w:val="5B4B0AC3"/>
    <w:rsid w:val="5B4F64F7"/>
    <w:rsid w:val="5B8B6DC1"/>
    <w:rsid w:val="5CA0213D"/>
    <w:rsid w:val="5CBB3F00"/>
    <w:rsid w:val="5D156FA2"/>
    <w:rsid w:val="5D551BFA"/>
    <w:rsid w:val="5D595304"/>
    <w:rsid w:val="5D6E0C63"/>
    <w:rsid w:val="5DC900D8"/>
    <w:rsid w:val="5DE977F8"/>
    <w:rsid w:val="5F0F1DD3"/>
    <w:rsid w:val="5F207068"/>
    <w:rsid w:val="5F760B65"/>
    <w:rsid w:val="5FA27792"/>
    <w:rsid w:val="5FF35C58"/>
    <w:rsid w:val="60364859"/>
    <w:rsid w:val="603C0D48"/>
    <w:rsid w:val="605F13F0"/>
    <w:rsid w:val="608A1A55"/>
    <w:rsid w:val="60A1719B"/>
    <w:rsid w:val="60E107EC"/>
    <w:rsid w:val="60E35500"/>
    <w:rsid w:val="6121278F"/>
    <w:rsid w:val="612625AA"/>
    <w:rsid w:val="6148542E"/>
    <w:rsid w:val="61817E3C"/>
    <w:rsid w:val="620F6776"/>
    <w:rsid w:val="62367E65"/>
    <w:rsid w:val="624038C5"/>
    <w:rsid w:val="625A0EC2"/>
    <w:rsid w:val="6265623A"/>
    <w:rsid w:val="628F111D"/>
    <w:rsid w:val="629E1DFA"/>
    <w:rsid w:val="62A86D2A"/>
    <w:rsid w:val="62B23D75"/>
    <w:rsid w:val="62E0271D"/>
    <w:rsid w:val="62EB5301"/>
    <w:rsid w:val="632C14AF"/>
    <w:rsid w:val="6376327D"/>
    <w:rsid w:val="63E65CAD"/>
    <w:rsid w:val="644205E4"/>
    <w:rsid w:val="644D1DFE"/>
    <w:rsid w:val="65364107"/>
    <w:rsid w:val="65DC4836"/>
    <w:rsid w:val="65DF3879"/>
    <w:rsid w:val="660312F1"/>
    <w:rsid w:val="661357A0"/>
    <w:rsid w:val="663917B9"/>
    <w:rsid w:val="663D1963"/>
    <w:rsid w:val="667A086C"/>
    <w:rsid w:val="66F23DA0"/>
    <w:rsid w:val="67591F27"/>
    <w:rsid w:val="67BF5964"/>
    <w:rsid w:val="67ED0162"/>
    <w:rsid w:val="680C1D11"/>
    <w:rsid w:val="68675294"/>
    <w:rsid w:val="688A2780"/>
    <w:rsid w:val="689E3E83"/>
    <w:rsid w:val="68ED24C0"/>
    <w:rsid w:val="691F79AD"/>
    <w:rsid w:val="698334C9"/>
    <w:rsid w:val="698748EB"/>
    <w:rsid w:val="69BF2CF5"/>
    <w:rsid w:val="6A1C1366"/>
    <w:rsid w:val="6A4B2630"/>
    <w:rsid w:val="6AEB0406"/>
    <w:rsid w:val="6B1662A0"/>
    <w:rsid w:val="6B324C90"/>
    <w:rsid w:val="6B8B41F2"/>
    <w:rsid w:val="6B8D6E5D"/>
    <w:rsid w:val="6BDD3E6C"/>
    <w:rsid w:val="6C075B40"/>
    <w:rsid w:val="6C9A762A"/>
    <w:rsid w:val="6C9E7064"/>
    <w:rsid w:val="6CC64A9C"/>
    <w:rsid w:val="6D3D73A6"/>
    <w:rsid w:val="6D5B4ACB"/>
    <w:rsid w:val="6DB55520"/>
    <w:rsid w:val="6DF50BC4"/>
    <w:rsid w:val="6E32632A"/>
    <w:rsid w:val="6E42063C"/>
    <w:rsid w:val="6E7B0286"/>
    <w:rsid w:val="6E83674B"/>
    <w:rsid w:val="6F81410E"/>
    <w:rsid w:val="6FB920DF"/>
    <w:rsid w:val="6FCA1424"/>
    <w:rsid w:val="6FF65CA3"/>
    <w:rsid w:val="70222ADB"/>
    <w:rsid w:val="70323211"/>
    <w:rsid w:val="71277622"/>
    <w:rsid w:val="716B506C"/>
    <w:rsid w:val="71805FEF"/>
    <w:rsid w:val="71840341"/>
    <w:rsid w:val="71C8773D"/>
    <w:rsid w:val="71E940A1"/>
    <w:rsid w:val="7263165D"/>
    <w:rsid w:val="72F8265E"/>
    <w:rsid w:val="73235F29"/>
    <w:rsid w:val="73A823EF"/>
    <w:rsid w:val="74775FC0"/>
    <w:rsid w:val="749414A1"/>
    <w:rsid w:val="75D37D0F"/>
    <w:rsid w:val="76084588"/>
    <w:rsid w:val="76700684"/>
    <w:rsid w:val="76890FEF"/>
    <w:rsid w:val="76B83908"/>
    <w:rsid w:val="76EA4765"/>
    <w:rsid w:val="77197ED0"/>
    <w:rsid w:val="77392219"/>
    <w:rsid w:val="776725CA"/>
    <w:rsid w:val="77AB14FD"/>
    <w:rsid w:val="782B2B2D"/>
    <w:rsid w:val="785D08BC"/>
    <w:rsid w:val="78624DA5"/>
    <w:rsid w:val="78773C75"/>
    <w:rsid w:val="78AB0C68"/>
    <w:rsid w:val="78E328E5"/>
    <w:rsid w:val="79046A88"/>
    <w:rsid w:val="79130FEA"/>
    <w:rsid w:val="79662E86"/>
    <w:rsid w:val="798D2C3E"/>
    <w:rsid w:val="79EA0D2A"/>
    <w:rsid w:val="7A2141E3"/>
    <w:rsid w:val="7A33156C"/>
    <w:rsid w:val="7AC27882"/>
    <w:rsid w:val="7AF83AAC"/>
    <w:rsid w:val="7B011597"/>
    <w:rsid w:val="7B0638C4"/>
    <w:rsid w:val="7B0924ED"/>
    <w:rsid w:val="7B2075DD"/>
    <w:rsid w:val="7B2A00C7"/>
    <w:rsid w:val="7B5D5082"/>
    <w:rsid w:val="7BAB29CC"/>
    <w:rsid w:val="7BD16A01"/>
    <w:rsid w:val="7C3F1BA4"/>
    <w:rsid w:val="7CAA70EF"/>
    <w:rsid w:val="7CD32026"/>
    <w:rsid w:val="7CEB71BA"/>
    <w:rsid w:val="7D87550B"/>
    <w:rsid w:val="7D9C7A9A"/>
    <w:rsid w:val="7DD06F88"/>
    <w:rsid w:val="7DE85FE7"/>
    <w:rsid w:val="7E1167C0"/>
    <w:rsid w:val="7ED21CB4"/>
    <w:rsid w:val="7EF239C6"/>
    <w:rsid w:val="7F754420"/>
    <w:rsid w:val="7F806C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paragraph" w:styleId="5">
    <w:name w:val="heading 3"/>
    <w:basedOn w:val="6"/>
    <w:next w:val="6"/>
    <w:qFormat/>
    <w:uiPriority w:val="0"/>
    <w:pPr>
      <w:keepNext/>
      <w:keepLines/>
      <w:numPr>
        <w:ilvl w:val="2"/>
        <w:numId w:val="1"/>
      </w:numPr>
      <w:spacing w:before="260" w:after="260" w:line="416" w:lineRule="auto"/>
      <w:ind w:leftChars="0"/>
      <w:outlineLvl w:val="2"/>
    </w:pPr>
    <w:rPr>
      <w:b/>
      <w:bCs/>
      <w:kern w:val="0"/>
      <w:sz w:val="30"/>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6">
    <w:name w:val="Block Text"/>
    <w:basedOn w:val="1"/>
    <w:unhideWhenUsed/>
    <w:qFormat/>
    <w:uiPriority w:val="99"/>
    <w:pPr>
      <w:spacing w:after="120" w:afterLines="0" w:afterAutospacing="0"/>
      <w:ind w:left="1440" w:leftChars="700" w:rightChars="700"/>
    </w:pPr>
  </w:style>
  <w:style w:type="paragraph" w:styleId="7">
    <w:name w:val="Body Text"/>
    <w:basedOn w:val="1"/>
    <w:next w:val="8"/>
    <w:qFormat/>
    <w:uiPriority w:val="1"/>
    <w:rPr>
      <w:rFonts w:ascii="宋体" w:hAnsi="宋体" w:eastAsia="宋体" w:cs="宋体"/>
      <w:sz w:val="24"/>
      <w:szCs w:val="24"/>
    </w:rPr>
  </w:style>
  <w:style w:type="paragraph" w:customStyle="1" w:styleId="8">
    <w:name w:val="一级条标题"/>
    <w:basedOn w:val="9"/>
    <w:next w:val="10"/>
    <w:qFormat/>
    <w:uiPriority w:val="0"/>
    <w:pPr>
      <w:spacing w:line="240" w:lineRule="auto"/>
      <w:ind w:left="420"/>
      <w:outlineLvl w:val="2"/>
    </w:pPr>
  </w:style>
  <w:style w:type="paragraph" w:customStyle="1" w:styleId="9">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10">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11">
    <w:name w:val="Body Text Indent"/>
    <w:basedOn w:val="1"/>
    <w:semiHidden/>
    <w:unhideWhenUsed/>
    <w:qFormat/>
    <w:uiPriority w:val="99"/>
    <w:pPr>
      <w:spacing w:after="120"/>
      <w:ind w:left="420" w:leftChars="200"/>
    </w:pPr>
  </w:style>
  <w:style w:type="paragraph" w:styleId="12">
    <w:name w:val="Plain Text"/>
    <w:basedOn w:val="1"/>
    <w:qFormat/>
    <w:uiPriority w:val="0"/>
    <w:rPr>
      <w:rFonts w:ascii="宋体" w:hAnsi="Courier New" w:eastAsiaTheme="minorEastAsia" w:cstheme="minorBidi"/>
    </w:rPr>
  </w:style>
  <w:style w:type="paragraph" w:styleId="13">
    <w:name w:val="Balloon Text"/>
    <w:basedOn w:val="1"/>
    <w:link w:val="24"/>
    <w:semiHidden/>
    <w:unhideWhenUsed/>
    <w:qFormat/>
    <w:uiPriority w:val="99"/>
    <w:rPr>
      <w:sz w:val="18"/>
      <w:szCs w:val="18"/>
    </w:rPr>
  </w:style>
  <w:style w:type="paragraph" w:styleId="14">
    <w:name w:val="footer"/>
    <w:basedOn w:val="1"/>
    <w:link w:val="23"/>
    <w:unhideWhenUsed/>
    <w:qFormat/>
    <w:uiPriority w:val="99"/>
    <w:pPr>
      <w:tabs>
        <w:tab w:val="center" w:pos="4153"/>
        <w:tab w:val="right" w:pos="8306"/>
      </w:tabs>
      <w:snapToGrid w:val="0"/>
      <w:jc w:val="left"/>
    </w:pPr>
    <w:rPr>
      <w:sz w:val="18"/>
      <w:szCs w:val="18"/>
    </w:rPr>
  </w:style>
  <w:style w:type="paragraph" w:styleId="15">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2"/>
    <w:basedOn w:val="1"/>
    <w:qFormat/>
    <w:uiPriority w:val="0"/>
    <w:pPr>
      <w:spacing w:after="120" w:line="480" w:lineRule="auto"/>
    </w:pPr>
    <w:rPr>
      <w:rFonts w:asciiTheme="minorHAnsi" w:hAnsiTheme="minorHAnsi" w:eastAsiaTheme="minorEastAsia" w:cstheme="minorBidi"/>
    </w:rPr>
  </w:style>
  <w:style w:type="paragraph" w:styleId="17">
    <w:name w:val="Body Text First Indent"/>
    <w:basedOn w:val="7"/>
    <w:unhideWhenUsed/>
    <w:qFormat/>
    <w:uiPriority w:val="99"/>
    <w:pPr>
      <w:spacing w:before="100" w:beforeAutospacing="1"/>
      <w:ind w:firstLine="420" w:firstLineChars="100"/>
    </w:pPr>
  </w:style>
  <w:style w:type="paragraph" w:styleId="18">
    <w:name w:val="Body Text First Indent 2"/>
    <w:basedOn w:val="11"/>
    <w:unhideWhenUsed/>
    <w:qFormat/>
    <w:uiPriority w:val="99"/>
    <w:pPr>
      <w:ind w:firstLine="420" w:firstLineChars="200"/>
    </w:pPr>
    <w:rPr>
      <w:szCs w:val="24"/>
    </w:rPr>
  </w:style>
  <w:style w:type="character" w:styleId="21">
    <w:name w:val="Hyperlink"/>
    <w:qFormat/>
    <w:uiPriority w:val="99"/>
    <w:rPr>
      <w:rFonts w:ascii="Times New Roman" w:hAnsi="Times New Roman" w:eastAsia="宋体"/>
      <w:color w:val="auto"/>
      <w:spacing w:val="0"/>
      <w:w w:val="100"/>
      <w:position w:val="0"/>
      <w:sz w:val="21"/>
      <w:u w:val="none"/>
      <w:vertAlign w:val="baseline"/>
    </w:rPr>
  </w:style>
  <w:style w:type="character" w:customStyle="1" w:styleId="22">
    <w:name w:val="页眉 Char"/>
    <w:basedOn w:val="20"/>
    <w:link w:val="15"/>
    <w:qFormat/>
    <w:uiPriority w:val="99"/>
    <w:rPr>
      <w:rFonts w:ascii="Times New Roman" w:hAnsi="Times New Roman" w:eastAsia="宋体" w:cs="Times New Roman"/>
      <w:sz w:val="18"/>
      <w:szCs w:val="18"/>
    </w:rPr>
  </w:style>
  <w:style w:type="character" w:customStyle="1" w:styleId="23">
    <w:name w:val="页脚 Char"/>
    <w:basedOn w:val="20"/>
    <w:link w:val="14"/>
    <w:qFormat/>
    <w:uiPriority w:val="99"/>
    <w:rPr>
      <w:rFonts w:ascii="Times New Roman" w:hAnsi="Times New Roman" w:eastAsia="宋体" w:cs="Times New Roman"/>
      <w:sz w:val="18"/>
      <w:szCs w:val="18"/>
    </w:rPr>
  </w:style>
  <w:style w:type="character" w:customStyle="1" w:styleId="24">
    <w:name w:val="批注框文本 Char"/>
    <w:basedOn w:val="20"/>
    <w:link w:val="13"/>
    <w:semiHidden/>
    <w:qFormat/>
    <w:uiPriority w:val="99"/>
    <w:rPr>
      <w:rFonts w:ascii="Times New Roman" w:hAnsi="Times New Roman" w:eastAsia="宋体" w:cs="Times New Roman"/>
      <w:sz w:val="18"/>
      <w:szCs w:val="18"/>
    </w:rPr>
  </w:style>
  <w:style w:type="character" w:customStyle="1" w:styleId="25">
    <w:name w:val="Char Char1"/>
    <w:qFormat/>
    <w:locked/>
    <w:uiPriority w:val="0"/>
    <w:rPr>
      <w:rFonts w:hint="eastAsia" w:ascii="宋体" w:hAnsi="Courier New" w:eastAsia="宋体"/>
      <w:kern w:val="2"/>
      <w:sz w:val="21"/>
      <w:lang w:val="en-US" w:eastAsia="zh-CN" w:bidi="ar-SA"/>
    </w:rPr>
  </w:style>
  <w:style w:type="paragraph" w:styleId="26">
    <w:name w:val="List Paragraph"/>
    <w:basedOn w:val="1"/>
    <w:unhideWhenUsed/>
    <w:qFormat/>
    <w:uiPriority w:val="99"/>
    <w:pPr>
      <w:ind w:firstLine="420" w:firstLineChars="200"/>
    </w:p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3052</Words>
  <Characters>3388</Characters>
  <Lines>1</Lines>
  <Paragraphs>1</Paragraphs>
  <TotalTime>0</TotalTime>
  <ScaleCrop>false</ScaleCrop>
  <LinksUpToDate>false</LinksUpToDate>
  <CharactersWithSpaces>3444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2022-06-11T01:15:07Z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C56446F1BD5E45F895C56561C9EEC921</vt:lpwstr>
  </property>
</Properties>
</file>