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"/>
        <w:gridCol w:w="810"/>
        <w:gridCol w:w="761"/>
        <w:gridCol w:w="10423"/>
        <w:gridCol w:w="11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566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81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1184" w:type="dxa"/>
            <w:gridSpan w:val="2"/>
            <w:vAlign w:val="center"/>
          </w:tcPr>
          <w:p>
            <w:pPr>
              <w:rPr>
                <w:rFonts w:hint="default" w:eastAsia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受审核部门：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生产部</w:t>
            </w:r>
            <w:r>
              <w:rPr>
                <w:color w:val="auto"/>
                <w:sz w:val="24"/>
                <w:szCs w:val="24"/>
              </w:rPr>
              <w:t xml:space="preserve">        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/>
                <w:color w:val="auto"/>
                <w:sz w:val="24"/>
                <w:szCs w:val="24"/>
              </w:rPr>
              <w:t>陪同人员：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张彩霞</w:t>
            </w:r>
          </w:p>
        </w:tc>
        <w:tc>
          <w:tcPr>
            <w:tcW w:w="1149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566" w:type="dxa"/>
            <w:vMerge w:val="continue"/>
            <w:vAlign w:val="center"/>
          </w:tcPr>
          <w:p/>
        </w:tc>
        <w:tc>
          <w:tcPr>
            <w:tcW w:w="810" w:type="dxa"/>
            <w:vMerge w:val="continue"/>
            <w:vAlign w:val="center"/>
          </w:tcPr>
          <w:p/>
        </w:tc>
        <w:tc>
          <w:tcPr>
            <w:tcW w:w="11184" w:type="dxa"/>
            <w:gridSpan w:val="2"/>
            <w:vAlign w:val="center"/>
          </w:tcPr>
          <w:p>
            <w:pPr>
              <w:spacing w:before="120"/>
              <w:rPr>
                <w:rFonts w:hint="default" w:eastAsia="宋体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审核员：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张磊  蒋文豪</w:t>
            </w:r>
            <w:r>
              <w:rPr>
                <w:color w:val="auto"/>
                <w:sz w:val="24"/>
                <w:szCs w:val="24"/>
              </w:rPr>
              <w:t xml:space="preserve">      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    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/>
                <w:color w:val="auto"/>
                <w:sz w:val="24"/>
                <w:szCs w:val="24"/>
              </w:rPr>
              <w:t>审核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>日期</w:t>
            </w:r>
            <w:r>
              <w:rPr>
                <w:rFonts w:hint="eastAsia"/>
                <w:color w:val="auto"/>
                <w:sz w:val="24"/>
                <w:szCs w:val="24"/>
              </w:rPr>
              <w:t>：</w:t>
            </w:r>
            <w:r>
              <w:rPr>
                <w:rFonts w:hint="eastAsia"/>
                <w:color w:val="auto"/>
                <w:sz w:val="24"/>
                <w:szCs w:val="24"/>
                <w:lang w:val="en-US" w:eastAsia="zh-CN"/>
              </w:rPr>
              <w:t xml:space="preserve">2022.6.10 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566" w:type="dxa"/>
            <w:vMerge w:val="continue"/>
            <w:vAlign w:val="center"/>
          </w:tcPr>
          <w:p/>
        </w:tc>
        <w:tc>
          <w:tcPr>
            <w:tcW w:w="810" w:type="dxa"/>
            <w:vMerge w:val="continue"/>
            <w:vAlign w:val="center"/>
          </w:tcPr>
          <w:p/>
        </w:tc>
        <w:tc>
          <w:tcPr>
            <w:tcW w:w="11184" w:type="dxa"/>
            <w:gridSpan w:val="2"/>
            <w:vAlign w:val="center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审核条款：6.2/7.1.3/7.1.4/8.1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/>
                <w:sz w:val="24"/>
                <w:szCs w:val="24"/>
              </w:rPr>
              <w:t>8.5.1/8.5.2</w:t>
            </w:r>
            <w:r>
              <w:rPr>
                <w:rFonts w:hint="default"/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8.5.4/8.5.5/</w:t>
            </w:r>
            <w:r>
              <w:rPr>
                <w:rFonts w:hint="eastAsia"/>
                <w:sz w:val="24"/>
                <w:szCs w:val="24"/>
              </w:rPr>
              <w:t>8.5.6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/8.3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566" w:type="dxa"/>
          </w:tcPr>
          <w:p>
            <w:pPr>
              <w:rPr>
                <w:color w:val="auto"/>
              </w:rPr>
            </w:pPr>
            <w:r>
              <w:rPr>
                <w:rFonts w:hint="eastAsia" w:ascii="宋体" w:hAnsi="宋体" w:cs="新宋体"/>
                <w:color w:val="auto"/>
                <w:sz w:val="18"/>
                <w:szCs w:val="18"/>
                <w:lang w:val="en-US" w:eastAsia="zh-CN"/>
              </w:rPr>
              <w:t>产品和服务的设计和开发</w:t>
            </w:r>
          </w:p>
        </w:tc>
        <w:tc>
          <w:tcPr>
            <w:tcW w:w="810" w:type="dxa"/>
          </w:tcPr>
          <w:p>
            <w:pPr>
              <w:rPr>
                <w:rFonts w:hint="default"/>
                <w:color w:val="auto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Cs w:val="21"/>
                <w:lang w:val="en-US" w:eastAsia="zh-CN"/>
              </w:rPr>
              <w:t>Q8.3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eastAsia"/>
                <w:color w:val="auto"/>
                <w:lang w:val="en-US" w:eastAsia="zh-CN"/>
              </w:rPr>
            </w:pPr>
          </w:p>
        </w:tc>
        <w:tc>
          <w:tcPr>
            <w:tcW w:w="10423" w:type="dxa"/>
          </w:tcPr>
          <w:p>
            <w:pPr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企业生产同一类型产品，后期依据客户要求尺寸进行切割，无设计研发的责任，不影响其客户满意度，Q8.3不适用</w:t>
            </w:r>
          </w:p>
        </w:tc>
        <w:tc>
          <w:tcPr>
            <w:tcW w:w="1149" w:type="dxa"/>
          </w:tcPr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566" w:type="dxa"/>
            <w:vMerge w:val="restart"/>
          </w:tcPr>
          <w:p>
            <w:pPr>
              <w:rPr>
                <w:rFonts w:hint="eastAsia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质量目标及其实现的策划</w:t>
            </w:r>
          </w:p>
          <w:p/>
        </w:tc>
        <w:tc>
          <w:tcPr>
            <w:tcW w:w="810" w:type="dxa"/>
            <w:vMerge w:val="restart"/>
          </w:tcPr>
          <w:p>
            <w:r>
              <w:rPr>
                <w:rFonts w:hint="eastAsia"/>
                <w:color w:val="000000"/>
                <w:szCs w:val="21"/>
                <w:lang w:val="en-US" w:eastAsia="zh-CN"/>
              </w:rPr>
              <w:t>Q6.2 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r>
              <w:rPr>
                <w:rFonts w:hint="eastAsia"/>
                <w:lang w:val="en-US" w:eastAsia="zh-CN"/>
              </w:rPr>
              <w:t>如：手册第6.2条款、《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质量目标</w:t>
            </w:r>
            <w:r>
              <w:rPr>
                <w:rFonts w:hint="eastAsia"/>
                <w:lang w:val="en-US" w:eastAsia="zh-CN"/>
              </w:rPr>
              <w:t>》、《分解目标》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</w:rPr>
              <w:t>组织建立</w:t>
            </w:r>
            <w:r>
              <w:rPr>
                <w:rFonts w:hint="eastAsia"/>
                <w:vertAlign w:val="baseline"/>
                <w:lang w:val="en-US" w:eastAsia="zh-CN"/>
              </w:rPr>
              <w:t>了与方针一致的文件化的管理</w:t>
            </w:r>
            <w:r>
              <w:rPr>
                <w:rFonts w:hint="eastAsia"/>
                <w:vertAlign w:val="baseline"/>
              </w:rPr>
              <w:t>目标。</w:t>
            </w:r>
            <w:r>
              <w:rPr>
                <w:rFonts w:hint="eastAsia"/>
                <w:vertAlign w:val="baseline"/>
                <w:lang w:eastAsia="zh-CN"/>
              </w:rPr>
              <w:t>为实现总质量目标而建立的各层级质量目标具体、有针对性、可测量并且可实现。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总质量目标实现情况的评价，及其测量方法是：</w:t>
            </w:r>
            <w:r>
              <w:rPr>
                <w:rFonts w:hint="eastAsia"/>
                <w:vertAlign w:val="baseline"/>
                <w:lang w:val="en-US" w:eastAsia="zh-CN"/>
              </w:rPr>
              <w:t>查《质量目标统计(2022第一季度）》</w:t>
            </w:r>
          </w:p>
          <w:tbl>
            <w:tblPr>
              <w:tblStyle w:val="6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14"/>
              <w:gridCol w:w="2513"/>
              <w:gridCol w:w="1350"/>
              <w:gridCol w:w="177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质量</w:t>
                  </w:r>
                  <w:r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  <w:t>目标</w:t>
                  </w:r>
                </w:p>
              </w:tc>
              <w:tc>
                <w:tcPr>
                  <w:tcW w:w="2513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eastAsia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eastAsia="zh-CN"/>
                    </w:rPr>
                    <w:t>计算方法</w:t>
                  </w:r>
                </w:p>
              </w:tc>
              <w:tc>
                <w:tcPr>
                  <w:tcW w:w="1350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/>
                      <w:kern w:val="2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责任部门</w:t>
                  </w:r>
                </w:p>
              </w:tc>
              <w:tc>
                <w:tcPr>
                  <w:tcW w:w="177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/>
                      <w:kern w:val="2"/>
                      <w:szCs w:val="24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kern w:val="2"/>
                      <w:szCs w:val="24"/>
                      <w:lang w:val="en-US" w:eastAsia="zh-CN"/>
                    </w:rPr>
                    <w:t>目标实际完成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2814" w:type="dxa"/>
                  <w:shd w:val="clear" w:color="auto" w:fill="auto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成品一次检验合格率≥98%</w:t>
                  </w:r>
                </w:p>
              </w:tc>
              <w:tc>
                <w:tcPr>
                  <w:tcW w:w="2513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 xml:space="preserve">目标值=（产品一次性合格批数/合格总数）*100%  </w:t>
                  </w:r>
                </w:p>
              </w:tc>
              <w:tc>
                <w:tcPr>
                  <w:tcW w:w="1350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rPr>
                      <w:rFonts w:hint="default" w:ascii="宋体" w:hAnsi="宋体" w:eastAsia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Times New Roman"/>
                      <w:kern w:val="2"/>
                      <w:sz w:val="21"/>
                      <w:szCs w:val="24"/>
                      <w:lang w:val="en-US" w:eastAsia="zh-CN" w:bidi="ar-SA"/>
                    </w:rPr>
                    <w:t>生产部</w:t>
                  </w:r>
                </w:p>
              </w:tc>
              <w:tc>
                <w:tcPr>
                  <w:tcW w:w="1774" w:type="dxa"/>
                  <w:shd w:val="clear" w:color="auto" w:fill="auto"/>
                  <w:vAlign w:val="center"/>
                </w:tcPr>
                <w:p>
                  <w:pPr>
                    <w:keepNext w:val="0"/>
                    <w:keepLines w:val="0"/>
                    <w:suppressLineNumbers w:val="0"/>
                    <w:spacing w:before="0" w:beforeAutospacing="0" w:after="0" w:afterAutospacing="0"/>
                    <w:ind w:left="0" w:right="0"/>
                    <w:jc w:val="center"/>
                    <w:rPr>
                      <w:rFonts w:hint="default" w:ascii="宋体" w:hAnsi="宋体" w:eastAsia="宋体"/>
                      <w:lang w:val="en-US" w:eastAsia="zh-CN"/>
                    </w:rPr>
                  </w:pPr>
                  <w:r>
                    <w:rPr>
                      <w:rFonts w:hint="eastAsia" w:ascii="宋体" w:hAnsi="宋体"/>
                      <w:lang w:val="en-US" w:eastAsia="zh-CN"/>
                    </w:rPr>
                    <w:t>100%</w:t>
                  </w:r>
                </w:p>
              </w:tc>
            </w:tr>
          </w:tbl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val="en-US"/>
              </w:rPr>
            </w:pPr>
            <w:r>
              <w:rPr>
                <w:rFonts w:hint="eastAsia"/>
                <w:vertAlign w:val="baseline"/>
                <w:lang w:val="en-US"/>
              </w:rPr>
              <w:sym w:font="Wingdings" w:char="00FE"/>
            </w:r>
            <w:r>
              <w:rPr>
                <w:rFonts w:hint="eastAsia"/>
                <w:vertAlign w:val="baseline"/>
                <w:lang w:val="en-US"/>
              </w:rPr>
              <w:t>目标</w:t>
            </w:r>
            <w:r>
              <w:rPr>
                <w:rFonts w:hint="eastAsia"/>
                <w:vertAlign w:val="baseline"/>
                <w:lang w:val="en-US" w:eastAsia="zh-CN"/>
              </w:rPr>
              <w:t>已</w:t>
            </w:r>
            <w:r>
              <w:rPr>
                <w:rFonts w:hint="eastAsia"/>
                <w:vertAlign w:val="baseline"/>
                <w:lang w:val="en-US"/>
              </w:rPr>
              <w:t>实现</w:t>
            </w:r>
          </w:p>
          <w:p>
            <w:r>
              <w:rPr>
                <w:rFonts w:hint="eastAsia"/>
                <w:vertAlign w:val="baseline"/>
                <w:lang w:val="en-US"/>
              </w:rPr>
              <w:sym w:font="Wingdings" w:char="00A8"/>
            </w:r>
            <w:r>
              <w:rPr>
                <w:rFonts w:hint="eastAsia"/>
                <w:vertAlign w:val="baseline"/>
                <w:lang w:val="en-US"/>
              </w:rPr>
              <w:t>目标没有实现的，组织在内部及时</w:t>
            </w:r>
            <w:r>
              <w:rPr>
                <w:rFonts w:hint="eastAsia"/>
                <w:vertAlign w:val="baseline"/>
                <w:lang w:val="en-US" w:eastAsia="zh-CN"/>
              </w:rPr>
              <w:t>进行原因分析</w:t>
            </w:r>
            <w:r>
              <w:rPr>
                <w:rFonts w:hint="eastAsia"/>
                <w:vertAlign w:val="baseline"/>
                <w:lang w:val="en-US"/>
              </w:rPr>
              <w:t>并采取了改进措施</w:t>
            </w:r>
            <w:r>
              <w:rPr>
                <w:rFonts w:hint="eastAsia"/>
                <w:vertAlign w:val="baseline"/>
                <w:lang w:eastAsia="zh-CN"/>
              </w:rPr>
              <w:t>。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  <w:vAlign w:val="top"/>
          </w:tcPr>
          <w:p>
            <w:r>
              <w:rPr>
                <w:rFonts w:hint="eastAsia"/>
              </w:rPr>
              <w:t>基础设施</w:t>
            </w:r>
          </w:p>
        </w:tc>
        <w:tc>
          <w:tcPr>
            <w:tcW w:w="810" w:type="dxa"/>
            <w:vMerge w:val="restart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7.1.3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如：手册第7.1条款、《基础设施和工作环境控制记录》、《设备管理制度》、《设备操作规程》</w:t>
            </w:r>
          </w:p>
          <w:p>
            <w:pPr>
              <w:rPr>
                <w:rFonts w:hint="default"/>
                <w:color w:val="000000"/>
                <w:szCs w:val="21"/>
                <w:lang w:val="en-US" w:eastAsia="zh-CN"/>
              </w:rPr>
            </w:pP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锅炉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电梯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压力容器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压力管道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不适用 </w:t>
            </w: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continue"/>
            <w:vAlign w:val="top"/>
          </w:tcPr>
          <w:p/>
        </w:tc>
        <w:tc>
          <w:tcPr>
            <w:tcW w:w="810" w:type="dxa"/>
            <w:vMerge w:val="continue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761" w:type="dxa"/>
            <w:vAlign w:val="top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 基础设施包括：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 xml:space="preserve">办公楼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车间厂房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库房 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生产设备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特种设备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>动力设施</w:t>
            </w:r>
          </w:p>
          <w:p>
            <w:pPr>
              <w:ind w:firstLine="1680" w:firstLineChars="800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试验设备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辅助设施 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查看对设备采购的控制  （暂无）</w:t>
            </w:r>
          </w:p>
          <w:tbl>
            <w:tblPr>
              <w:tblStyle w:val="7"/>
              <w:tblW w:w="8718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17"/>
              <w:gridCol w:w="1560"/>
              <w:gridCol w:w="1911"/>
              <w:gridCol w:w="223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588" w:hRule="atLeast"/>
              </w:trPr>
              <w:tc>
                <w:tcPr>
                  <w:tcW w:w="3017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新采购的设备</w:t>
                  </w:r>
                  <w:r>
                    <w:rPr>
                      <w:rFonts w:hint="eastAsia"/>
                      <w:lang w:val="en-US" w:eastAsia="zh-CN"/>
                    </w:rPr>
                    <w:t>名称/型号</w:t>
                  </w:r>
                </w:p>
              </w:tc>
              <w:tc>
                <w:tcPr>
                  <w:tcW w:w="1560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设备申购单</w:t>
                  </w:r>
                  <w:r>
                    <w:rPr>
                      <w:rFonts w:hint="eastAsia"/>
                      <w:lang w:val="en-US" w:eastAsia="zh-CN"/>
                    </w:rPr>
                    <w:t>号/日期</w:t>
                  </w:r>
                </w:p>
              </w:tc>
              <w:tc>
                <w:tcPr>
                  <w:tcW w:w="1911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设备验收单</w:t>
                  </w:r>
                  <w:r>
                    <w:rPr>
                      <w:rFonts w:hint="eastAsia"/>
                      <w:lang w:val="en-US" w:eastAsia="zh-CN"/>
                    </w:rPr>
                    <w:t>号/日期</w:t>
                  </w:r>
                </w:p>
              </w:tc>
              <w:tc>
                <w:tcPr>
                  <w:tcW w:w="223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设备档案齐全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</w:trPr>
              <w:tc>
                <w:tcPr>
                  <w:tcW w:w="3017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--</w:t>
                  </w:r>
                </w:p>
              </w:tc>
              <w:tc>
                <w:tcPr>
                  <w:tcW w:w="1560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11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223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ascii="Calibri" w:hAnsi="Calibri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齐全  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缺少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3" w:hRule="atLeast"/>
              </w:trPr>
              <w:tc>
                <w:tcPr>
                  <w:tcW w:w="3017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560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11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223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 xml:space="preserve">齐全  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缺少</w:t>
                  </w: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查看对设备维保的控制</w:t>
            </w: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提供了2022年维修保养计划，每季度进行维修保养。</w:t>
            </w:r>
          </w:p>
          <w:tbl>
            <w:tblPr>
              <w:tblStyle w:val="7"/>
              <w:tblW w:w="1019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54"/>
              <w:gridCol w:w="1840"/>
              <w:gridCol w:w="1289"/>
              <w:gridCol w:w="1178"/>
              <w:gridCol w:w="2993"/>
              <w:gridCol w:w="104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854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《设备维保计划》</w:t>
                  </w:r>
                </w:p>
              </w:tc>
              <w:tc>
                <w:tcPr>
                  <w:tcW w:w="184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设备名称</w:t>
                  </w:r>
                </w:p>
              </w:tc>
              <w:tc>
                <w:tcPr>
                  <w:tcW w:w="1289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维保日期</w:t>
                  </w:r>
                </w:p>
              </w:tc>
              <w:tc>
                <w:tcPr>
                  <w:tcW w:w="1178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维保周期</w:t>
                  </w:r>
                </w:p>
              </w:tc>
              <w:tc>
                <w:tcPr>
                  <w:tcW w:w="2993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维保内容</w:t>
                  </w:r>
                </w:p>
              </w:tc>
              <w:tc>
                <w:tcPr>
                  <w:tcW w:w="1045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保养人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854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一级维保记录</w:t>
                  </w:r>
                </w:p>
              </w:tc>
              <w:tc>
                <w:tcPr>
                  <w:tcW w:w="1840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2#塑封机</w:t>
                  </w:r>
                </w:p>
              </w:tc>
              <w:tc>
                <w:tcPr>
                  <w:tcW w:w="1289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2022.1.17</w:t>
                  </w:r>
                </w:p>
              </w:tc>
              <w:tc>
                <w:tcPr>
                  <w:tcW w:w="1178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/>
                      <w:lang w:val="en-US" w:eastAsia="zh-CN"/>
                    </w:rPr>
                  </w:pPr>
                  <w:r>
                    <w:rPr>
                      <w:rFonts w:hint="eastAsia" w:ascii="Calibri" w:hAnsi="Calibri"/>
                      <w:lang w:val="en-US" w:eastAsia="zh-CN"/>
                    </w:rPr>
                    <w:t>季度</w:t>
                  </w:r>
                </w:p>
              </w:tc>
              <w:tc>
                <w:tcPr>
                  <w:tcW w:w="299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更换网带、发热管</w:t>
                  </w:r>
                </w:p>
              </w:tc>
              <w:tc>
                <w:tcPr>
                  <w:tcW w:w="1045" w:type="dxa"/>
                </w:tcPr>
                <w:p>
                  <w:pPr>
                    <w:spacing w:after="0" w:line="240" w:lineRule="auto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吴奇辉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854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一级维保记录</w:t>
                  </w:r>
                </w:p>
              </w:tc>
              <w:tc>
                <w:tcPr>
                  <w:tcW w:w="1840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4#窑炉步进油缸</w:t>
                  </w:r>
                </w:p>
              </w:tc>
              <w:tc>
                <w:tcPr>
                  <w:tcW w:w="1289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2022.2.18</w:t>
                  </w:r>
                </w:p>
              </w:tc>
              <w:tc>
                <w:tcPr>
                  <w:tcW w:w="1178" w:type="dxa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/>
                      <w:lang w:val="en-US" w:eastAsia="zh-CN"/>
                    </w:rPr>
                  </w:pPr>
                  <w:r>
                    <w:rPr>
                      <w:rFonts w:hint="eastAsia" w:ascii="Calibri" w:hAnsi="Calibri"/>
                      <w:lang w:val="en-US" w:eastAsia="zh-CN"/>
                    </w:rPr>
                    <w:t>季度</w:t>
                  </w:r>
                </w:p>
              </w:tc>
              <w:tc>
                <w:tcPr>
                  <w:tcW w:w="299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油缸漏油，更换密封件</w:t>
                  </w:r>
                </w:p>
              </w:tc>
              <w:tc>
                <w:tcPr>
                  <w:tcW w:w="1045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张建强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854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二级维保记录</w:t>
                  </w:r>
                </w:p>
              </w:tc>
              <w:tc>
                <w:tcPr>
                  <w:tcW w:w="1840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lang w:val="en-US" w:eastAsia="zh-CN"/>
                    </w:rPr>
                  </w:pPr>
                </w:p>
              </w:tc>
              <w:tc>
                <w:tcPr>
                  <w:tcW w:w="1289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</w:p>
              </w:tc>
              <w:tc>
                <w:tcPr>
                  <w:tcW w:w="1178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  <w:tc>
                <w:tcPr>
                  <w:tcW w:w="2993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045" w:type="dxa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854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二级维保记录</w:t>
                  </w:r>
                </w:p>
              </w:tc>
              <w:tc>
                <w:tcPr>
                  <w:tcW w:w="1840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289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178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  <w:tc>
                <w:tcPr>
                  <w:tcW w:w="2993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045" w:type="dxa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854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三级维保记录</w:t>
                  </w:r>
                </w:p>
              </w:tc>
              <w:tc>
                <w:tcPr>
                  <w:tcW w:w="1840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289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178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</w:p>
              </w:tc>
              <w:tc>
                <w:tcPr>
                  <w:tcW w:w="2993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045" w:type="dxa"/>
                </w:tcPr>
                <w:p>
                  <w:pPr>
                    <w:spacing w:after="0" w:line="240" w:lineRule="auto"/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854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三级维保记录</w:t>
                  </w:r>
                </w:p>
              </w:tc>
              <w:tc>
                <w:tcPr>
                  <w:tcW w:w="1840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289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178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2993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045" w:type="dxa"/>
                </w:tcPr>
                <w:p>
                  <w:pPr>
                    <w:spacing w:after="0" w:line="240" w:lineRule="auto"/>
                  </w:pP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查看对设备维修的控制</w:t>
            </w:r>
          </w:p>
          <w:tbl>
            <w:tblPr>
              <w:tblStyle w:val="7"/>
              <w:tblW w:w="1019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63"/>
              <w:gridCol w:w="1072"/>
              <w:gridCol w:w="1064"/>
              <w:gridCol w:w="1573"/>
              <w:gridCol w:w="3854"/>
              <w:gridCol w:w="97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63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设备维修记录</w:t>
                  </w:r>
                </w:p>
              </w:tc>
              <w:tc>
                <w:tcPr>
                  <w:tcW w:w="1072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设备名称</w:t>
                  </w:r>
                </w:p>
              </w:tc>
              <w:tc>
                <w:tcPr>
                  <w:tcW w:w="1064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</w:rPr>
                    <w:t>维修日期</w:t>
                  </w:r>
                </w:p>
              </w:tc>
              <w:tc>
                <w:tcPr>
                  <w:tcW w:w="1573" w:type="dxa"/>
                </w:tcPr>
                <w:p>
                  <w:pPr>
                    <w:spacing w:after="0" w:line="240" w:lineRule="auto"/>
                    <w:rPr>
                      <w:rFonts w:ascii="Calibri" w:hAnsi="Calibri"/>
                      <w:highlight w:val="none"/>
                    </w:rPr>
                  </w:pPr>
                  <w:r>
                    <w:rPr>
                      <w:rFonts w:hint="eastAsia" w:ascii="Calibri" w:hAnsi="Calibri"/>
                      <w:highlight w:val="none"/>
                    </w:rPr>
                    <w:t>验收结果</w:t>
                  </w:r>
                </w:p>
              </w:tc>
              <w:tc>
                <w:tcPr>
                  <w:tcW w:w="3854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  <w:r>
                    <w:rPr>
                      <w:rFonts w:hint="eastAsia"/>
                    </w:rPr>
                    <w:t>维</w:t>
                  </w:r>
                  <w:r>
                    <w:rPr>
                      <w:rFonts w:hint="eastAsia"/>
                      <w:lang w:val="en-US" w:eastAsia="zh-CN"/>
                    </w:rPr>
                    <w:t>修</w:t>
                  </w:r>
                  <w:r>
                    <w:rPr>
                      <w:rFonts w:hint="eastAsia"/>
                    </w:rPr>
                    <w:t>内容</w:t>
                  </w:r>
                </w:p>
              </w:tc>
              <w:tc>
                <w:tcPr>
                  <w:tcW w:w="973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维修人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6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生产设备</w:t>
                  </w:r>
                </w:p>
              </w:tc>
              <w:tc>
                <w:tcPr>
                  <w:tcW w:w="1072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2#喂料机</w:t>
                  </w:r>
                </w:p>
              </w:tc>
              <w:tc>
                <w:tcPr>
                  <w:tcW w:w="106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2022.3.19</w:t>
                  </w:r>
                </w:p>
              </w:tc>
              <w:tc>
                <w:tcPr>
                  <w:tcW w:w="1573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</w:rPr>
                    <w:t xml:space="preserve">合格 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>缺少</w:t>
                  </w:r>
                </w:p>
              </w:tc>
              <w:tc>
                <w:tcPr>
                  <w:tcW w:w="385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更换链板销轴</w:t>
                  </w:r>
                </w:p>
              </w:tc>
              <w:tc>
                <w:tcPr>
                  <w:tcW w:w="97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王跃康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6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生产设备</w:t>
                  </w:r>
                </w:p>
              </w:tc>
              <w:tc>
                <w:tcPr>
                  <w:tcW w:w="1072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4#球磨机</w:t>
                  </w:r>
                </w:p>
              </w:tc>
              <w:tc>
                <w:tcPr>
                  <w:tcW w:w="106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2022.4.22</w:t>
                  </w:r>
                </w:p>
              </w:tc>
              <w:tc>
                <w:tcPr>
                  <w:tcW w:w="1573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  <w:highlight w:val="none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</w:rPr>
                    <w:t xml:space="preserve">合格 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>缺少</w:t>
                  </w:r>
                </w:p>
              </w:tc>
              <w:tc>
                <w:tcPr>
                  <w:tcW w:w="385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更换电机</w:t>
                  </w:r>
                </w:p>
              </w:tc>
              <w:tc>
                <w:tcPr>
                  <w:tcW w:w="97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王跃康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63" w:type="dxa"/>
                </w:tcPr>
                <w:p>
                  <w:pPr>
                    <w:spacing w:after="0" w:line="240" w:lineRule="auto"/>
                    <w:rPr>
                      <w:rFonts w:hint="default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生产设备</w:t>
                  </w:r>
                </w:p>
              </w:tc>
              <w:tc>
                <w:tcPr>
                  <w:tcW w:w="1072" w:type="dxa"/>
                </w:tcPr>
                <w:p>
                  <w:pPr>
                    <w:spacing w:after="0" w:line="240" w:lineRule="auto"/>
                    <w:rPr>
                      <w:rFonts w:hint="default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6#红外线机</w:t>
                  </w:r>
                </w:p>
              </w:tc>
              <w:tc>
                <w:tcPr>
                  <w:tcW w:w="1064" w:type="dxa"/>
                </w:tcPr>
                <w:p>
                  <w:pPr>
                    <w:spacing w:after="0" w:line="240" w:lineRule="auto"/>
                    <w:rPr>
                      <w:rFonts w:hint="default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2022.5.9</w:t>
                  </w:r>
                </w:p>
              </w:tc>
              <w:tc>
                <w:tcPr>
                  <w:tcW w:w="1573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 w:cs="Times New Roman"/>
                      <w:kern w:val="2"/>
                      <w:sz w:val="21"/>
                      <w:highlight w:val="none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☑</w:t>
                  </w:r>
                  <w:r>
                    <w:rPr>
                      <w:rFonts w:hint="eastAsia"/>
                      <w:highlight w:val="none"/>
                    </w:rPr>
                    <w:t xml:space="preserve">合格 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>缺少</w:t>
                  </w:r>
                </w:p>
              </w:tc>
              <w:tc>
                <w:tcPr>
                  <w:tcW w:w="3854" w:type="dxa"/>
                </w:tcPr>
                <w:p>
                  <w:pPr>
                    <w:spacing w:after="0" w:line="240" w:lineRule="auto"/>
                    <w:rPr>
                      <w:rFonts w:hint="default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红外线机油管破裂漏油，更换油管</w:t>
                  </w:r>
                </w:p>
              </w:tc>
              <w:tc>
                <w:tcPr>
                  <w:tcW w:w="973" w:type="dxa"/>
                </w:tcPr>
                <w:p>
                  <w:pPr>
                    <w:spacing w:after="0" w:line="240" w:lineRule="auto"/>
                    <w:rPr>
                      <w:rFonts w:hint="default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林振开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63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特种设备</w:t>
                  </w:r>
                </w:p>
              </w:tc>
              <w:tc>
                <w:tcPr>
                  <w:tcW w:w="1072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6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573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  <w:highlight w:val="none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合格 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>缺少</w:t>
                  </w:r>
                </w:p>
              </w:tc>
              <w:tc>
                <w:tcPr>
                  <w:tcW w:w="3854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  <w:tc>
                <w:tcPr>
                  <w:tcW w:w="973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63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特种设备</w:t>
                  </w:r>
                </w:p>
              </w:tc>
              <w:tc>
                <w:tcPr>
                  <w:tcW w:w="1072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64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  <w:tc>
                <w:tcPr>
                  <w:tcW w:w="1573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  <w:highlight w:val="none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合格 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>缺少</w:t>
                  </w:r>
                </w:p>
              </w:tc>
              <w:tc>
                <w:tcPr>
                  <w:tcW w:w="3854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  <w:tc>
                <w:tcPr>
                  <w:tcW w:w="973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63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动设备，备设备</w:t>
                  </w:r>
                </w:p>
              </w:tc>
              <w:tc>
                <w:tcPr>
                  <w:tcW w:w="1072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64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  <w:tc>
                <w:tcPr>
                  <w:tcW w:w="1573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  <w:highlight w:val="none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合格 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>缺少</w:t>
                  </w:r>
                </w:p>
              </w:tc>
              <w:tc>
                <w:tcPr>
                  <w:tcW w:w="3854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  <w:tc>
                <w:tcPr>
                  <w:tcW w:w="973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663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动设备，备设备</w:t>
                  </w:r>
                </w:p>
              </w:tc>
              <w:tc>
                <w:tcPr>
                  <w:tcW w:w="1072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</w:p>
              </w:tc>
              <w:tc>
                <w:tcPr>
                  <w:tcW w:w="1064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  <w:tc>
                <w:tcPr>
                  <w:tcW w:w="1573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  <w:highlight w:val="none"/>
                    </w:rPr>
                  </w:pPr>
                  <w:r>
                    <w:rPr>
                      <w:rFonts w:hint="eastAsia" w:ascii="Calibri" w:hAnsi="Calibri"/>
                      <w:highlight w:val="none"/>
                      <w:lang w:eastAsia="zh-CN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 xml:space="preserve">合格 </w:t>
                  </w:r>
                  <w:r>
                    <w:rPr>
                      <w:rFonts w:ascii="Calibri" w:hAnsi="Calibri"/>
                      <w:highlight w:val="none"/>
                    </w:rPr>
                    <w:t>□</w:t>
                  </w:r>
                  <w:r>
                    <w:rPr>
                      <w:rFonts w:hint="eastAsia"/>
                      <w:highlight w:val="none"/>
                    </w:rPr>
                    <w:t>缺少</w:t>
                  </w:r>
                </w:p>
              </w:tc>
              <w:tc>
                <w:tcPr>
                  <w:tcW w:w="3854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  <w:tc>
                <w:tcPr>
                  <w:tcW w:w="973" w:type="dxa"/>
                </w:tcPr>
                <w:p>
                  <w:pPr>
                    <w:spacing w:after="0" w:line="240" w:lineRule="auto"/>
                    <w:rPr>
                      <w:highlight w:val="none"/>
                    </w:rPr>
                  </w:pPr>
                </w:p>
              </w:tc>
            </w:tr>
          </w:tbl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设备完好情况</w:t>
            </w:r>
          </w:p>
          <w:p>
            <w:pPr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是否发生设备故障引起停产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 w:ascii="Calibri" w:hAnsi="Calibri"/>
                <w:lang w:eastAsia="zh-CN"/>
              </w:rPr>
              <w:sym w:font="Wingdings 2" w:char="0052"/>
            </w:r>
            <w:r>
              <w:rPr>
                <w:rFonts w:hint="eastAsia"/>
              </w:rPr>
              <w:t>未发生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 w:ascii="Calibri" w:hAnsi="Calibri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已发生</w:t>
            </w:r>
          </w:p>
          <w:tbl>
            <w:tblPr>
              <w:tblStyle w:val="7"/>
              <w:tblW w:w="897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979"/>
              <w:gridCol w:w="1363"/>
              <w:gridCol w:w="1817"/>
              <w:gridCol w:w="1920"/>
              <w:gridCol w:w="189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17" w:hRule="atLeast"/>
              </w:trPr>
              <w:tc>
                <w:tcPr>
                  <w:tcW w:w="1979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设备故障引起停产</w:t>
                  </w:r>
                  <w:r>
                    <w:rPr>
                      <w:rFonts w:hint="eastAsia"/>
                      <w:lang w:val="en-US" w:eastAsia="zh-CN"/>
                    </w:rPr>
                    <w:t>描述</w:t>
                  </w:r>
                </w:p>
              </w:tc>
              <w:tc>
                <w:tcPr>
                  <w:tcW w:w="1363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发生日期</w:t>
                  </w:r>
                </w:p>
              </w:tc>
              <w:tc>
                <w:tcPr>
                  <w:tcW w:w="1817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</w:rPr>
                    <w:t>停机时间</w:t>
                  </w:r>
                  <w:r>
                    <w:rPr>
                      <w:rFonts w:hint="eastAsia" w:ascii="Calibri" w:hAnsi="Calibri"/>
                      <w:lang w:eastAsia="zh-CN"/>
                    </w:rPr>
                    <w:t>（</w:t>
                  </w:r>
                  <w:r>
                    <w:rPr>
                      <w:rFonts w:hint="eastAsia" w:ascii="Calibri" w:hAnsi="Calibri"/>
                      <w:lang w:val="en-US" w:eastAsia="zh-CN"/>
                    </w:rPr>
                    <w:t>小时</w:t>
                  </w:r>
                  <w:r>
                    <w:rPr>
                      <w:rFonts w:hint="eastAsia" w:ascii="Calibri" w:hAnsi="Calibri"/>
                      <w:lang w:eastAsia="zh-CN"/>
                    </w:rPr>
                    <w:t>）</w:t>
                  </w:r>
                </w:p>
              </w:tc>
              <w:tc>
                <w:tcPr>
                  <w:tcW w:w="1920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 w:cs="Times New Roman"/>
                      <w:kern w:val="2"/>
                      <w:sz w:val="21"/>
                      <w:lang w:val="en-US" w:eastAsia="zh-CN" w:bidi="ar-SA"/>
                    </w:rPr>
                    <w:t>是否影响产品质量</w:t>
                  </w:r>
                </w:p>
              </w:tc>
              <w:tc>
                <w:tcPr>
                  <w:tcW w:w="1898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 w:cs="Times New Roman"/>
                      <w:kern w:val="2"/>
                      <w:sz w:val="21"/>
                      <w:lang w:val="en-US" w:eastAsia="zh-CN" w:bidi="ar-SA"/>
                    </w:rPr>
                    <w:t>是否影响交付进度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327" w:hRule="atLeast"/>
              </w:trPr>
              <w:tc>
                <w:tcPr>
                  <w:tcW w:w="1979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--</w:t>
                  </w:r>
                </w:p>
              </w:tc>
              <w:tc>
                <w:tcPr>
                  <w:tcW w:w="1363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817" w:type="dxa"/>
                </w:tcPr>
                <w:p>
                  <w:pPr>
                    <w:spacing w:after="0" w:line="240" w:lineRule="auto"/>
                  </w:pPr>
                </w:p>
              </w:tc>
              <w:tc>
                <w:tcPr>
                  <w:tcW w:w="1920" w:type="dxa"/>
                </w:tcPr>
                <w:p>
                  <w:pPr>
                    <w:spacing w:after="0" w:line="240" w:lineRule="auto"/>
                    <w:rPr>
                      <w:rFonts w:hint="eastAsia" w:ascii="Calibri" w:hAnsi="Calibri" w:eastAsia="宋体"/>
                      <w:lang w:eastAsia="zh-CN"/>
                    </w:rPr>
                  </w:pPr>
                </w:p>
              </w:tc>
              <w:tc>
                <w:tcPr>
                  <w:tcW w:w="1898" w:type="dxa"/>
                </w:tcPr>
                <w:p>
                  <w:pPr>
                    <w:spacing w:after="0" w:line="240" w:lineRule="auto"/>
                  </w:pP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特种设备控制</w:t>
            </w:r>
          </w:p>
          <w:p>
            <w:pPr>
              <w:keepNext w:val="0"/>
              <w:keepLines w:val="0"/>
              <w:widowControl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u w:val="none"/>
                <w:vertAlign w:val="baseline"/>
                <w:lang w:val="en-US" w:eastAsia="zh-CN"/>
              </w:rPr>
              <w:t>特种设备种类</w:t>
            </w:r>
            <w:r>
              <w:rPr>
                <w:rFonts w:hint="eastAsia"/>
                <w:vertAlign w:val="baseline"/>
                <w:lang w:val="en-US" w:eastAsia="zh-CN"/>
              </w:rPr>
              <w:t>：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叉车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>行</w:t>
            </w:r>
            <w:r>
              <w:rPr>
                <w:rFonts w:hint="eastAsia"/>
                <w:u w:val="none"/>
                <w:vertAlign w:val="baseline"/>
                <w:lang w:val="en-US" w:eastAsia="zh-CN"/>
              </w:rPr>
              <w:t xml:space="preserve">车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锅炉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电梯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FE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压力容器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压力管道  </w:t>
            </w:r>
            <w:r>
              <w:rPr>
                <w:rFonts w:hint="eastAsia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vertAlign w:val="baseline"/>
                <w:lang w:val="en-US" w:eastAsia="zh-CN"/>
              </w:rPr>
              <w:t xml:space="preserve">不适用  </w:t>
            </w:r>
          </w:p>
          <w:tbl>
            <w:tblPr>
              <w:tblStyle w:val="7"/>
              <w:tblW w:w="903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45"/>
              <w:gridCol w:w="1297"/>
              <w:gridCol w:w="1744"/>
              <w:gridCol w:w="1820"/>
              <w:gridCol w:w="1706"/>
              <w:gridCol w:w="1327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5" w:hRule="atLeast"/>
              </w:trPr>
              <w:tc>
                <w:tcPr>
                  <w:tcW w:w="1145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设备</w:t>
                  </w:r>
                  <w:r>
                    <w:rPr>
                      <w:rFonts w:hint="eastAsia"/>
                      <w:lang w:val="en-US" w:eastAsia="zh-CN"/>
                    </w:rPr>
                    <w:t>名称</w:t>
                  </w:r>
                </w:p>
              </w:tc>
              <w:tc>
                <w:tcPr>
                  <w:tcW w:w="1297" w:type="dxa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编号</w:t>
                  </w:r>
                </w:p>
              </w:tc>
              <w:tc>
                <w:tcPr>
                  <w:tcW w:w="1744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《定期检测报告》编号</w:t>
                  </w:r>
                </w:p>
              </w:tc>
              <w:tc>
                <w:tcPr>
                  <w:tcW w:w="1820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有效期期限</w:t>
                  </w:r>
                </w:p>
              </w:tc>
              <w:tc>
                <w:tcPr>
                  <w:tcW w:w="1706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结论</w:t>
                  </w:r>
                </w:p>
              </w:tc>
              <w:tc>
                <w:tcPr>
                  <w:tcW w:w="1327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《使用登记证》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" w:hRule="atLeast"/>
              </w:trPr>
              <w:tc>
                <w:tcPr>
                  <w:tcW w:w="1145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</w:rPr>
                    <w:t>叉车</w:t>
                  </w:r>
                </w:p>
              </w:tc>
              <w:tc>
                <w:tcPr>
                  <w:tcW w:w="1297" w:type="dxa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  <w:r>
                    <w:rPr>
                      <w:rFonts w:hint="eastAsia"/>
                      <w:u w:val="single"/>
                      <w:lang w:val="en-US" w:eastAsia="zh-CN"/>
                    </w:rPr>
                    <w:t>厂内苏B：H5927</w:t>
                  </w:r>
                  <w:r>
                    <w:rPr>
                      <w:rFonts w:hint="eastAsia"/>
                      <w:u w:val="single"/>
                    </w:rPr>
                    <w:t xml:space="preserve"> </w:t>
                  </w:r>
                </w:p>
              </w:tc>
              <w:tc>
                <w:tcPr>
                  <w:tcW w:w="1744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  <w:lang w:val="en-US" w:eastAsia="zh-CN"/>
                    </w:rPr>
                    <w:t>YX-CD-2021-D-11956</w:t>
                  </w:r>
                  <w:r>
                    <w:rPr>
                      <w:rFonts w:hint="eastAsia"/>
                    </w:rPr>
                    <w:t xml:space="preserve">     </w:t>
                  </w:r>
                </w:p>
              </w:tc>
              <w:tc>
                <w:tcPr>
                  <w:tcW w:w="1820" w:type="dxa"/>
                </w:tcPr>
                <w:p>
                  <w:pPr>
                    <w:spacing w:after="0" w:line="240" w:lineRule="auto"/>
                    <w:rPr>
                      <w:rFonts w:hint="eastAsia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  <w:lang w:val="en-US" w:eastAsia="zh-CN"/>
                    </w:rPr>
                    <w:t>12</w:t>
                  </w:r>
                  <w:r>
                    <w:rPr>
                      <w:rFonts w:hint="eastAsia"/>
                    </w:rPr>
                    <w:t>月  日</w:t>
                  </w:r>
                </w:p>
              </w:tc>
              <w:tc>
                <w:tcPr>
                  <w:tcW w:w="1706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ascii="Calibri" w:hAnsi="Calibri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过期</w:t>
                  </w:r>
                </w:p>
              </w:tc>
              <w:tc>
                <w:tcPr>
                  <w:tcW w:w="1327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ascii="Calibri" w:hAnsi="Calibri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有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  <w:lang w:val="en-US" w:eastAsia="zh-CN"/>
                    </w:rPr>
                    <w:t>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0" w:hRule="atLeast"/>
              </w:trPr>
              <w:tc>
                <w:tcPr>
                  <w:tcW w:w="1145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压力容器</w:t>
                  </w:r>
                </w:p>
              </w:tc>
              <w:tc>
                <w:tcPr>
                  <w:tcW w:w="1297" w:type="dxa"/>
                </w:tcPr>
                <w:p>
                  <w:pPr>
                    <w:spacing w:after="0" w:line="240" w:lineRule="auto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容17苏B23715（21）</w:t>
                  </w:r>
                </w:p>
              </w:tc>
              <w:tc>
                <w:tcPr>
                  <w:tcW w:w="174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</w:p>
              </w:tc>
              <w:tc>
                <w:tcPr>
                  <w:tcW w:w="182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2024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  <w:lang w:val="en-US" w:eastAsia="zh-CN"/>
                    </w:rPr>
                    <w:t>2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  <w:lang w:val="en-US" w:eastAsia="zh-CN"/>
                    </w:rPr>
                    <w:t>5</w:t>
                  </w:r>
                  <w:r>
                    <w:rPr>
                      <w:rFonts w:hint="eastAsia"/>
                    </w:rPr>
                    <w:t xml:space="preserve"> 日</w:t>
                  </w:r>
                </w:p>
              </w:tc>
              <w:tc>
                <w:tcPr>
                  <w:tcW w:w="1706" w:type="dxa"/>
                </w:tcPr>
                <w:p>
                  <w:pPr>
                    <w:spacing w:after="0" w:line="240" w:lineRule="auto"/>
                  </w:pPr>
                  <w:r>
                    <w:rPr>
                      <w:rFonts w:ascii="Calibri" w:hAnsi="Calibri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过期</w:t>
                  </w:r>
                </w:p>
              </w:tc>
              <w:tc>
                <w:tcPr>
                  <w:tcW w:w="1327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ascii="Calibri" w:hAnsi="Calibri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有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  <w:lang w:val="en-US" w:eastAsia="zh-CN"/>
                    </w:rPr>
                    <w:t>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98" w:hRule="atLeast"/>
              </w:trPr>
              <w:tc>
                <w:tcPr>
                  <w:tcW w:w="1145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叉车</w:t>
                  </w:r>
                </w:p>
              </w:tc>
              <w:tc>
                <w:tcPr>
                  <w:tcW w:w="1297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eastAsia"/>
                      <w:u w:val="single"/>
                      <w:lang w:val="en-US" w:eastAsia="zh-CN"/>
                    </w:rPr>
                    <w:t>车11苏B：24918（18）</w:t>
                  </w:r>
                  <w:r>
                    <w:rPr>
                      <w:rFonts w:hint="eastAsia"/>
                      <w:u w:val="single"/>
                    </w:rPr>
                    <w:t xml:space="preserve"> </w:t>
                  </w:r>
                </w:p>
              </w:tc>
              <w:tc>
                <w:tcPr>
                  <w:tcW w:w="1744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</w:p>
              </w:tc>
              <w:tc>
                <w:tcPr>
                  <w:tcW w:w="182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2022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  <w:lang w:val="en-US" w:eastAsia="zh-CN"/>
                    </w:rPr>
                    <w:t>8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  <w:lang w:val="en-US" w:eastAsia="zh-CN"/>
                    </w:rPr>
                    <w:t>17</w:t>
                  </w:r>
                  <w:r>
                    <w:rPr>
                      <w:rFonts w:hint="eastAsia"/>
                    </w:rPr>
                    <w:t>日</w:t>
                  </w:r>
                </w:p>
              </w:tc>
              <w:tc>
                <w:tcPr>
                  <w:tcW w:w="1706" w:type="dxa"/>
                  <w:vAlign w:val="top"/>
                </w:tcPr>
                <w:p>
                  <w:pPr>
                    <w:spacing w:after="0" w:line="240" w:lineRule="auto"/>
                    <w:rPr>
                      <w:rFonts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ascii="Calibri" w:hAnsi="Calibri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过期</w:t>
                  </w:r>
                </w:p>
              </w:tc>
              <w:tc>
                <w:tcPr>
                  <w:tcW w:w="1327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ascii="Calibri" w:hAnsi="Calibri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有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  <w:lang w:val="en-US" w:eastAsia="zh-CN"/>
                    </w:rPr>
                    <w:t>无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4" w:hRule="atLeast"/>
              </w:trPr>
              <w:tc>
                <w:tcPr>
                  <w:tcW w:w="1145" w:type="dxa"/>
                  <w:vAlign w:val="top"/>
                </w:tcPr>
                <w:p>
                  <w:pPr>
                    <w:spacing w:after="0" w:line="240" w:lineRule="auto"/>
                  </w:pPr>
                  <w:r>
                    <w:rPr>
                      <w:rFonts w:hint="eastAsia"/>
                      <w:lang w:val="en-US" w:eastAsia="zh-CN"/>
                    </w:rPr>
                    <w:t>安全阀</w:t>
                  </w:r>
                </w:p>
              </w:tc>
              <w:tc>
                <w:tcPr>
                  <w:tcW w:w="1297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A27W-10T</w:t>
                  </w:r>
                </w:p>
              </w:tc>
              <w:tc>
                <w:tcPr>
                  <w:tcW w:w="1744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YX-AF-2022-04790</w:t>
                  </w:r>
                </w:p>
              </w:tc>
              <w:tc>
                <w:tcPr>
                  <w:tcW w:w="182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2023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  <w:lang w:val="en-US" w:eastAsia="zh-CN"/>
                    </w:rPr>
                    <w:t>4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  <w:lang w:val="en-US" w:eastAsia="zh-CN"/>
                    </w:rPr>
                    <w:t>7</w:t>
                  </w:r>
                  <w:r>
                    <w:rPr>
                      <w:rFonts w:hint="eastAsia"/>
                    </w:rPr>
                    <w:t>日</w:t>
                  </w:r>
                </w:p>
              </w:tc>
              <w:tc>
                <w:tcPr>
                  <w:tcW w:w="1706" w:type="dxa"/>
                  <w:vAlign w:val="top"/>
                </w:tcPr>
                <w:p>
                  <w:pPr>
                    <w:spacing w:after="0" w:line="240" w:lineRule="auto"/>
                  </w:pPr>
                  <w:r>
                    <w:rPr>
                      <w:rFonts w:ascii="Calibri" w:hAnsi="Calibri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过期</w:t>
                  </w:r>
                </w:p>
              </w:tc>
              <w:tc>
                <w:tcPr>
                  <w:tcW w:w="1327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lang w:val="en-US" w:eastAsia="zh-CN" w:bidi="ar-SA"/>
                    </w:rPr>
                  </w:pPr>
                  <w:r>
                    <w:rPr>
                      <w:rFonts w:hint="eastAsia" w:ascii="Calibri" w:hAnsi="Calibri"/>
                      <w:lang w:val="en-US" w:eastAsia="zh-CN"/>
                    </w:rPr>
                    <w:t>--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24" w:hRule="atLeast"/>
              </w:trPr>
              <w:tc>
                <w:tcPr>
                  <w:tcW w:w="1145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安全阀</w:t>
                  </w:r>
                </w:p>
              </w:tc>
              <w:tc>
                <w:tcPr>
                  <w:tcW w:w="1297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A28W-16T</w:t>
                  </w:r>
                </w:p>
              </w:tc>
              <w:tc>
                <w:tcPr>
                  <w:tcW w:w="1744" w:type="dxa"/>
                </w:tcPr>
                <w:p>
                  <w:pPr>
                    <w:spacing w:after="0" w:line="240" w:lineRule="auto"/>
                    <w:rPr>
                      <w:rFonts w:hint="default" w:eastAsia="宋体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YX-AF-2022-04791</w:t>
                  </w:r>
                </w:p>
              </w:tc>
              <w:tc>
                <w:tcPr>
                  <w:tcW w:w="1820" w:type="dxa"/>
                  <w:vAlign w:val="top"/>
                </w:tcPr>
                <w:p>
                  <w:pPr>
                    <w:spacing w:after="0" w:line="240" w:lineRule="auto"/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2023</w:t>
                  </w:r>
                  <w:r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  <w:lang w:val="en-US" w:eastAsia="zh-CN"/>
                    </w:rPr>
                    <w:t>4</w:t>
                  </w:r>
                  <w:r>
                    <w:rPr>
                      <w:rFonts w:hint="eastAsia"/>
                    </w:rPr>
                    <w:t>月</w:t>
                  </w:r>
                  <w:r>
                    <w:rPr>
                      <w:rFonts w:hint="eastAsia"/>
                      <w:lang w:val="en-US" w:eastAsia="zh-CN"/>
                    </w:rPr>
                    <w:t>7</w:t>
                  </w:r>
                  <w:r>
                    <w:rPr>
                      <w:rFonts w:hint="eastAsia"/>
                    </w:rPr>
                    <w:t>日</w:t>
                  </w:r>
                </w:p>
              </w:tc>
              <w:tc>
                <w:tcPr>
                  <w:tcW w:w="1706" w:type="dxa"/>
                  <w:vAlign w:val="top"/>
                </w:tcPr>
                <w:p>
                  <w:pPr>
                    <w:spacing w:after="0" w:line="240" w:lineRule="auto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sym w:font="Wingdings 2" w:char="0052"/>
                  </w:r>
                  <w:r>
                    <w:rPr>
                      <w:rFonts w:hint="eastAsia"/>
                    </w:rPr>
                    <w:t xml:space="preserve">有效  </w:t>
                  </w:r>
                  <w:r>
                    <w:rPr>
                      <w:rFonts w:ascii="Calibri" w:hAnsi="Calibri"/>
                    </w:rPr>
                    <w:t>□</w:t>
                  </w:r>
                  <w:r>
                    <w:rPr>
                      <w:rFonts w:hint="eastAsia"/>
                    </w:rPr>
                    <w:t>过期</w:t>
                  </w:r>
                </w:p>
              </w:tc>
              <w:tc>
                <w:tcPr>
                  <w:tcW w:w="1327" w:type="dxa"/>
                  <w:vAlign w:val="top"/>
                </w:tcPr>
                <w:p>
                  <w:pPr>
                    <w:spacing w:after="0" w:line="240" w:lineRule="auto"/>
                    <w:rPr>
                      <w:rFonts w:hint="default" w:ascii="Calibri" w:hAnsi="Calibri" w:eastAsia="宋体"/>
                      <w:lang w:val="en-US" w:eastAsia="zh-CN"/>
                    </w:rPr>
                  </w:pPr>
                  <w:r>
                    <w:rPr>
                      <w:rFonts w:hint="eastAsia" w:ascii="Calibri" w:hAnsi="Calibri"/>
                      <w:lang w:val="en-US" w:eastAsia="zh-CN"/>
                    </w:rPr>
                    <w:t>--</w:t>
                  </w:r>
                </w:p>
              </w:tc>
            </w:tr>
          </w:tbl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</w:tc>
        <w:tc>
          <w:tcPr>
            <w:tcW w:w="1149" w:type="dxa"/>
            <w:vMerge w:val="continue"/>
          </w:tcPr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过程运行环境</w:t>
            </w:r>
          </w:p>
          <w:p/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7.1.4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vertAlign w:val="baseline"/>
                <w:lang w:val="en-US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《</w:t>
            </w:r>
            <w:r>
              <w:rPr>
                <w:rFonts w:hint="eastAsia"/>
              </w:rPr>
              <w:t>运行控制</w:t>
            </w:r>
            <w:r>
              <w:rPr>
                <w:rFonts w:hint="eastAsia"/>
                <w:lang w:val="en-US" w:eastAsia="zh-CN"/>
              </w:rPr>
              <w:t>程序》、</w:t>
            </w:r>
            <w:r>
              <w:rPr>
                <w:rFonts w:hint="eastAsia"/>
                <w:vertAlign w:val="baseline"/>
                <w:lang w:val="en-US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手册第7.1.4条款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组织确定、提供并维护所需的环境，以运行过程，并获得合格产品和服务。 </w:t>
            </w:r>
          </w:p>
          <w:tbl>
            <w:tblPr>
              <w:tblStyle w:val="7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33"/>
              <w:gridCol w:w="3840"/>
              <w:gridCol w:w="307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2133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过程运行环境因素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控制方法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社会因素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非歧视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安定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非对抗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保障厂区安全稳定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心理因素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减压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预防过度疲劳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稳定情绪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定期进行团建或演练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133" w:type="dxa"/>
                </w:tcPr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t>物理因素</w:t>
                  </w:r>
                </w:p>
              </w:tc>
              <w:tc>
                <w:tcPr>
                  <w:tcW w:w="3840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温度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湿度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照明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空气流通</w:t>
                  </w:r>
                  <w:r>
                    <w:rPr>
                      <w:rFonts w:hint="eastAsia"/>
                      <w:lang w:val="en-US" w:eastAsia="zh-CN"/>
                    </w:rPr>
                    <w:t xml:space="preserve">  </w:t>
                  </w:r>
                </w:p>
                <w:p>
                  <w:pPr>
                    <w:rPr>
                      <w:rFonts w:hint="eastAsia"/>
                      <w:vertAlign w:val="baseline"/>
                    </w:rPr>
                  </w:pP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卫生</w:t>
                  </w:r>
                  <w:r>
                    <w:rPr>
                      <w:rFonts w:hint="eastAsia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</w:rPr>
                    <w:sym w:font="Wingdings" w:char="00FE"/>
                  </w:r>
                  <w:r>
                    <w:rPr>
                      <w:rFonts w:hint="eastAsia"/>
                    </w:rPr>
                    <w:t>噪声等</w:t>
                  </w:r>
                </w:p>
              </w:tc>
              <w:tc>
                <w:tcPr>
                  <w:tcW w:w="3070" w:type="dxa"/>
                </w:tcPr>
                <w:p>
                  <w:pPr>
                    <w:rPr>
                      <w:rFonts w:hint="default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保障生产车间干净卫生，提供照明、降温等劳保用品</w:t>
                  </w:r>
                </w:p>
              </w:tc>
            </w:tr>
          </w:tbl>
          <w:p/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>运行的策划和控制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r>
              <w:rPr>
                <w:rFonts w:hint="eastAsia"/>
                <w:lang w:val="en-US" w:eastAsia="zh-CN"/>
              </w:rPr>
              <w:t>如：</w:t>
            </w:r>
            <w:r>
              <w:rPr>
                <w:rFonts w:hint="eastAsia"/>
                <w:vertAlign w:val="baseline"/>
                <w:lang w:val="en-US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《</w:t>
            </w:r>
            <w:r>
              <w:rPr>
                <w:rFonts w:hint="eastAsia"/>
              </w:rPr>
              <w:t>运行控制</w:t>
            </w:r>
            <w:r>
              <w:rPr>
                <w:rFonts w:hint="eastAsia"/>
                <w:lang w:val="en-US" w:eastAsia="zh-CN"/>
              </w:rPr>
              <w:t>程序》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0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为满足产品和服务提供的要求，所确定的措施，组织通过以下措施对所需的过程进行策划、实施和控制：</w:t>
            </w:r>
          </w:p>
          <w:tbl>
            <w:tblPr>
              <w:tblStyle w:val="7"/>
              <w:tblW w:w="10435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7"/>
              <w:gridCol w:w="1984"/>
              <w:gridCol w:w="5631"/>
              <w:gridCol w:w="189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产品/服务的名称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sz w:val="20"/>
                    </w:rPr>
                    <w:t>高性能轻质玻化陶瓷制品的制造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验证结论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产品和服务的要求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图纸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工艺流程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操作规程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过程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准则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程序文件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作业指导书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restart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产品和服务的接收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准则</w:t>
                  </w:r>
                </w:p>
              </w:tc>
              <w:tc>
                <w:tcPr>
                  <w:tcW w:w="1984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原材料接受标准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原料验收标准</w:t>
                  </w:r>
                </w:p>
              </w:tc>
              <w:tc>
                <w:tcPr>
                  <w:tcW w:w="1893" w:type="dxa"/>
                  <w:vMerge w:val="restart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continue"/>
                </w:tcPr>
                <w:p/>
              </w:tc>
              <w:tc>
                <w:tcPr>
                  <w:tcW w:w="1984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过程产品放行标准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中间体检验标准</w:t>
                  </w:r>
                </w:p>
              </w:tc>
              <w:tc>
                <w:tcPr>
                  <w:tcW w:w="1893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92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  <w:tc>
                <w:tcPr>
                  <w:tcW w:w="1984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成品执行标准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JGJ/T350-2015《保温防火复合板应用技术规程》</w:t>
                  </w:r>
                </w:p>
                <w:p>
                  <w:pP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T/CECS 480-2017《发泡陶瓷保温板应用技术规程》</w:t>
                  </w:r>
                </w:p>
                <w:p>
                  <w:pPr>
                    <w:rPr>
                      <w:rFonts w:hint="default"/>
                      <w:color w:val="auto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auto"/>
                      <w:vertAlign w:val="baseline"/>
                      <w:lang w:val="en-US" w:eastAsia="zh-CN"/>
                    </w:rPr>
                    <w:t>Q/320281ZJ002-2021《ZJ发泡陶瓷保温装饰板外墙外保温系统材料》</w:t>
                  </w:r>
                </w:p>
              </w:tc>
              <w:tc>
                <w:tcPr>
                  <w:tcW w:w="1893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5" w:hRule="atLeast"/>
              </w:trPr>
              <w:tc>
                <w:tcPr>
                  <w:tcW w:w="927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  <w:tc>
                <w:tcPr>
                  <w:tcW w:w="1984" w:type="dxa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服务规范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eastAsia" w:eastAsia="宋体"/>
                      <w:highlight w:val="none"/>
                      <w:lang w:eastAsia="zh-CN"/>
                    </w:rPr>
                  </w:pPr>
                  <w:r>
                    <w:rPr>
                      <w:rFonts w:hint="eastAsia"/>
                      <w:highlight w:val="none"/>
                      <w:lang w:eastAsia="zh-CN"/>
                    </w:rPr>
                    <w:t>——</w:t>
                  </w:r>
                </w:p>
              </w:tc>
              <w:tc>
                <w:tcPr>
                  <w:tcW w:w="1893" w:type="dxa"/>
                  <w:vMerge w:val="continue"/>
                </w:tcPr>
                <w:p>
                  <w:pPr>
                    <w:rPr>
                      <w:rFonts w:hint="eastAsia"/>
                      <w:highlight w:val="none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所需的资源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受过培训的人员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必要的生产设备和工具  </w:t>
                  </w:r>
                </w:p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必要的检测设备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必要的生产和储存场所  </w:t>
                  </w:r>
                </w:p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充足的原材料供应  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sym w:font="Wingdings" w:char="00FE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其他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确定符合产品和服务要求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从原料采购，评审，按销售合同进行生产，能满足要求。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按照准则实施过程控制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企业按照标准进行产品检验。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 w:eastAsia="宋体"/>
                      <w:highlight w:val="none"/>
                      <w:vertAlign w:val="baseline"/>
                      <w:lang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过程已经按策划进行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证据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有原料验收标准、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中间体检验标准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highlight w:val="none"/>
                    </w:rPr>
                    <w:t>产品和服务符合要求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的证据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提供了产品的出厂检验报告和第三方产品检验报告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策划的变更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的控制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目前企业无策划变更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911" w:type="dxa"/>
                  <w:gridSpan w:val="2"/>
                </w:tcPr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lang w:val="en-US" w:eastAsia="zh-CN"/>
                    </w:rPr>
                    <w:t>识别</w:t>
                  </w:r>
                  <w:r>
                    <w:rPr>
                      <w:rFonts w:hint="eastAsia"/>
                      <w:highlight w:val="none"/>
                    </w:rPr>
                    <w:t>外包过程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及控制方法</w:t>
                  </w:r>
                </w:p>
              </w:tc>
              <w:tc>
                <w:tcPr>
                  <w:tcW w:w="5631" w:type="dxa"/>
                </w:tcPr>
                <w:p>
                  <w:pPr>
                    <w:rPr>
                      <w:rFonts w:hint="default" w:eastAsia="宋体"/>
                      <w:highlight w:val="none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  <w:vertAlign w:val="baseline"/>
                      <w:lang w:val="en-US" w:eastAsia="zh-CN"/>
                    </w:rPr>
                    <w:t>--</w:t>
                  </w:r>
                </w:p>
              </w:tc>
              <w:tc>
                <w:tcPr>
                  <w:tcW w:w="1893" w:type="dxa"/>
                </w:tcPr>
                <w:p>
                  <w:pPr>
                    <w:rPr>
                      <w:rFonts w:hint="eastAsia"/>
                      <w:highlight w:val="none"/>
                      <w:vertAlign w:val="baseline"/>
                    </w:rPr>
                  </w:pPr>
                </w:p>
              </w:tc>
            </w:tr>
          </w:tbl>
          <w:p/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生产和服务提供的控制</w:t>
            </w:r>
          </w:p>
          <w:p/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8.5.1 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r>
              <w:rPr>
                <w:rFonts w:hint="eastAsia"/>
                <w:lang w:val="en-US" w:eastAsia="zh-CN"/>
              </w:rPr>
              <w:t>如：《生产和服务提供的控制程序》、《工艺流程图》、《图纸》、《作业指导书》、《操作规程》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组织应在受控条件下进行生产和服务提供。</w:t>
            </w: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产品/服务1：</w:t>
            </w:r>
          </w:p>
          <w:p>
            <w:pPr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查看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highlight w:val="none"/>
                <w:lang w:val="en-US" w:eastAsia="zh-CN"/>
              </w:rPr>
              <w:t>《工艺流程图》、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>《图纸》、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>《操作规程》、《生产计划》：见附件</w:t>
            </w:r>
          </w:p>
          <w:p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配料--球磨--干燥--布料（成型-刮平）--煅烧---切割--检验--成品入库</w:t>
            </w:r>
          </w:p>
          <w:p>
            <w:pPr>
              <w:rPr>
                <w:rFonts w:hint="eastAsia"/>
                <w:highlight w:val="none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抽查《生产操作记录》或《跟工单》等证据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工序1</w:t>
            </w:r>
          </w:p>
          <w:tbl>
            <w:tblPr>
              <w:tblStyle w:val="7"/>
              <w:tblW w:w="10387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5"/>
              <w:gridCol w:w="9132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6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2022.5.27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81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产品名称/批次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sz w:val="20"/>
                    </w:rPr>
                    <w:t>高性能轻质玻化陶瓷制品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93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工序名称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配料--球磨--干燥--布料（成型-刮平）--煅烧---切割--检验--成品入库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859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default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b/>
                      <w:bCs/>
                      <w:kern w:val="2"/>
                      <w:sz w:val="21"/>
                      <w:vertAlign w:val="baseline"/>
                      <w:lang w:val="en-US" w:eastAsia="zh-CN" w:bidi="ar-SA"/>
                    </w:rPr>
                    <w:t>关键特性</w:t>
                  </w: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要求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kern w:val="2"/>
                      <w:sz w:val="21"/>
                      <w:vertAlign w:val="baseline"/>
                      <w:lang w:val="en-US" w:eastAsia="zh-CN" w:bidi="ar-SA"/>
                    </w:rPr>
                    <w:t>配料</w:t>
                  </w:r>
                  <w:r>
                    <w:rPr>
                      <w:rFonts w:hint="eastAsia" w:ascii="宋体" w:hAnsi="宋体" w:eastAsia="宋体" w:cs="宋体"/>
                      <w:kern w:val="2"/>
                      <w:sz w:val="21"/>
                      <w:vertAlign w:val="baseline"/>
                      <w:lang w:val="en-US" w:eastAsia="zh-CN" w:bidi="ar-SA"/>
                    </w:rPr>
                    <w:t>：</w:t>
                  </w:r>
                  <w:r>
                    <w:rPr>
                      <w:rFonts w:hint="eastAsia" w:ascii="宋体" w:hAnsi="宋体" w:cs="宋体"/>
                      <w:kern w:val="2"/>
                      <w:sz w:val="21"/>
                      <w:vertAlign w:val="baseline"/>
                      <w:lang w:val="en-US" w:eastAsia="zh-CN" w:bidi="ar-SA"/>
                    </w:rPr>
                    <w:t>抛光料、熟料、广西白泥、锂长石、方解石、碳化硅、解胶剂</w:t>
                  </w: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等</w:t>
                  </w: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>（具体配方因企业保密要求，不便透露），现场查看有专人核对每种配料的重量。</w:t>
                  </w:r>
                </w:p>
                <w:p>
                  <w:pPr>
                    <w:rPr>
                      <w:rFonts w:hint="default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球磨</w:t>
                  </w:r>
                  <w:r>
                    <w:rPr>
                      <w:rFonts w:hint="eastAsia"/>
                      <w:highlight w:val="none"/>
                      <w:lang w:eastAsia="zh-CN"/>
                    </w:rPr>
                    <w:t>：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球磨时间：18个小时，球磨完成后进行拌料混合，一边搅拌一边用气泵输送到烘箱中</w:t>
                  </w:r>
                </w:p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干燥</w:t>
                  </w:r>
                  <w:r>
                    <w:rPr>
                      <w:rFonts w:hint="eastAsia"/>
                      <w:highlight w:val="none"/>
                      <w:lang w:eastAsia="zh-CN"/>
                    </w:rPr>
                    <w:t>：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监控温度：进口（470℃），出口（70℃），现场有监控显示箱</w:t>
                  </w:r>
                </w:p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布料</w:t>
                  </w:r>
                  <w:r>
                    <w:rPr>
                      <w:rFonts w:hint="eastAsia"/>
                      <w:highlight w:val="none"/>
                      <w:lang w:eastAsia="zh-CN"/>
                    </w:rPr>
                    <w:t>：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布料厚度：5.7—5.8（实际依据客户需求进行调整）</w:t>
                  </w:r>
                </w:p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煅烧</w:t>
                  </w:r>
                  <w:r>
                    <w:rPr>
                      <w:rFonts w:hint="eastAsia"/>
                      <w:highlight w:val="none"/>
                      <w:lang w:eastAsia="zh-CN"/>
                    </w:rPr>
                    <w:t>：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隧道窑烧制周期18小时，温度区间变化详见附件</w:t>
                  </w:r>
                </w:p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切割</w:t>
                  </w:r>
                  <w:r>
                    <w:rPr>
                      <w:rFonts w:hint="eastAsia"/>
                      <w:highlight w:val="none"/>
                      <w:lang w:eastAsia="zh-CN"/>
                    </w:rPr>
                    <w:t>：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依据客户订单</w:t>
                  </w:r>
                </w:p>
                <w:p>
                  <w:pPr>
                    <w:rPr>
                      <w:rFonts w:hint="default" w:eastAsia="宋体"/>
                      <w:highlight w:val="none"/>
                      <w:lang w:val="en-US" w:eastAsia="zh-CN"/>
                    </w:rPr>
                  </w:pPr>
                  <w:r>
                    <w:rPr>
                      <w:rFonts w:hint="eastAsia"/>
                      <w:highlight w:val="none"/>
                    </w:rPr>
                    <w:t>检验</w:t>
                  </w:r>
                  <w:r>
                    <w:rPr>
                      <w:rFonts w:hint="eastAsia"/>
                      <w:highlight w:val="none"/>
                      <w:lang w:eastAsia="zh-CN"/>
                    </w:rPr>
                    <w:t>：</w:t>
                  </w:r>
                  <w:r>
                    <w:rPr>
                      <w:rFonts w:hint="eastAsia"/>
                      <w:highlight w:val="none"/>
                      <w:lang w:val="en-US" w:eastAsia="zh-CN"/>
                    </w:rPr>
                    <w:t>依据企业标准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52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default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实测结果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cs="宋体"/>
                      <w:vertAlign w:val="baseline"/>
                      <w:lang w:val="en-US" w:eastAsia="zh-CN"/>
                    </w:rPr>
                    <w:t>详见图片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53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验证结论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61" w:hRule="atLeast"/>
              </w:trPr>
              <w:tc>
                <w:tcPr>
                  <w:tcW w:w="1255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再次抽样</w:t>
                  </w:r>
                </w:p>
              </w:tc>
              <w:tc>
                <w:tcPr>
                  <w:tcW w:w="9132" w:type="dxa"/>
                </w:tcPr>
                <w:p>
                  <w:pPr>
                    <w:rPr>
                      <w:rFonts w:hint="default"/>
                      <w:color w:val="000000"/>
                      <w:szCs w:val="21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val="en-US" w:eastAsia="zh-CN"/>
                    </w:rPr>
                    <w:t>再抽2022.6.7，5.31的生产记录与以上记录一至。</w:t>
                  </w: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实测结果：</w:t>
            </w:r>
          </w:p>
          <w:p>
            <w:pPr>
              <w:numPr>
                <w:ilvl w:val="0"/>
                <w:numId w:val="1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配料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实际配料种类与参数不便记录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t>球磨</w:t>
            </w:r>
            <w:r>
              <w:rPr>
                <w:rFonts w:hint="eastAsia"/>
                <w:highlight w:val="none"/>
                <w:lang w:eastAsia="zh-CN"/>
              </w:rPr>
              <w:t>：</w:t>
            </w:r>
            <w:r>
              <w:rPr>
                <w:rFonts w:hint="eastAsia"/>
                <w:highlight w:val="none"/>
                <w:lang w:val="en-US" w:eastAsia="zh-CN"/>
              </w:rPr>
              <w:t>球磨时间：18个小时，球磨完成后进行拌料混合，一边搅拌一边用气泵输送到烘箱中，现场查看球磨机使用记录，如图：记录开机日期和取样日期，加料人，针对的产品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eastAsia="宋体"/>
                <w:highlight w:val="none"/>
                <w:lang w:eastAsia="zh-CN"/>
              </w:rPr>
            </w:pPr>
            <w:r>
              <w:rPr>
                <w:rFonts w:hint="eastAsia" w:eastAsia="宋体"/>
                <w:highlight w:val="none"/>
                <w:lang w:eastAsia="zh-CN"/>
              </w:rPr>
              <w:drawing>
                <wp:inline distT="0" distB="0" distL="114300" distR="114300">
                  <wp:extent cx="1874520" cy="2696845"/>
                  <wp:effectExtent l="0" t="0" r="5080" b="8255"/>
                  <wp:docPr id="11" name="图片 11" descr="281a1ab76df30fe60b1e0a4dc2f4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81a1ab76df30fe60b1e0a4dc2f45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7123" r="11584" b="6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26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="宋体"/>
                <w:highlight w:val="none"/>
                <w:lang w:eastAsia="zh-CN"/>
              </w:rPr>
              <w:drawing>
                <wp:inline distT="0" distB="0" distL="114300" distR="114300">
                  <wp:extent cx="2113915" cy="2740660"/>
                  <wp:effectExtent l="0" t="0" r="6985" b="2540"/>
                  <wp:docPr id="12" name="图片 12" descr="823133c0d0ac889f15af3e6eed9e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23133c0d0ac889f15af3e6eed9e7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5703" r="9362" b="14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274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干燥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监控温度：进口（470℃），出口（70℃），现场有监控显示箱，对干燥后的原料进行水分检测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drawing>
                <wp:inline distT="0" distB="0" distL="114300" distR="114300">
                  <wp:extent cx="3345180" cy="2275205"/>
                  <wp:effectExtent l="0" t="0" r="7620" b="10795"/>
                  <wp:docPr id="13" name="图片 13" descr="16e28793aecd5f467037e6b42976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6e28793aecd5f467037e6b4297603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80" cy="227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highlight w:val="none"/>
                <w:lang w:val="en-US" w:eastAsia="zh-CN"/>
              </w:rPr>
              <w:drawing>
                <wp:inline distT="0" distB="0" distL="114300" distR="114300">
                  <wp:extent cx="3119755" cy="2122170"/>
                  <wp:effectExtent l="0" t="0" r="4445" b="11430"/>
                  <wp:docPr id="14" name="图片 14" descr="e657b065eca2b50e425219478889e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657b065eca2b50e425219478889e6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75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布料</w:t>
            </w:r>
            <w:r>
              <w:rPr>
                <w:rFonts w:hint="eastAsia"/>
                <w:highlight w:val="none"/>
                <w:lang w:eastAsia="zh-CN"/>
              </w:rPr>
              <w:t>：</w:t>
            </w:r>
            <w:r>
              <w:rPr>
                <w:rFonts w:hint="eastAsia"/>
                <w:highlight w:val="none"/>
                <w:lang w:val="en-US" w:eastAsia="zh-CN"/>
              </w:rPr>
              <w:t>布料厚度：5.7—5.8cm（实际依据客户需求进行调整）详见交接班记录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default"/>
                <w:highlight w:val="none"/>
                <w:lang w:val="en-US" w:eastAsia="zh-CN"/>
              </w:rPr>
              <w:drawing>
                <wp:inline distT="0" distB="0" distL="114300" distR="114300">
                  <wp:extent cx="2716530" cy="1847215"/>
                  <wp:effectExtent l="0" t="0" r="1270" b="6985"/>
                  <wp:docPr id="15" name="图片 15" descr="80ad8c46adb1b224e4e4a3e69e40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80ad8c46adb1b224e4e4a3e69e409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184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煅烧</w:t>
            </w:r>
            <w:r>
              <w:rPr>
                <w:rFonts w:hint="eastAsia"/>
                <w:highlight w:val="none"/>
                <w:lang w:eastAsia="zh-CN"/>
              </w:rPr>
              <w:t>：</w:t>
            </w:r>
            <w:r>
              <w:rPr>
                <w:rFonts w:hint="eastAsia"/>
                <w:highlight w:val="none"/>
                <w:lang w:val="en-US" w:eastAsia="zh-CN"/>
              </w:rPr>
              <w:t>隧道窑烧制周期18小时，温度区间变化详见附件，生产过程有《隧道窑运行操作记录》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default"/>
                <w:highlight w:val="no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-1696720</wp:posOffset>
                  </wp:positionV>
                  <wp:extent cx="2756535" cy="6100445"/>
                  <wp:effectExtent l="0" t="0" r="8255" b="12065"/>
                  <wp:wrapNone/>
                  <wp:docPr id="16" name="图片 16" descr="2130d0a9b4000ee64004f9d0f939d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130d0a9b4000ee64004f9d0f939d3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755" r="1800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56535" cy="610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default"/>
                <w:highlight w:val="no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1913255</wp:posOffset>
                  </wp:positionH>
                  <wp:positionV relativeFrom="paragraph">
                    <wp:posOffset>-1681480</wp:posOffset>
                  </wp:positionV>
                  <wp:extent cx="2607310" cy="6320790"/>
                  <wp:effectExtent l="0" t="0" r="3810" b="8890"/>
                  <wp:wrapNone/>
                  <wp:docPr id="17" name="图片 17" descr="f41ce09ec38015decba00c0bc594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f41ce09ec38015decba00c0bc5949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7337" r="2768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07310" cy="632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615950</wp:posOffset>
                  </wp:positionV>
                  <wp:extent cx="2616200" cy="1779270"/>
                  <wp:effectExtent l="0" t="0" r="11430" b="0"/>
                  <wp:wrapTopAndBottom/>
                  <wp:docPr id="18" name="图片 18" descr="a8033a709a5bd057b50c20da8e7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8033a709a5bd057b50c20da8e729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16200" cy="1779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highlight w:val="no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3778885</wp:posOffset>
                  </wp:positionH>
                  <wp:positionV relativeFrom="paragraph">
                    <wp:posOffset>586105</wp:posOffset>
                  </wp:positionV>
                  <wp:extent cx="2576195" cy="1751965"/>
                  <wp:effectExtent l="0" t="0" r="635" b="1905"/>
                  <wp:wrapTopAndBottom/>
                  <wp:docPr id="20" name="图片 20" descr="02c25c05c390abc81837d1be6612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02c25c05c390abc81837d1be661282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76195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highlight w:val="none"/>
                <w:lang w:val="en-US" w:eastAsia="zh-CN"/>
              </w:rPr>
              <w:t>车间工作人员记录《窑务车间班组工作记录》和交接班记录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259080</wp:posOffset>
                  </wp:positionV>
                  <wp:extent cx="2646680" cy="1800225"/>
                  <wp:effectExtent l="0" t="0" r="7620" b="3175"/>
                  <wp:wrapTopAndBottom/>
                  <wp:docPr id="19" name="图片 19" descr="b49ffd9204890ad739d908ac9c007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49ffd9204890ad739d908ac9c0079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68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highlight w:val="no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3732530</wp:posOffset>
                  </wp:positionH>
                  <wp:positionV relativeFrom="paragraph">
                    <wp:posOffset>140970</wp:posOffset>
                  </wp:positionV>
                  <wp:extent cx="2802255" cy="1906270"/>
                  <wp:effectExtent l="0" t="0" r="4445" b="11430"/>
                  <wp:wrapTopAndBottom/>
                  <wp:docPr id="21" name="图片 21" descr="a9ff9660eb4357ff80301db7c4ebd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9ff9660eb4357ff80301db7c4ebda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切割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抽2022年6月10号切割订单，检测板1800</w:t>
            </w:r>
            <w:r>
              <w:rPr>
                <w:rFonts w:hint="default" w:ascii="Arial" w:hAnsi="Arial" w:cs="Arial"/>
                <w:highlight w:val="none"/>
                <w:lang w:val="en-US" w:eastAsia="zh-CN"/>
              </w:rPr>
              <w:t>×</w:t>
            </w:r>
            <w:r>
              <w:rPr>
                <w:rFonts w:hint="eastAsia"/>
                <w:highlight w:val="none"/>
                <w:lang w:val="en-US" w:eastAsia="zh-CN"/>
              </w:rPr>
              <w:t>1200</w:t>
            </w:r>
            <w:r>
              <w:rPr>
                <w:rFonts w:hint="default" w:ascii="Arial" w:hAnsi="Arial" w:cs="Arial"/>
                <w:highlight w:val="none"/>
                <w:lang w:val="en-US" w:eastAsia="zh-CN"/>
              </w:rPr>
              <w:t>×</w:t>
            </w:r>
            <w:r>
              <w:rPr>
                <w:rFonts w:hint="eastAsia" w:ascii="Arial" w:hAnsi="Arial" w:cs="Arial"/>
                <w:highlight w:val="none"/>
                <w:lang w:val="en-US" w:eastAsia="zh-CN"/>
              </w:rPr>
              <w:t>1</w:t>
            </w:r>
            <w:r>
              <w:rPr>
                <w:rFonts w:hint="eastAsia"/>
                <w:highlight w:val="none"/>
                <w:lang w:val="en-US" w:eastAsia="zh-CN"/>
              </w:rPr>
              <w:t>35，</w:t>
            </w: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；等等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highlight w:val="none"/>
                <w:vertAlign w:val="superscript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抽2022年1月3号一方陶瓷订单，黑建材300</w:t>
            </w:r>
            <w:r>
              <w:rPr>
                <w:rFonts w:hint="default" w:ascii="Arial" w:hAnsi="Arial" w:cs="Arial"/>
                <w:highlight w:val="none"/>
                <w:lang w:val="en-US" w:eastAsia="zh-CN"/>
              </w:rPr>
              <w:t>×</w:t>
            </w:r>
            <w:r>
              <w:rPr>
                <w:rFonts w:hint="eastAsia"/>
                <w:highlight w:val="none"/>
                <w:lang w:val="en-US" w:eastAsia="zh-CN"/>
              </w:rPr>
              <w:t>300</w:t>
            </w:r>
            <w:r>
              <w:rPr>
                <w:rFonts w:hint="default" w:ascii="Arial" w:hAnsi="Arial" w:cs="Arial"/>
                <w:highlight w:val="none"/>
                <w:lang w:val="en-US" w:eastAsia="zh-CN"/>
              </w:rPr>
              <w:t>×</w:t>
            </w:r>
            <w:r>
              <w:rPr>
                <w:rFonts w:hint="eastAsia"/>
                <w:highlight w:val="none"/>
                <w:lang w:val="en-US" w:eastAsia="zh-CN"/>
              </w:rPr>
              <w:t>45，130m</w:t>
            </w:r>
            <w:r>
              <w:rPr>
                <w:rFonts w:hint="eastAsia"/>
                <w:highlight w:val="none"/>
                <w:vertAlign w:val="superscript"/>
                <w:lang w:val="en-US" w:eastAsia="zh-CN"/>
              </w:rPr>
              <w:t>3</w:t>
            </w:r>
          </w:p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highlight w:val="none"/>
                <w:vertAlign w:val="baseline"/>
                <w:lang w:val="en-US" w:eastAsia="zh-CN"/>
              </w:rPr>
              <w:t>详见附件</w:t>
            </w:r>
          </w:p>
          <w:p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检验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详见质检部Q8.6</w:t>
            </w:r>
          </w:p>
          <w:p>
            <w:pPr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</w:t>
            </w:r>
            <w:r>
              <w:rPr>
                <w:rFonts w:hint="eastAsia"/>
                <w:b/>
                <w:bCs/>
                <w:lang w:val="en-US" w:eastAsia="zh-CN"/>
              </w:rPr>
              <w:t>首件检验</w:t>
            </w:r>
            <w:r>
              <w:rPr>
                <w:rFonts w:hint="eastAsia"/>
                <w:lang w:val="en-US" w:eastAsia="zh-CN"/>
              </w:rPr>
              <w:t>相关记录名称：</w:t>
            </w:r>
            <w:r>
              <w:rPr>
                <w:rFonts w:hint="eastAsia"/>
                <w:u w:val="single"/>
                <w:lang w:val="en-US" w:eastAsia="zh-CN"/>
              </w:rPr>
              <w:t>《                      》（适用时）</w:t>
            </w:r>
          </w:p>
          <w:tbl>
            <w:tblPr>
              <w:tblStyle w:val="7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620"/>
              <w:gridCol w:w="1364"/>
              <w:gridCol w:w="1680"/>
              <w:gridCol w:w="1566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成品名称/批次</w:t>
                  </w:r>
                </w:p>
              </w:tc>
              <w:tc>
                <w:tcPr>
                  <w:tcW w:w="136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抽样时间</w:t>
                  </w:r>
                </w:p>
              </w:tc>
              <w:tc>
                <w:tcPr>
                  <w:tcW w:w="1680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/>
                      <w:bCs/>
                      <w:kern w:val="2"/>
                      <w:sz w:val="21"/>
                      <w:vertAlign w:val="baseline"/>
                      <w:lang w:val="en-US" w:eastAsia="zh-CN" w:bidi="ar-SA"/>
                    </w:rPr>
                    <w:t>关键特性</w:t>
                  </w: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要求</w:t>
                  </w:r>
                </w:p>
              </w:tc>
              <w:tc>
                <w:tcPr>
                  <w:tcW w:w="1566" w:type="dxa"/>
                </w:tcPr>
                <w:p>
                  <w:pPr>
                    <w:rPr>
                      <w:rFonts w:hint="default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实测结果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验证结论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</w:t>
                  </w:r>
                </w:p>
              </w:tc>
              <w:tc>
                <w:tcPr>
                  <w:tcW w:w="1364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80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66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20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364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80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66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color w:val="000000"/>
                      <w:szCs w:val="21"/>
                      <w:lang w:eastAsia="zh-CN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62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364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68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6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46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</w:tbl>
          <w:p>
            <w:pPr>
              <w:rPr>
                <w:rFonts w:hint="eastAsia"/>
                <w:highlight w:val="cyan"/>
              </w:rPr>
            </w:pPr>
          </w:p>
          <w:p>
            <w:pPr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t>查看需要确认的过程控制：煅烧</w:t>
            </w:r>
          </w:p>
          <w:tbl>
            <w:tblPr>
              <w:tblStyle w:val="7"/>
              <w:tblpPr w:leftFromText="180" w:rightFromText="180" w:vertAnchor="text" w:horzAnchor="page" w:tblpX="78" w:tblpY="277"/>
              <w:tblOverlap w:val="never"/>
              <w:tblW w:w="1031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26"/>
              <w:gridCol w:w="652"/>
              <w:gridCol w:w="2350"/>
              <w:gridCol w:w="641"/>
              <w:gridCol w:w="1000"/>
              <w:gridCol w:w="1279"/>
              <w:gridCol w:w="1750"/>
              <w:gridCol w:w="910"/>
              <w:gridCol w:w="1003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26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确认日期</w:t>
                  </w:r>
                </w:p>
              </w:tc>
              <w:tc>
                <w:tcPr>
                  <w:tcW w:w="652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确认过程</w:t>
                  </w:r>
                </w:p>
              </w:tc>
              <w:tc>
                <w:tcPr>
                  <w:tcW w:w="2350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人员确认</w:t>
                  </w:r>
                </w:p>
              </w:tc>
              <w:tc>
                <w:tcPr>
                  <w:tcW w:w="641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b w:val="0"/>
                      <w:bCs w:val="0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设备确认</w:t>
                  </w:r>
                </w:p>
              </w:tc>
              <w:tc>
                <w:tcPr>
                  <w:tcW w:w="1000" w:type="dxa"/>
                </w:tcPr>
                <w:p>
                  <w:pP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原材料</w:t>
                  </w:r>
                </w:p>
                <w:p>
                  <w:pPr>
                    <w:rPr>
                      <w:rFonts w:hint="default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确认</w:t>
                  </w:r>
                </w:p>
              </w:tc>
              <w:tc>
                <w:tcPr>
                  <w:tcW w:w="1279" w:type="dxa"/>
                </w:tcPr>
                <w:p>
                  <w:pP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工艺</w:t>
                  </w:r>
                </w:p>
                <w:p>
                  <w:pPr>
                    <w:rPr>
                      <w:rFonts w:hint="default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确认</w:t>
                  </w:r>
                </w:p>
              </w:tc>
              <w:tc>
                <w:tcPr>
                  <w:tcW w:w="1750" w:type="dxa"/>
                </w:tcPr>
                <w:p>
                  <w:pP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环境</w:t>
                  </w:r>
                </w:p>
                <w:p>
                  <w:pPr>
                    <w:rPr>
                      <w:rFonts w:hint="default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确认</w:t>
                  </w:r>
                </w:p>
              </w:tc>
              <w:tc>
                <w:tcPr>
                  <w:tcW w:w="910" w:type="dxa"/>
                </w:tcPr>
                <w:p>
                  <w:pP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破坏性</w:t>
                  </w:r>
                </w:p>
                <w:p>
                  <w:pPr>
                    <w:rPr>
                      <w:rFonts w:hint="default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试验</w:t>
                  </w:r>
                </w:p>
              </w:tc>
              <w:tc>
                <w:tcPr>
                  <w:tcW w:w="1003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确认结论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26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  <w:t>202</w:t>
                  </w: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1</w:t>
                  </w:r>
                  <w: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  <w:t>.11.5</w:t>
                  </w:r>
                </w:p>
              </w:tc>
              <w:tc>
                <w:tcPr>
                  <w:tcW w:w="652" w:type="dxa"/>
                </w:tcPr>
                <w:p>
                  <w:pP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煅烧过程</w:t>
                  </w:r>
                </w:p>
              </w:tc>
              <w:tc>
                <w:tcPr>
                  <w:tcW w:w="2350" w:type="dxa"/>
                </w:tcPr>
                <w:p>
                  <w:pP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sz w:val="24"/>
                    </w:rPr>
                    <w:t>人员有着多年从事烧结工作经验，有丰富的理论和实际操作技能</w:t>
                  </w:r>
                </w:p>
              </w:tc>
              <w:tc>
                <w:tcPr>
                  <w:tcW w:w="641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窑炉</w:t>
                  </w:r>
                </w:p>
              </w:tc>
              <w:tc>
                <w:tcPr>
                  <w:tcW w:w="1000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宋体" w:hAnsi="宋体" w:cs="宋体"/>
                      <w:kern w:val="2"/>
                      <w:sz w:val="21"/>
                      <w:vertAlign w:val="baseline"/>
                      <w:lang w:val="en-US" w:eastAsia="zh-CN" w:bidi="ar-SA"/>
                    </w:rPr>
                    <w:t>抛光料、熟料、广西白泥、锂长石</w:t>
                  </w:r>
                </w:p>
              </w:tc>
              <w:tc>
                <w:tcPr>
                  <w:tcW w:w="1279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现执行的程序有效，能满足质量控制要求。</w:t>
                  </w:r>
                </w:p>
              </w:tc>
              <w:tc>
                <w:tcPr>
                  <w:tcW w:w="1750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可供生产使用，工作环境安全适宜于生产操作</w:t>
                  </w:r>
                </w:p>
              </w:tc>
              <w:tc>
                <w:tcPr>
                  <w:tcW w:w="910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000000" w:themeColor="text1"/>
                      <w:kern w:val="2"/>
                      <w:sz w:val="21"/>
                      <w:vertAlign w:val="baseline"/>
                      <w:lang w:val="en-US" w:eastAsia="zh-CN" w:bidi="ar-SA"/>
                    </w:rPr>
                    <w:t>--</w:t>
                  </w:r>
                </w:p>
              </w:tc>
              <w:tc>
                <w:tcPr>
                  <w:tcW w:w="1003" w:type="dxa"/>
                </w:tcPr>
                <w:p>
                  <w:pP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szCs w:val="21"/>
                      <w:lang w:eastAsia="zh-CN"/>
                    </w:rPr>
                    <w:sym w:font="Wingdings 2" w:char="0052"/>
                  </w: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 xml:space="preserve">合格 </w:t>
                  </w:r>
                  <w:r>
                    <w:rPr>
                      <w:rFonts w:hint="eastAsia"/>
                      <w:color w:val="000000" w:themeColor="text1"/>
                      <w:szCs w:val="21"/>
                      <w:lang w:eastAsia="zh-CN"/>
                    </w:rPr>
                    <w:t>□</w:t>
                  </w: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不合格</w:t>
                  </w:r>
                </w:p>
              </w:tc>
            </w:tr>
          </w:tbl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</w:t>
            </w:r>
            <w:r>
              <w:rPr>
                <w:rFonts w:hint="eastAsia"/>
                <w:b/>
                <w:bCs/>
                <w:lang w:val="en-US" w:eastAsia="zh-CN"/>
              </w:rPr>
              <w:t>过程确认</w:t>
            </w:r>
            <w:r>
              <w:rPr>
                <w:rFonts w:hint="eastAsia"/>
                <w:lang w:val="en-US" w:eastAsia="zh-CN"/>
              </w:rPr>
              <w:t>相关记录名称：</w:t>
            </w:r>
            <w:r>
              <w:rPr>
                <w:rFonts w:hint="eastAsia"/>
                <w:u w:val="single"/>
                <w:lang w:val="en-US" w:eastAsia="zh-CN"/>
              </w:rPr>
              <w:t>《 特殊过程确认记录    》（适用时）</w:t>
            </w:r>
          </w:p>
          <w:p>
            <w:pPr>
              <w:rPr>
                <w:rFonts w:hint="default"/>
                <w:highlight w:val="cyan"/>
                <w:lang w:val="en-US" w:eastAsia="zh-CN"/>
              </w:rPr>
            </w:pPr>
          </w:p>
          <w:p>
            <w:pPr>
              <w:rPr>
                <w:rFonts w:hint="default" w:eastAsia="宋体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</w:rPr>
              <w:t>采取防范人为错误</w:t>
            </w:r>
            <w:r>
              <w:rPr>
                <w:rFonts w:hint="eastAsia"/>
                <w:highlight w:val="none"/>
                <w:lang w:val="en-US" w:eastAsia="zh-CN"/>
              </w:rPr>
              <w:t>的</w:t>
            </w:r>
            <w:r>
              <w:rPr>
                <w:rFonts w:hint="eastAsia"/>
                <w:highlight w:val="none"/>
              </w:rPr>
              <w:t>措施；</w:t>
            </w:r>
            <w:r>
              <w:rPr>
                <w:rFonts w:hint="eastAsia"/>
                <w:highlight w:val="none"/>
                <w:u w:val="single"/>
                <w:lang w:val="en-US" w:eastAsia="zh-CN"/>
              </w:rPr>
              <w:t xml:space="preserve">                              </w:t>
            </w:r>
          </w:p>
          <w:p>
            <w:pPr>
              <w:rPr>
                <w:rFonts w:hint="eastAsia"/>
                <w:highlight w:val="cyan"/>
                <w:lang w:val="en-US" w:eastAsia="zh-CN"/>
              </w:rPr>
            </w:pPr>
          </w:p>
          <w:p>
            <w:pPr>
              <w:rPr>
                <w:rFonts w:hint="default"/>
                <w:color w:val="000000" w:themeColor="text1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>对于产品行业的运输控制：</w:t>
            </w:r>
          </w:p>
          <w:p>
            <w:pPr>
              <w:rPr>
                <w:rFonts w:hint="default" w:eastAsia="宋体"/>
                <w:color w:val="000000" w:themeColor="text1"/>
                <w:highlight w:val="none"/>
                <w:lang w:val="en-US" w:eastAsia="zh-CN"/>
              </w:rPr>
            </w:pP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sym w:font="Wingdings" w:char="00FE"/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 xml:space="preserve">车辆卫生清洁  </w:t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 xml:space="preserve">不与有毒有害物质混匀  </w:t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>保温车辆的温度</w:t>
            </w:r>
            <w:r>
              <w:rPr>
                <w:rFonts w:hint="eastAsia"/>
                <w:color w:val="000000" w:themeColor="text1"/>
                <w:highlight w:val="none"/>
                <w:u w:val="single"/>
                <w:lang w:val="en-US" w:eastAsia="zh-CN"/>
              </w:rPr>
              <w:t xml:space="preserve">     </w:t>
            </w:r>
            <w:r>
              <w:rPr>
                <w:rFonts w:hint="eastAsia"/>
                <w:color w:val="000000" w:themeColor="text1"/>
                <w:highlight w:val="none"/>
                <w:lang w:val="en-US" w:eastAsia="zh-CN"/>
              </w:rPr>
              <w:t>℃</w:t>
            </w:r>
          </w:p>
          <w:p/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对于危化品行业运输：无</w:t>
            </w:r>
          </w:p>
          <w:p>
            <w:pPr>
              <w:rPr>
                <w:rFonts w:hint="eastAsia"/>
                <w:highlight w:val="none"/>
                <w:lang w:val="en-US" w:eastAsia="zh-CN"/>
              </w:rPr>
            </w:pP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 xml:space="preserve">车辆行驶许可证  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 xml:space="preserve">按照预定路线行驶  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 xml:space="preserve">泄露处理措施 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 xml:space="preserve">火灾处理措施  </w:t>
            </w:r>
            <w:r>
              <w:rPr>
                <w:rFonts w:hint="eastAsia"/>
                <w:highlight w:val="none"/>
                <w:lang w:val="en-US" w:eastAsia="zh-CN"/>
              </w:rPr>
              <w:sym w:font="Wingdings" w:char="00A8"/>
            </w:r>
            <w:r>
              <w:rPr>
                <w:rFonts w:hint="eastAsia"/>
                <w:highlight w:val="none"/>
                <w:lang w:val="en-US" w:eastAsia="zh-CN"/>
              </w:rPr>
              <w:t>其他</w:t>
            </w:r>
          </w:p>
          <w:p>
            <w:pPr>
              <w:rPr>
                <w:rFonts w:hint="default"/>
                <w:highlight w:val="none"/>
                <w:lang w:val="en-US" w:eastAsia="zh-CN"/>
              </w:rPr>
            </w:pPr>
            <w:r>
              <w:rPr>
                <w:rFonts w:hint="eastAsia"/>
                <w:color w:val="auto"/>
                <w:highlight w:val="none"/>
                <w:lang w:val="en-US" w:eastAsia="zh-CN"/>
              </w:rPr>
              <w:t>现场查看设备摆放有操作规程，各岗位人员依照操作规程进行生产，各岗位生产日志记录完善，交接班注意事项记录清楚，生产订单内容各岗位均熟悉。生产现场干净整洁，生产设备完好，少部分员工未能按要求佩戴劳保用品，生产完成的产品表示明确，仓库内成品分类摆放。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10423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查看关键岗位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rPr>
                <w:rFonts w:hint="eastAsia"/>
                <w:lang w:eastAsia="zh-CN"/>
              </w:rPr>
              <w:t>是否按操作要求进行操作。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抽样询问</w:t>
            </w:r>
            <w:r>
              <w:rPr>
                <w:rFonts w:hint="eastAsia"/>
                <w:lang w:eastAsia="zh-CN"/>
              </w:rPr>
              <w:t>关键岗位</w:t>
            </w:r>
            <w:r>
              <w:rPr>
                <w:rFonts w:hint="eastAsia"/>
                <w:lang w:val="en-US" w:eastAsia="zh-CN"/>
              </w:rPr>
              <w:t>人员</w:t>
            </w:r>
            <w:r>
              <w:rPr>
                <w:rFonts w:hint="eastAsia"/>
                <w:lang w:eastAsia="zh-CN"/>
              </w:rPr>
              <w:t>是否</w:t>
            </w:r>
            <w:r>
              <w:rPr>
                <w:rFonts w:hint="eastAsia"/>
                <w:lang w:val="en-US" w:eastAsia="zh-CN"/>
              </w:rPr>
              <w:t>熟悉</w:t>
            </w:r>
            <w:r>
              <w:rPr>
                <w:rFonts w:hint="eastAsia"/>
                <w:lang w:eastAsia="zh-CN"/>
              </w:rPr>
              <w:t>按操作要求。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查看关键岗位</w:t>
            </w:r>
            <w:r>
              <w:rPr>
                <w:rFonts w:hint="eastAsia"/>
                <w:lang w:val="en-US" w:eastAsia="zh-CN"/>
              </w:rPr>
              <w:t>的控制参数</w:t>
            </w:r>
            <w:r>
              <w:rPr>
                <w:rFonts w:hint="eastAsia"/>
                <w:lang w:eastAsia="zh-CN"/>
              </w:rPr>
              <w:t>是否按操作要求进行操作。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查看是否按要求实施了</w:t>
            </w:r>
            <w:r>
              <w:rPr>
                <w:rFonts w:hint="eastAsia"/>
                <w:lang w:val="en-US" w:eastAsia="zh-CN"/>
              </w:rPr>
              <w:t>产品</w:t>
            </w:r>
            <w:r>
              <w:rPr>
                <w:rFonts w:hint="eastAsia"/>
                <w:lang w:eastAsia="zh-CN"/>
              </w:rPr>
              <w:t>标识。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查看是否按要求实施了状态标识。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查看是否使用了</w:t>
            </w:r>
            <w:r>
              <w:rPr>
                <w:rFonts w:hint="eastAsia"/>
                <w:lang w:val="en-US" w:eastAsia="zh-CN"/>
              </w:rPr>
              <w:t>经校准</w:t>
            </w:r>
            <w:r>
              <w:rPr>
                <w:rFonts w:hint="eastAsia"/>
                <w:lang w:eastAsia="zh-CN"/>
              </w:rPr>
              <w:t>的监视测量设备。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查看设备</w:t>
            </w:r>
            <w:r>
              <w:rPr>
                <w:rFonts w:hint="eastAsia"/>
                <w:lang w:val="en-US" w:eastAsia="zh-CN"/>
              </w:rPr>
              <w:t>的完好情况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查看</w:t>
            </w:r>
            <w:r>
              <w:rPr>
                <w:rFonts w:hint="eastAsia"/>
                <w:lang w:val="en-US" w:eastAsia="zh-CN"/>
              </w:rPr>
              <w:t>生产/服务环境情况</w:t>
            </w:r>
            <w:r>
              <w:rPr>
                <w:rFonts w:hint="eastAsia"/>
                <w:lang w:eastAsia="zh-CN"/>
              </w:rPr>
              <w:t>。</w:t>
            </w:r>
            <w:r>
              <w:rPr>
                <w:rFonts w:hint="eastAsia"/>
                <w:lang w:val="en-US" w:eastAsia="zh-CN"/>
              </w:rPr>
              <w:t>符合要求</w:t>
            </w:r>
          </w:p>
          <w:p>
            <w:pP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  <w:t>2022年6月10号上午07：00</w:t>
            </w: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  <w:t>夜班现场照明良好，装卸车辆运输正常，叉车工持证上岗，无乱丢废弃物现象，现场及时清场，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  <w:t>生产现场设备运转正常，员工值班记录无异常。</w:t>
            </w:r>
          </w:p>
          <w:p>
            <w:pPr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504440" cy="1703705"/>
                  <wp:effectExtent l="0" t="0" r="10160" b="10795"/>
                  <wp:docPr id="22" name="图片 22" descr="de2ae1d52bf169ec2ac66c2dfd5f9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e2ae1d52bf169ec2ac66c2dfd5f9c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440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kern w:val="2"/>
                <w:sz w:val="21"/>
                <w:szCs w:val="22"/>
                <w:lang w:val="en-US" w:eastAsia="zh-CN" w:bidi="ar-SA"/>
              </w:rPr>
              <w:drawing>
                <wp:inline distT="0" distB="0" distL="114300" distR="114300">
                  <wp:extent cx="2575560" cy="1751965"/>
                  <wp:effectExtent l="0" t="0" r="2540" b="635"/>
                  <wp:docPr id="23" name="图片 23" descr="b1d7537b3bf254c826b89c6ca37d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b1d7537b3bf254c826b89c6ca37d7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175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>标识和可追溯性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8.5.2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pPr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如：《生产和服务提供的控制程序》或《</w:t>
            </w:r>
            <w:r>
              <w:rPr>
                <w:rFonts w:hint="eastAsia"/>
              </w:rPr>
              <w:t>标识和可追溯性</w:t>
            </w:r>
            <w:r>
              <w:rPr>
                <w:rFonts w:hint="eastAsia"/>
                <w:lang w:val="en-US" w:eastAsia="zh-CN"/>
              </w:rPr>
              <w:t>控制程序》、《产品留样制度》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产品的检验状态标识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待检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待下结论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eastAsia="zh-CN"/>
              </w:rPr>
              <w:t>合格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不合格</w:t>
            </w: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原材料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半成品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成品</w:t>
            </w:r>
            <w:r>
              <w:rPr>
                <w:rFonts w:hint="eastAsia"/>
                <w:lang w:eastAsia="zh-CN"/>
              </w:rPr>
              <w:t>的唯一性标识</w:t>
            </w:r>
            <w:r>
              <w:rPr>
                <w:rFonts w:hint="eastAsia"/>
                <w:lang w:val="en-US" w:eastAsia="zh-CN"/>
              </w:rPr>
              <w:t>方式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容器</w:t>
            </w:r>
            <w:r>
              <w:rPr>
                <w:rFonts w:hint="eastAsia"/>
                <w:lang w:eastAsia="zh-CN"/>
              </w:rPr>
              <w:t>编号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标牌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标签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区域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周装箱的颜色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批</w:t>
            </w:r>
            <w:r>
              <w:rPr>
                <w:rFonts w:hint="eastAsia"/>
                <w:lang w:eastAsia="zh-CN"/>
              </w:rPr>
              <w:t>号</w:t>
            </w:r>
            <w:r>
              <w:rPr>
                <w:rFonts w:hint="eastAsia"/>
                <w:lang w:val="en-US" w:eastAsia="zh-CN"/>
              </w:rPr>
              <w:t xml:space="preserve">打码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条形码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eastAsia="zh-CN"/>
              </w:rPr>
              <w:t>二维码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追溯</w:t>
            </w:r>
            <w:r>
              <w:rPr>
                <w:rFonts w:hint="eastAsia"/>
                <w:lang w:val="en-US" w:eastAsia="zh-CN"/>
              </w:rPr>
              <w:t>原因：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演练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质量事故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顾客投诉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市场抽查不合格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 无，产品检测合格发货，不合格产品均粉碎回炉再利用。</w:t>
            </w:r>
          </w:p>
          <w:tbl>
            <w:tblPr>
              <w:tblStyle w:val="7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20"/>
              <w:gridCol w:w="2557"/>
              <w:gridCol w:w="1228"/>
              <w:gridCol w:w="1145"/>
              <w:gridCol w:w="1264"/>
              <w:gridCol w:w="1145"/>
              <w:gridCol w:w="98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产品批号</w:t>
                  </w:r>
                </w:p>
              </w:tc>
              <w:tc>
                <w:tcPr>
                  <w:tcW w:w="255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不合格简述</w:t>
                  </w:r>
                </w:p>
              </w:tc>
              <w:tc>
                <w:tcPr>
                  <w:tcW w:w="1228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生产记录</w:t>
                  </w:r>
                  <w:r>
                    <w:rPr>
                      <w:rFonts w:hint="eastAsia"/>
                      <w:lang w:val="en-US" w:eastAsia="zh-CN"/>
                    </w:rPr>
                    <w:t>情况</w:t>
                  </w:r>
                </w:p>
              </w:tc>
              <w:tc>
                <w:tcPr>
                  <w:tcW w:w="1145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检验记录</w:t>
                  </w:r>
                  <w:r>
                    <w:rPr>
                      <w:rFonts w:hint="eastAsia"/>
                      <w:lang w:val="en-US" w:eastAsia="zh-CN"/>
                    </w:rPr>
                    <w:t>情况</w:t>
                  </w:r>
                </w:p>
              </w:tc>
              <w:tc>
                <w:tcPr>
                  <w:tcW w:w="126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采购记录</w:t>
                  </w:r>
                  <w:r>
                    <w:rPr>
                      <w:rFonts w:hint="eastAsia"/>
                      <w:lang w:val="en-US" w:eastAsia="zh-CN"/>
                    </w:rPr>
                    <w:t>情况</w:t>
                  </w:r>
                </w:p>
              </w:tc>
              <w:tc>
                <w:tcPr>
                  <w:tcW w:w="1145" w:type="dxa"/>
                </w:tcPr>
                <w:p>
                  <w:pPr>
                    <w:rPr>
                      <w:rFonts w:hint="default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产品留样</w:t>
                  </w:r>
                  <w:r>
                    <w:rPr>
                      <w:rFonts w:hint="eastAsia"/>
                      <w:lang w:val="en-US" w:eastAsia="zh-CN"/>
                    </w:rPr>
                    <w:t>确认</w:t>
                  </w:r>
                </w:p>
              </w:tc>
              <w:tc>
                <w:tcPr>
                  <w:tcW w:w="98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default"/>
                      <w:lang w:val="en-US" w:eastAsia="zh-CN"/>
                    </w:rPr>
                    <w:t>销售记录</w:t>
                  </w:r>
                  <w:r>
                    <w:rPr>
                      <w:rFonts w:hint="eastAsia"/>
                      <w:lang w:val="en-US" w:eastAsia="zh-CN"/>
                    </w:rPr>
                    <w:t>追踪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720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55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</w:t>
                  </w:r>
                </w:p>
              </w:tc>
              <w:tc>
                <w:tcPr>
                  <w:tcW w:w="1228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14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6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145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984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产品留样（适用时）</w:t>
            </w:r>
          </w:p>
          <w:p>
            <w:pPr>
              <w:rPr>
                <w:rFonts w:hint="eastAsia"/>
                <w:color w:val="000000" w:themeColor="text1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</w:rPr>
              <w:t>抽查产品留样记录：</w:t>
            </w:r>
          </w:p>
          <w:tbl>
            <w:tblPr>
              <w:tblStyle w:val="7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808"/>
              <w:gridCol w:w="1808"/>
              <w:gridCol w:w="1809"/>
              <w:gridCol w:w="1809"/>
              <w:gridCol w:w="1809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08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产品名称</w:t>
                  </w:r>
                </w:p>
              </w:tc>
              <w:tc>
                <w:tcPr>
                  <w:tcW w:w="1808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规格</w:t>
                  </w: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生产日期</w:t>
                  </w: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保存期限</w:t>
                  </w: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000000" w:themeColor="text1"/>
                      <w:vertAlign w:val="baseline"/>
                      <w:lang w:val="en-US" w:eastAsia="zh-CN"/>
                    </w:rPr>
                    <w:t>保存状态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08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8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808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8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9" w:type="dxa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9" w:type="dxa"/>
                  <w:vAlign w:val="top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809" w:type="dxa"/>
                  <w:vAlign w:val="top"/>
                </w:tcPr>
                <w:p>
                  <w:pPr>
                    <w:rPr>
                      <w:rFonts w:hint="default"/>
                      <w:color w:val="000000" w:themeColor="text1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default"/>
                <w:lang w:val="en-US" w:eastAsia="zh-CN"/>
              </w:rPr>
            </w:pP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10423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在生产或服务场所对原材料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在生产或服务场所对半成品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在生产或服务场所对成品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 xml:space="preserve">标识情况：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在原材料库房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在半成品库房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>标识情况：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在成品库房</w:t>
            </w:r>
            <w:r>
              <w:rPr>
                <w:rFonts w:hint="eastAsia"/>
              </w:rPr>
              <w:t>的</w:t>
            </w:r>
            <w:r>
              <w:rPr>
                <w:rFonts w:hint="eastAsia"/>
                <w:lang w:val="en-US" w:eastAsia="zh-CN"/>
              </w:rPr>
              <w:t xml:space="preserve">标识情况：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区分清楚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防护得当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不适宜说明：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>防护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8.5.4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如：《生产和服务提供的控制程序》《库房管理制度》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default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产品防护性要求：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防磕碰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防火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易碎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防倒置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防雨淋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防日晒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码放高度  </w:t>
            </w:r>
          </w:p>
          <w:p>
            <w:pPr>
              <w:ind w:firstLine="1680" w:firstLineChars="8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温度 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湿度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清洁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卫生  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保存期限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防护</w:t>
            </w:r>
            <w:r>
              <w:rPr>
                <w:rFonts w:hint="eastAsia"/>
                <w:lang w:val="en-US" w:eastAsia="zh-CN"/>
              </w:rPr>
              <w:t>方法</w:t>
            </w:r>
            <w:r>
              <w:rPr>
                <w:rFonts w:hint="eastAsia"/>
              </w:rPr>
              <w:t>可包括</w:t>
            </w:r>
            <w:r>
              <w:rPr>
                <w:rFonts w:hint="eastAsia"/>
                <w:lang w:eastAsia="zh-CN"/>
              </w:rPr>
              <w:t>：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防护性标识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处置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污染控制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包装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储存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传输或运输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保护</w:t>
            </w:r>
          </w:p>
          <w:p/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现场观察</w:t>
            </w:r>
          </w:p>
        </w:tc>
        <w:tc>
          <w:tcPr>
            <w:tcW w:w="10423" w:type="dxa"/>
          </w:tcPr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原材料</w:t>
            </w:r>
            <w:r>
              <w:rPr>
                <w:rFonts w:hint="eastAsia"/>
              </w:rPr>
              <w:t>库房管理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抽查原材料名称：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    抛光料、熟料             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分类存放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码放高度/层数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储存温度</w:t>
            </w:r>
            <w:r>
              <w:rPr>
                <w:rFonts w:hint="eastAsia"/>
                <w:u w:val="single"/>
                <w:lang w:val="en-US" w:eastAsia="zh-CN"/>
              </w:rPr>
              <w:t xml:space="preserve">  ℃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湿度</w:t>
            </w:r>
            <w:r>
              <w:rPr>
                <w:rFonts w:hint="eastAsia"/>
                <w:u w:val="single"/>
                <w:lang w:val="en-US" w:eastAsia="zh-CN"/>
              </w:rPr>
              <w:t xml:space="preserve">   %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储存时间</w:t>
            </w:r>
            <w:r>
              <w:rPr>
                <w:rFonts w:hint="eastAsia"/>
                <w:u w:val="single"/>
                <w:lang w:val="en-US" w:eastAsia="zh-CN"/>
              </w:rPr>
              <w:t xml:space="preserve">   月（有保存期时）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账物卡相符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防护措施 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半成品</w:t>
            </w:r>
            <w:r>
              <w:rPr>
                <w:rFonts w:hint="eastAsia"/>
              </w:rPr>
              <w:t>库房管理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抽查半成品名称：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   无     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分类存放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码放高度/层数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储存温度</w:t>
            </w:r>
            <w:r>
              <w:rPr>
                <w:rFonts w:hint="eastAsia"/>
                <w:u w:val="single"/>
                <w:lang w:val="en-US" w:eastAsia="zh-CN"/>
              </w:rPr>
              <w:t xml:space="preserve">  ℃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湿度</w:t>
            </w:r>
            <w:r>
              <w:rPr>
                <w:rFonts w:hint="eastAsia"/>
                <w:u w:val="single"/>
                <w:lang w:val="en-US" w:eastAsia="zh-CN"/>
              </w:rPr>
              <w:t xml:space="preserve">   %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储存时间</w:t>
            </w:r>
            <w:r>
              <w:rPr>
                <w:rFonts w:hint="eastAsia"/>
                <w:u w:val="single"/>
                <w:lang w:val="en-US" w:eastAsia="zh-CN"/>
              </w:rPr>
              <w:t xml:space="preserve">   月（有保存期时）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账物卡相符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防护措施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成品</w:t>
            </w:r>
            <w:r>
              <w:rPr>
                <w:rFonts w:hint="eastAsia"/>
              </w:rPr>
              <w:t>库房管理</w:t>
            </w:r>
            <w:r>
              <w:rPr>
                <w:rFonts w:hint="eastAsia"/>
                <w:lang w:eastAsia="zh-CN"/>
              </w:rPr>
              <w:t>：</w:t>
            </w:r>
            <w:r>
              <w:rPr>
                <w:rFonts w:hint="eastAsia"/>
                <w:lang w:val="en-US" w:eastAsia="zh-CN"/>
              </w:rPr>
              <w:t>抽查成品名称：</w:t>
            </w:r>
            <w:r>
              <w:rPr>
                <w:rFonts w:hint="eastAsia"/>
                <w:u w:val="single"/>
                <w:lang w:val="en-US" w:eastAsia="zh-CN"/>
              </w:rPr>
              <w:t xml:space="preserve">  复合板、建材板        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分类存放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码放高度/层数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储存温度</w:t>
            </w:r>
            <w:r>
              <w:rPr>
                <w:rFonts w:hint="eastAsia"/>
                <w:u w:val="single"/>
                <w:lang w:val="en-US" w:eastAsia="zh-CN"/>
              </w:rPr>
              <w:t xml:space="preserve">  ℃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</w:rPr>
              <w:t>湿度</w:t>
            </w:r>
            <w:r>
              <w:rPr>
                <w:rFonts w:hint="eastAsia"/>
                <w:u w:val="single"/>
                <w:lang w:val="en-US" w:eastAsia="zh-CN"/>
              </w:rPr>
              <w:t xml:space="preserve">   %</w:t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</w:rPr>
              <w:t>储存时间</w:t>
            </w:r>
            <w:r>
              <w:rPr>
                <w:rFonts w:hint="eastAsia"/>
                <w:u w:val="single"/>
                <w:lang w:val="en-US" w:eastAsia="zh-CN"/>
              </w:rPr>
              <w:t xml:space="preserve">   月（有保存期时）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账物卡相符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 xml:space="preserve">防护措施 </w:t>
            </w: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 xml:space="preserve"> 交付后的活动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 xml:space="preserve">8.5.5 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如：《生产和服务提供的控制程序》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《售后服务规范》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9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交付后服务的内容：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技术咨询/培训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安装 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调试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维修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>三包（包退、包换、包修）</w:t>
            </w:r>
          </w:p>
          <w:p>
            <w:pPr>
              <w:ind w:firstLine="1890" w:firstLineChars="9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回收 </w:t>
            </w:r>
            <w:r>
              <w:rPr>
                <w:rFonts w:hint="eastAsia"/>
                <w:lang w:val="en-US" w:eastAsia="zh-CN"/>
              </w:rPr>
              <w:sym w:font="Wingdings" w:char="00A8"/>
            </w:r>
            <w:r>
              <w:rPr>
                <w:rFonts w:hint="eastAsia"/>
                <w:lang w:val="en-US" w:eastAsia="zh-CN"/>
              </w:rPr>
              <w:t xml:space="preserve">最终报废处置  </w:t>
            </w:r>
            <w:r>
              <w:rPr>
                <w:rFonts w:hint="eastAsia"/>
                <w:lang w:val="en-US" w:eastAsia="zh-CN"/>
              </w:rPr>
              <w:sym w:font="Wingdings" w:char="00FE"/>
            </w:r>
            <w:r>
              <w:rPr>
                <w:rFonts w:hint="eastAsia"/>
                <w:lang w:val="en-US" w:eastAsia="zh-CN"/>
              </w:rPr>
              <w:t>其他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color w:val="auto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</w:t>
            </w:r>
            <w:r>
              <w:rPr>
                <w:rFonts w:hint="eastAsia"/>
                <w:color w:val="auto"/>
                <w:lang w:val="en-US" w:eastAsia="zh-CN"/>
              </w:rPr>
              <w:t>取</w:t>
            </w:r>
            <w:r>
              <w:rPr>
                <w:rFonts w:hint="eastAsia"/>
                <w:color w:val="auto"/>
              </w:rPr>
              <w:t>交付后的活动</w:t>
            </w:r>
            <w:r>
              <w:rPr>
                <w:rFonts w:hint="eastAsia"/>
                <w:color w:val="auto"/>
                <w:lang w:val="en-US" w:eastAsia="zh-CN"/>
              </w:rPr>
              <w:t>控制相关记录名称：</w:t>
            </w:r>
            <w:r>
              <w:rPr>
                <w:rFonts w:hint="eastAsia"/>
                <w:color w:val="auto"/>
                <w:u w:val="single"/>
                <w:lang w:val="en-US" w:eastAsia="zh-CN"/>
              </w:rPr>
              <w:t>《                      》</w:t>
            </w:r>
          </w:p>
          <w:tbl>
            <w:tblPr>
              <w:tblStyle w:val="7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60"/>
              <w:gridCol w:w="1533"/>
              <w:gridCol w:w="1200"/>
              <w:gridCol w:w="2003"/>
              <w:gridCol w:w="1597"/>
              <w:gridCol w:w="175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60" w:type="dxa"/>
                </w:tcPr>
                <w:p>
                  <w:pPr>
                    <w:rPr>
                      <w:rFonts w:hint="default"/>
                      <w:color w:val="FF000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533" w:type="dxa"/>
                </w:tcPr>
                <w:p>
                  <w:pPr>
                    <w:rPr>
                      <w:rFonts w:hint="default"/>
                      <w:color w:val="FF000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vertAlign w:val="baseline"/>
                      <w:lang w:val="en-US" w:eastAsia="zh-CN"/>
                    </w:rPr>
                    <w:t>客户名称</w:t>
                  </w:r>
                </w:p>
              </w:tc>
              <w:tc>
                <w:tcPr>
                  <w:tcW w:w="1200" w:type="dxa"/>
                </w:tcPr>
                <w:p>
                  <w:pPr>
                    <w:rPr>
                      <w:rFonts w:hint="default"/>
                      <w:color w:val="FF000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vertAlign w:val="baseline"/>
                      <w:lang w:val="en-US" w:eastAsia="zh-CN"/>
                    </w:rPr>
                    <w:t>服务地点</w:t>
                  </w:r>
                </w:p>
              </w:tc>
              <w:tc>
                <w:tcPr>
                  <w:tcW w:w="2003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  <w:color w:val="FF0000"/>
                      <w:lang w:val="en-US" w:eastAsia="zh-CN"/>
                    </w:rPr>
                    <w:t xml:space="preserve"> </w:t>
                  </w:r>
                  <w:r>
                    <w:rPr>
                      <w:rFonts w:hint="eastAsia"/>
                      <w:color w:val="FF0000"/>
                      <w:vertAlign w:val="baseline"/>
                      <w:lang w:val="en-US" w:eastAsia="zh-CN"/>
                    </w:rPr>
                    <w:t>售后服务内容</w:t>
                  </w:r>
                </w:p>
              </w:tc>
              <w:tc>
                <w:tcPr>
                  <w:tcW w:w="1597" w:type="dxa"/>
                </w:tcPr>
                <w:p>
                  <w:pPr>
                    <w:rPr>
                      <w:rFonts w:hint="default" w:cs="Times New Roman"/>
                      <w:color w:val="FF000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color w:val="FF0000"/>
                      <w:kern w:val="2"/>
                      <w:sz w:val="21"/>
                      <w:vertAlign w:val="baseline"/>
                      <w:lang w:val="en-US" w:eastAsia="zh-CN" w:bidi="ar-SA"/>
                    </w:rPr>
                    <w:t>服务始末时间</w:t>
                  </w:r>
                </w:p>
              </w:tc>
              <w:tc>
                <w:tcPr>
                  <w:tcW w:w="1750" w:type="dxa"/>
                </w:tcPr>
                <w:p>
                  <w:pPr>
                    <w:rPr>
                      <w:rFonts w:hint="default" w:eastAsia="宋体"/>
                      <w:color w:val="FF0000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color w:val="FF0000"/>
                      <w:lang w:val="en-US" w:eastAsia="zh-CN"/>
                    </w:rPr>
                    <w:t>顾客确认意见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rPr>
                <w:trHeight w:val="90" w:hRule="atLeast"/>
              </w:trPr>
              <w:tc>
                <w:tcPr>
                  <w:tcW w:w="960" w:type="dxa"/>
                </w:tcPr>
                <w:p>
                  <w:pPr>
                    <w:rPr>
                      <w:rFonts w:hint="default"/>
                      <w:color w:val="FF000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533" w:type="dxa"/>
                </w:tcPr>
                <w:p>
                  <w:pPr>
                    <w:rPr>
                      <w:rFonts w:hint="eastAsia"/>
                      <w:color w:val="FF000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200" w:type="dxa"/>
                </w:tcPr>
                <w:p>
                  <w:pPr>
                    <w:rPr>
                      <w:rFonts w:hint="eastAsia"/>
                      <w:color w:val="FF0000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2003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97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750" w:type="dxa"/>
                </w:tcPr>
                <w:p>
                  <w:pPr>
                    <w:rPr>
                      <w:rFonts w:hint="eastAsia"/>
                      <w:color w:val="FF0000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96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33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200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03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597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color w:val="FF0000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750" w:type="dxa"/>
                </w:tcPr>
                <w:p>
                  <w:pPr>
                    <w:rPr>
                      <w:rFonts w:hint="eastAsia"/>
                      <w:color w:val="FF0000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default" w:eastAsia="宋体"/>
                <w:lang w:val="en-US" w:eastAsia="zh-CN"/>
              </w:rPr>
            </w:pPr>
          </w:p>
        </w:tc>
        <w:tc>
          <w:tcPr>
            <w:tcW w:w="1149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566" w:type="dxa"/>
            <w:vMerge w:val="restart"/>
          </w:tcPr>
          <w:p>
            <w:r>
              <w:rPr>
                <w:rFonts w:hint="eastAsia"/>
              </w:rPr>
              <w:t>更改控制</w:t>
            </w:r>
          </w:p>
        </w:tc>
        <w:tc>
          <w:tcPr>
            <w:tcW w:w="810" w:type="dxa"/>
            <w:vMerge w:val="restart"/>
          </w:tcPr>
          <w:p>
            <w:r>
              <w:rPr>
                <w:rFonts w:hint="eastAsia"/>
                <w:lang w:val="en-US" w:eastAsia="zh-CN"/>
              </w:rPr>
              <w:t>Q</w:t>
            </w:r>
            <w:r>
              <w:rPr>
                <w:rFonts w:hint="eastAsia"/>
              </w:rPr>
              <w:t>8.5.6</w:t>
            </w:r>
          </w:p>
        </w:tc>
        <w:tc>
          <w:tcPr>
            <w:tcW w:w="761" w:type="dxa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文件名称</w:t>
            </w:r>
          </w:p>
        </w:tc>
        <w:tc>
          <w:tcPr>
            <w:tcW w:w="10423" w:type="dxa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如：《产品/服务提供控制程序》或《变更控制程序》</w:t>
            </w:r>
          </w:p>
        </w:tc>
        <w:tc>
          <w:tcPr>
            <w:tcW w:w="1149" w:type="dxa"/>
            <w:vMerge w:val="restart"/>
          </w:tcPr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FE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符合</w:t>
            </w:r>
          </w:p>
          <w:p>
            <w:pPr>
              <w:rPr>
                <w:rFonts w:hint="eastAsia"/>
                <w:color w:val="auto"/>
                <w:highlight w:val="none"/>
                <w:lang w:val="en-US" w:eastAsia="zh-CN"/>
              </w:rPr>
            </w:pPr>
            <w:r>
              <w:rPr>
                <w:color w:val="auto"/>
                <w:highlight w:val="none"/>
              </w:rPr>
              <w:sym w:font="Wingdings" w:char="00A8"/>
            </w:r>
            <w:r>
              <w:rPr>
                <w:rFonts w:hint="eastAsia"/>
                <w:color w:val="auto"/>
                <w:highlight w:val="none"/>
                <w:lang w:val="en-US" w:eastAsia="zh-CN"/>
              </w:rPr>
              <w:t>不符合</w:t>
            </w:r>
          </w:p>
          <w:p>
            <w:pPr>
              <w:rPr>
                <w:rFonts w:hint="eastAsia" w:eastAsia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9" w:hRule="atLeast"/>
        </w:trPr>
        <w:tc>
          <w:tcPr>
            <w:tcW w:w="1566" w:type="dxa"/>
            <w:vMerge w:val="continue"/>
          </w:tcPr>
          <w:p/>
        </w:tc>
        <w:tc>
          <w:tcPr>
            <w:tcW w:w="810" w:type="dxa"/>
            <w:vMerge w:val="continue"/>
          </w:tcPr>
          <w:p/>
        </w:tc>
        <w:tc>
          <w:tcPr>
            <w:tcW w:w="761" w:type="dxa"/>
            <w:vAlign w:val="top"/>
          </w:tcPr>
          <w:p>
            <w:pPr>
              <w:rPr>
                <w:rFonts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运行证据</w:t>
            </w:r>
          </w:p>
        </w:tc>
        <w:tc>
          <w:tcPr>
            <w:tcW w:w="10423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变更的原因：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外部因素：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法律法规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顾客或供方发起的变更；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内部因素：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设备失效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反复出现不合格品</w:t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rPr>
                <w:rFonts w:hint="eastAsia"/>
                <w:color w:val="000000"/>
                <w:szCs w:val="21"/>
                <w:lang w:eastAsia="zh-CN"/>
              </w:rPr>
              <w:sym w:font="Wingdings 2" w:char="0052"/>
            </w:r>
            <w:r>
              <w:rPr>
                <w:rFonts w:hint="eastAsia"/>
              </w:rPr>
              <w:t>技术改造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u w:val="singl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抽取变更控制相关记录名称：</w:t>
            </w:r>
            <w:r>
              <w:rPr>
                <w:rFonts w:hint="eastAsia"/>
                <w:u w:val="single"/>
                <w:lang w:val="en-US" w:eastAsia="zh-CN"/>
              </w:rPr>
              <w:t>《         --             》    近一年无重大变更</w:t>
            </w:r>
          </w:p>
          <w:tbl>
            <w:tblPr>
              <w:tblStyle w:val="7"/>
              <w:tblW w:w="9043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7"/>
              <w:gridCol w:w="1726"/>
              <w:gridCol w:w="1661"/>
              <w:gridCol w:w="1671"/>
              <w:gridCol w:w="1172"/>
              <w:gridCol w:w="204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日期</w:t>
                  </w:r>
                </w:p>
              </w:tc>
              <w:tc>
                <w:tcPr>
                  <w:tcW w:w="172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变更的原因</w:t>
                  </w:r>
                </w:p>
              </w:tc>
              <w:tc>
                <w:tcPr>
                  <w:tcW w:w="1661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评审的结论</w:t>
                  </w:r>
                </w:p>
              </w:tc>
              <w:tc>
                <w:tcPr>
                  <w:tcW w:w="1671" w:type="dxa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实施前的验证或确认</w:t>
                  </w:r>
                  <w:r>
                    <w:rPr>
                      <w:rFonts w:hint="eastAsia"/>
                      <w:lang w:val="en-US" w:eastAsia="zh-CN"/>
                    </w:rPr>
                    <w:t>的结果</w:t>
                  </w:r>
                </w:p>
              </w:tc>
              <w:tc>
                <w:tcPr>
                  <w:tcW w:w="1172" w:type="dxa"/>
                </w:tcPr>
                <w:p>
                  <w:pPr>
                    <w:rPr>
                      <w:rFonts w:hint="eastAsia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批准</w:t>
                  </w:r>
                  <w:r>
                    <w:rPr>
                      <w:rFonts w:hint="eastAsia"/>
                      <w:lang w:val="en-US" w:eastAsia="zh-CN"/>
                    </w:rPr>
                    <w:t>或</w:t>
                  </w:r>
                </w:p>
                <w:p>
                  <w:pPr>
                    <w:rPr>
                      <w:rFonts w:hint="default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/>
                    </w:rPr>
                    <w:t>顾客授权</w:t>
                  </w: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 w:eastAsia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</w:rPr>
                    <w:t>更新QMS要素的</w:t>
                  </w:r>
                  <w:r>
                    <w:rPr>
                      <w:rFonts w:hint="eastAsia"/>
                      <w:lang w:val="en-US" w:eastAsia="zh-CN"/>
                    </w:rPr>
                    <w:t>证据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767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726" w:type="dxa"/>
                </w:tcPr>
                <w:p>
                  <w:pPr>
                    <w:rPr>
                      <w:rFonts w:hint="default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vertAlign w:val="baseline"/>
                      <w:lang w:val="en-US" w:eastAsia="zh-CN"/>
                    </w:rPr>
                    <w:t>--</w:t>
                  </w:r>
                </w:p>
              </w:tc>
              <w:tc>
                <w:tcPr>
                  <w:tcW w:w="1661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  <w:tc>
                <w:tcPr>
                  <w:tcW w:w="1671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172" w:type="dxa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767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726" w:type="dxa"/>
                  <w:vAlign w:val="top"/>
                </w:tcPr>
                <w:p>
                  <w:pPr>
                    <w:rPr>
                      <w:rFonts w:hint="default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  <w:t>--</w:t>
                  </w:r>
                </w:p>
              </w:tc>
              <w:tc>
                <w:tcPr>
                  <w:tcW w:w="1661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671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1172" w:type="dxa"/>
                  <w:vAlign w:val="top"/>
                </w:tcPr>
                <w:p>
                  <w:pPr>
                    <w:rPr>
                      <w:rFonts w:hint="eastAsia" w:ascii="Times New Roman" w:hAnsi="Times New Roman" w:eastAsia="宋体" w:cs="Times New Roman"/>
                      <w:kern w:val="2"/>
                      <w:sz w:val="21"/>
                      <w:vertAlign w:val="baseline"/>
                      <w:lang w:val="en-US" w:eastAsia="zh-CN" w:bidi="ar-SA"/>
                    </w:rPr>
                  </w:pPr>
                </w:p>
              </w:tc>
              <w:tc>
                <w:tcPr>
                  <w:tcW w:w="2046" w:type="dxa"/>
                </w:tcPr>
                <w:p>
                  <w:pPr>
                    <w:rPr>
                      <w:rFonts w:hint="eastAsia"/>
                      <w:vertAlign w:val="baseline"/>
                      <w:lang w:val="en-US" w:eastAsia="zh-CN"/>
                    </w:rPr>
                  </w:pPr>
                </w:p>
              </w:tc>
            </w:tr>
          </w:tbl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上述变更评审、验证和确认的人员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 xml:space="preserve">与公司授权一致  </w:t>
            </w:r>
            <w:r>
              <w:rPr>
                <w:rFonts w:hint="eastAsia"/>
                <w:color w:val="000000"/>
                <w:szCs w:val="21"/>
                <w:lang w:eastAsia="zh-CN"/>
              </w:rPr>
              <w:t>□</w:t>
            </w:r>
            <w:r>
              <w:rPr>
                <w:rFonts w:hint="eastAsia"/>
                <w:lang w:val="en-US" w:eastAsia="zh-CN"/>
              </w:rPr>
              <w:t>与公司授权存在不一致</w:t>
            </w:r>
          </w:p>
        </w:tc>
        <w:tc>
          <w:tcPr>
            <w:tcW w:w="1149" w:type="dxa"/>
            <w:vMerge w:val="continue"/>
          </w:tcPr>
          <w:p/>
        </w:tc>
      </w:tr>
    </w:tbl>
    <w:p/>
    <w:p/>
    <w:p>
      <w:pPr>
        <w:pStyle w:val="4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0" w:name="_GoBack"/>
    <w:bookmarkEnd w:id="0"/>
    <w:r>
      <w:pict>
        <v:shape id="_x0000_s4098" o:spid="_x0000_s4098" o:spt="202" type="#_x0000_t202" style="position:absolute;left:0pt;margin-left:620.4pt;margin-top:12.55pt;height:20.2pt;width:102.7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2"/>
        <w:rFonts w:hint="default"/>
        <w:w w:val="90"/>
      </w:rPr>
      <w:t>Beijing International Standard united Certification Co.,Ltd.</w:t>
    </w: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C7F8C9"/>
    <w:multiLevelType w:val="singleLevel"/>
    <w:tmpl w:val="71C7F8C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Dc4ZWJiZGY2YjU2MmRhNjg4NDA1NWJhMzhhZTVmYzcifQ=="/>
  </w:docVars>
  <w:rsids>
    <w:rsidRoot w:val="009973B4"/>
    <w:rsid w:val="000237F6"/>
    <w:rsid w:val="0003373A"/>
    <w:rsid w:val="000400E2"/>
    <w:rsid w:val="00062E46"/>
    <w:rsid w:val="000E6B21"/>
    <w:rsid w:val="001A2D7F"/>
    <w:rsid w:val="002939AD"/>
    <w:rsid w:val="00314AF6"/>
    <w:rsid w:val="00337922"/>
    <w:rsid w:val="00340867"/>
    <w:rsid w:val="00380837"/>
    <w:rsid w:val="003A198A"/>
    <w:rsid w:val="00410914"/>
    <w:rsid w:val="0048201E"/>
    <w:rsid w:val="00536930"/>
    <w:rsid w:val="00564E53"/>
    <w:rsid w:val="005D5659"/>
    <w:rsid w:val="00600C20"/>
    <w:rsid w:val="00644FE2"/>
    <w:rsid w:val="0067640C"/>
    <w:rsid w:val="006E678B"/>
    <w:rsid w:val="006E7B1D"/>
    <w:rsid w:val="007757F3"/>
    <w:rsid w:val="007C1B48"/>
    <w:rsid w:val="007E3B15"/>
    <w:rsid w:val="007E6AEB"/>
    <w:rsid w:val="008973EE"/>
    <w:rsid w:val="00971600"/>
    <w:rsid w:val="009973B4"/>
    <w:rsid w:val="009C28C1"/>
    <w:rsid w:val="009F7EED"/>
    <w:rsid w:val="00A80636"/>
    <w:rsid w:val="00AF0AAB"/>
    <w:rsid w:val="00BF597E"/>
    <w:rsid w:val="00C51A36"/>
    <w:rsid w:val="00C55228"/>
    <w:rsid w:val="00C63768"/>
    <w:rsid w:val="00CE315A"/>
    <w:rsid w:val="00D06F59"/>
    <w:rsid w:val="00D8388C"/>
    <w:rsid w:val="00E6224C"/>
    <w:rsid w:val="00EB0164"/>
    <w:rsid w:val="00ED0F62"/>
    <w:rsid w:val="01260C71"/>
    <w:rsid w:val="016D18E6"/>
    <w:rsid w:val="01E27364"/>
    <w:rsid w:val="02C75A20"/>
    <w:rsid w:val="032F5195"/>
    <w:rsid w:val="03A0688A"/>
    <w:rsid w:val="03A32F8E"/>
    <w:rsid w:val="03AC3D8E"/>
    <w:rsid w:val="03CE483E"/>
    <w:rsid w:val="03CF54E8"/>
    <w:rsid w:val="0405614C"/>
    <w:rsid w:val="04883DB3"/>
    <w:rsid w:val="04981EC9"/>
    <w:rsid w:val="050D3D1E"/>
    <w:rsid w:val="056577F0"/>
    <w:rsid w:val="05705C5F"/>
    <w:rsid w:val="057753FF"/>
    <w:rsid w:val="05A05014"/>
    <w:rsid w:val="05F6270F"/>
    <w:rsid w:val="0605101B"/>
    <w:rsid w:val="061B4460"/>
    <w:rsid w:val="067B702D"/>
    <w:rsid w:val="06994A8D"/>
    <w:rsid w:val="06AA7E97"/>
    <w:rsid w:val="06AB232E"/>
    <w:rsid w:val="06ED612A"/>
    <w:rsid w:val="08767210"/>
    <w:rsid w:val="08851DD7"/>
    <w:rsid w:val="08A87AD1"/>
    <w:rsid w:val="08C22483"/>
    <w:rsid w:val="08ED1EE8"/>
    <w:rsid w:val="09005957"/>
    <w:rsid w:val="090744DF"/>
    <w:rsid w:val="096333C5"/>
    <w:rsid w:val="098533E9"/>
    <w:rsid w:val="09933EF9"/>
    <w:rsid w:val="09AA0CA5"/>
    <w:rsid w:val="09FA6045"/>
    <w:rsid w:val="0A0F142E"/>
    <w:rsid w:val="0A1C56C1"/>
    <w:rsid w:val="0A904067"/>
    <w:rsid w:val="0ACA6ED2"/>
    <w:rsid w:val="0AEF4D8D"/>
    <w:rsid w:val="0AF418DF"/>
    <w:rsid w:val="0BE64DFF"/>
    <w:rsid w:val="0C410C7B"/>
    <w:rsid w:val="0C5423F7"/>
    <w:rsid w:val="0C8009B8"/>
    <w:rsid w:val="0CC102DA"/>
    <w:rsid w:val="0D181113"/>
    <w:rsid w:val="0D1E4D9B"/>
    <w:rsid w:val="0D4D1326"/>
    <w:rsid w:val="0D6A2C36"/>
    <w:rsid w:val="0DB35CC0"/>
    <w:rsid w:val="0E49595F"/>
    <w:rsid w:val="0EB8524B"/>
    <w:rsid w:val="0EDB0566"/>
    <w:rsid w:val="0F86648B"/>
    <w:rsid w:val="0F9C35C1"/>
    <w:rsid w:val="0FFA42BF"/>
    <w:rsid w:val="100B6D7F"/>
    <w:rsid w:val="100D075A"/>
    <w:rsid w:val="106A3497"/>
    <w:rsid w:val="108219C2"/>
    <w:rsid w:val="10991918"/>
    <w:rsid w:val="10A120FB"/>
    <w:rsid w:val="10AB5B5F"/>
    <w:rsid w:val="10C112A0"/>
    <w:rsid w:val="10C11C69"/>
    <w:rsid w:val="10DD2E35"/>
    <w:rsid w:val="11536201"/>
    <w:rsid w:val="115D3DB9"/>
    <w:rsid w:val="11BD2BE2"/>
    <w:rsid w:val="11BE2038"/>
    <w:rsid w:val="11DC0AC4"/>
    <w:rsid w:val="11E2439D"/>
    <w:rsid w:val="12563B2D"/>
    <w:rsid w:val="12A2571D"/>
    <w:rsid w:val="12A42EA7"/>
    <w:rsid w:val="12A506D3"/>
    <w:rsid w:val="12AB4422"/>
    <w:rsid w:val="13296CDD"/>
    <w:rsid w:val="134E7573"/>
    <w:rsid w:val="13890C2B"/>
    <w:rsid w:val="13A420AC"/>
    <w:rsid w:val="13C11723"/>
    <w:rsid w:val="13EB79B2"/>
    <w:rsid w:val="145B46D3"/>
    <w:rsid w:val="14C400FD"/>
    <w:rsid w:val="14F1297E"/>
    <w:rsid w:val="14F26225"/>
    <w:rsid w:val="15023387"/>
    <w:rsid w:val="15051B66"/>
    <w:rsid w:val="151414F9"/>
    <w:rsid w:val="154C7AB0"/>
    <w:rsid w:val="155F4281"/>
    <w:rsid w:val="15BC540D"/>
    <w:rsid w:val="16210B83"/>
    <w:rsid w:val="16583F2B"/>
    <w:rsid w:val="16911131"/>
    <w:rsid w:val="169D3E09"/>
    <w:rsid w:val="16AB3CAD"/>
    <w:rsid w:val="16E341B9"/>
    <w:rsid w:val="16F10A78"/>
    <w:rsid w:val="17226BDD"/>
    <w:rsid w:val="17446813"/>
    <w:rsid w:val="177551EA"/>
    <w:rsid w:val="179B1D36"/>
    <w:rsid w:val="17C079EC"/>
    <w:rsid w:val="17F76BA3"/>
    <w:rsid w:val="182A66F0"/>
    <w:rsid w:val="184816AE"/>
    <w:rsid w:val="186A6524"/>
    <w:rsid w:val="186F767B"/>
    <w:rsid w:val="187F0353"/>
    <w:rsid w:val="188852B3"/>
    <w:rsid w:val="18E725C6"/>
    <w:rsid w:val="18FB3FC3"/>
    <w:rsid w:val="19444428"/>
    <w:rsid w:val="19553BF7"/>
    <w:rsid w:val="197008AF"/>
    <w:rsid w:val="19746F33"/>
    <w:rsid w:val="197E61C1"/>
    <w:rsid w:val="199565C0"/>
    <w:rsid w:val="19D74BC7"/>
    <w:rsid w:val="19FD49DB"/>
    <w:rsid w:val="1A041A8F"/>
    <w:rsid w:val="1A546A4C"/>
    <w:rsid w:val="1A6C3FF9"/>
    <w:rsid w:val="1AAF33A8"/>
    <w:rsid w:val="1AB42370"/>
    <w:rsid w:val="1ACF1254"/>
    <w:rsid w:val="1AED5B63"/>
    <w:rsid w:val="1B462375"/>
    <w:rsid w:val="1B5E3B97"/>
    <w:rsid w:val="1C392A3A"/>
    <w:rsid w:val="1CB1322F"/>
    <w:rsid w:val="1D4D4A00"/>
    <w:rsid w:val="1DC4038A"/>
    <w:rsid w:val="1DF36090"/>
    <w:rsid w:val="1DFE25B1"/>
    <w:rsid w:val="1E511FFA"/>
    <w:rsid w:val="1E752FA2"/>
    <w:rsid w:val="1EF77273"/>
    <w:rsid w:val="1F1B65D5"/>
    <w:rsid w:val="1F35289F"/>
    <w:rsid w:val="1F4E73A5"/>
    <w:rsid w:val="1F8E0A45"/>
    <w:rsid w:val="1FAB395F"/>
    <w:rsid w:val="1FB8538A"/>
    <w:rsid w:val="1FF16224"/>
    <w:rsid w:val="201572E0"/>
    <w:rsid w:val="20272451"/>
    <w:rsid w:val="203255D2"/>
    <w:rsid w:val="20403C64"/>
    <w:rsid w:val="205905F2"/>
    <w:rsid w:val="205B3801"/>
    <w:rsid w:val="207644C2"/>
    <w:rsid w:val="2077793C"/>
    <w:rsid w:val="20A856C1"/>
    <w:rsid w:val="21A07B88"/>
    <w:rsid w:val="21D24208"/>
    <w:rsid w:val="226B2F60"/>
    <w:rsid w:val="22813299"/>
    <w:rsid w:val="23461CA8"/>
    <w:rsid w:val="235F5C65"/>
    <w:rsid w:val="238A1BAA"/>
    <w:rsid w:val="23900E62"/>
    <w:rsid w:val="23BF3886"/>
    <w:rsid w:val="241A6B34"/>
    <w:rsid w:val="24285E2F"/>
    <w:rsid w:val="242A7B69"/>
    <w:rsid w:val="247622DE"/>
    <w:rsid w:val="2480482A"/>
    <w:rsid w:val="24A05D8E"/>
    <w:rsid w:val="24FC7C66"/>
    <w:rsid w:val="2519537A"/>
    <w:rsid w:val="258041F6"/>
    <w:rsid w:val="258609CC"/>
    <w:rsid w:val="261B55F8"/>
    <w:rsid w:val="261D5675"/>
    <w:rsid w:val="269C7CAD"/>
    <w:rsid w:val="271B4DE1"/>
    <w:rsid w:val="272228DE"/>
    <w:rsid w:val="27443F4D"/>
    <w:rsid w:val="274B78E8"/>
    <w:rsid w:val="27602485"/>
    <w:rsid w:val="27CF15FE"/>
    <w:rsid w:val="27D42EE9"/>
    <w:rsid w:val="27E10A81"/>
    <w:rsid w:val="27FE6486"/>
    <w:rsid w:val="280B3F2E"/>
    <w:rsid w:val="28341F0D"/>
    <w:rsid w:val="2892323E"/>
    <w:rsid w:val="289361DE"/>
    <w:rsid w:val="291C5E47"/>
    <w:rsid w:val="292E1A37"/>
    <w:rsid w:val="296D2D47"/>
    <w:rsid w:val="29CB46C2"/>
    <w:rsid w:val="29F77BA5"/>
    <w:rsid w:val="2A3A6E77"/>
    <w:rsid w:val="2A85024C"/>
    <w:rsid w:val="2B0D2F04"/>
    <w:rsid w:val="2B1D2572"/>
    <w:rsid w:val="2B206A2D"/>
    <w:rsid w:val="2B4C1179"/>
    <w:rsid w:val="2B887233"/>
    <w:rsid w:val="2BD60481"/>
    <w:rsid w:val="2BEA3FA7"/>
    <w:rsid w:val="2C2E44D4"/>
    <w:rsid w:val="2C7B6C71"/>
    <w:rsid w:val="2D357F0D"/>
    <w:rsid w:val="2D4E604F"/>
    <w:rsid w:val="2D5C2AB0"/>
    <w:rsid w:val="2D7A20E6"/>
    <w:rsid w:val="2DC57805"/>
    <w:rsid w:val="2DDF08DF"/>
    <w:rsid w:val="2DE3793B"/>
    <w:rsid w:val="2DFF79D8"/>
    <w:rsid w:val="2E367C56"/>
    <w:rsid w:val="2E440885"/>
    <w:rsid w:val="2EEE512C"/>
    <w:rsid w:val="2F511B05"/>
    <w:rsid w:val="2F7C571D"/>
    <w:rsid w:val="2FA86B66"/>
    <w:rsid w:val="2FE823A5"/>
    <w:rsid w:val="2FEA1C57"/>
    <w:rsid w:val="300172B8"/>
    <w:rsid w:val="30945277"/>
    <w:rsid w:val="30C71DD4"/>
    <w:rsid w:val="30DC7CB1"/>
    <w:rsid w:val="30ED30CC"/>
    <w:rsid w:val="31064141"/>
    <w:rsid w:val="31B477DB"/>
    <w:rsid w:val="31B67BE2"/>
    <w:rsid w:val="31CA71DD"/>
    <w:rsid w:val="31E53661"/>
    <w:rsid w:val="324E5138"/>
    <w:rsid w:val="32583FEE"/>
    <w:rsid w:val="328F151A"/>
    <w:rsid w:val="32EB4F74"/>
    <w:rsid w:val="331E21CE"/>
    <w:rsid w:val="33562A0D"/>
    <w:rsid w:val="33715F28"/>
    <w:rsid w:val="33F07155"/>
    <w:rsid w:val="340C6245"/>
    <w:rsid w:val="343C4522"/>
    <w:rsid w:val="347A0336"/>
    <w:rsid w:val="34F92D63"/>
    <w:rsid w:val="35527F1F"/>
    <w:rsid w:val="357914C0"/>
    <w:rsid w:val="35BA5DAD"/>
    <w:rsid w:val="35D721CD"/>
    <w:rsid w:val="36174333"/>
    <w:rsid w:val="364A3F09"/>
    <w:rsid w:val="367A501B"/>
    <w:rsid w:val="372D3763"/>
    <w:rsid w:val="37A3423F"/>
    <w:rsid w:val="37A66325"/>
    <w:rsid w:val="37AF435B"/>
    <w:rsid w:val="37B82B0E"/>
    <w:rsid w:val="37D8509F"/>
    <w:rsid w:val="380178E9"/>
    <w:rsid w:val="38363F4B"/>
    <w:rsid w:val="386866FF"/>
    <w:rsid w:val="38803663"/>
    <w:rsid w:val="389A539F"/>
    <w:rsid w:val="38B37216"/>
    <w:rsid w:val="38BD5C7F"/>
    <w:rsid w:val="38C5580C"/>
    <w:rsid w:val="38EC325F"/>
    <w:rsid w:val="39286E54"/>
    <w:rsid w:val="399117DD"/>
    <w:rsid w:val="39972637"/>
    <w:rsid w:val="39D7104B"/>
    <w:rsid w:val="3A3E0D9F"/>
    <w:rsid w:val="3A5573DE"/>
    <w:rsid w:val="3AAB1306"/>
    <w:rsid w:val="3ABD0173"/>
    <w:rsid w:val="3ACE23E2"/>
    <w:rsid w:val="3B227AA7"/>
    <w:rsid w:val="3B4241C0"/>
    <w:rsid w:val="3B5F0280"/>
    <w:rsid w:val="3BEE1D6F"/>
    <w:rsid w:val="3BF1473C"/>
    <w:rsid w:val="3CA475E5"/>
    <w:rsid w:val="3CA717F2"/>
    <w:rsid w:val="3CC56579"/>
    <w:rsid w:val="3D9F1714"/>
    <w:rsid w:val="3DAB460B"/>
    <w:rsid w:val="3DDA7DB2"/>
    <w:rsid w:val="3E342793"/>
    <w:rsid w:val="3E3C5235"/>
    <w:rsid w:val="3EA34B57"/>
    <w:rsid w:val="3EEF1E6E"/>
    <w:rsid w:val="3F654598"/>
    <w:rsid w:val="40571F31"/>
    <w:rsid w:val="40760623"/>
    <w:rsid w:val="408B7234"/>
    <w:rsid w:val="40E27AF7"/>
    <w:rsid w:val="40F80D82"/>
    <w:rsid w:val="41095809"/>
    <w:rsid w:val="41342A6B"/>
    <w:rsid w:val="414C7183"/>
    <w:rsid w:val="418D501C"/>
    <w:rsid w:val="41E9167B"/>
    <w:rsid w:val="42416B50"/>
    <w:rsid w:val="4262379E"/>
    <w:rsid w:val="427A1188"/>
    <w:rsid w:val="42A238ED"/>
    <w:rsid w:val="43230FB9"/>
    <w:rsid w:val="432A5E11"/>
    <w:rsid w:val="433B1167"/>
    <w:rsid w:val="435912E3"/>
    <w:rsid w:val="435F500F"/>
    <w:rsid w:val="43C730CD"/>
    <w:rsid w:val="44A567F5"/>
    <w:rsid w:val="453B1EBC"/>
    <w:rsid w:val="45635AEC"/>
    <w:rsid w:val="45BA54FA"/>
    <w:rsid w:val="45EC74A5"/>
    <w:rsid w:val="45FA6B69"/>
    <w:rsid w:val="460414DD"/>
    <w:rsid w:val="46332B60"/>
    <w:rsid w:val="4654705C"/>
    <w:rsid w:val="468D2C1F"/>
    <w:rsid w:val="468D3CA5"/>
    <w:rsid w:val="46EA7997"/>
    <w:rsid w:val="470243E7"/>
    <w:rsid w:val="471F1498"/>
    <w:rsid w:val="47271944"/>
    <w:rsid w:val="475C4BFE"/>
    <w:rsid w:val="47BB044C"/>
    <w:rsid w:val="48262DE5"/>
    <w:rsid w:val="49C0281D"/>
    <w:rsid w:val="49E449BF"/>
    <w:rsid w:val="49EC77B8"/>
    <w:rsid w:val="49ED5B1C"/>
    <w:rsid w:val="4AAA5522"/>
    <w:rsid w:val="4AD45EF1"/>
    <w:rsid w:val="4AE04A18"/>
    <w:rsid w:val="4B337454"/>
    <w:rsid w:val="4B407CC6"/>
    <w:rsid w:val="4B42232B"/>
    <w:rsid w:val="4B825A76"/>
    <w:rsid w:val="4B8B3702"/>
    <w:rsid w:val="4B9B0D7E"/>
    <w:rsid w:val="4BC83B65"/>
    <w:rsid w:val="4CA74E41"/>
    <w:rsid w:val="4CA91B51"/>
    <w:rsid w:val="4CB62537"/>
    <w:rsid w:val="4CD2365B"/>
    <w:rsid w:val="4D352804"/>
    <w:rsid w:val="4D791805"/>
    <w:rsid w:val="4D8F2F88"/>
    <w:rsid w:val="4DB86BCB"/>
    <w:rsid w:val="4DD85058"/>
    <w:rsid w:val="4E0166A9"/>
    <w:rsid w:val="4E1551DB"/>
    <w:rsid w:val="4E7774D0"/>
    <w:rsid w:val="4EF04B81"/>
    <w:rsid w:val="4F13252A"/>
    <w:rsid w:val="4F594843"/>
    <w:rsid w:val="503C3BCC"/>
    <w:rsid w:val="505C4971"/>
    <w:rsid w:val="50C41CF1"/>
    <w:rsid w:val="51217DA6"/>
    <w:rsid w:val="51294703"/>
    <w:rsid w:val="51425A27"/>
    <w:rsid w:val="5158757E"/>
    <w:rsid w:val="521A5D1E"/>
    <w:rsid w:val="523624DE"/>
    <w:rsid w:val="52A23F56"/>
    <w:rsid w:val="52BA5471"/>
    <w:rsid w:val="52D318CB"/>
    <w:rsid w:val="52D871F4"/>
    <w:rsid w:val="52F263D6"/>
    <w:rsid w:val="53024EB7"/>
    <w:rsid w:val="53261795"/>
    <w:rsid w:val="53953BE7"/>
    <w:rsid w:val="53F51637"/>
    <w:rsid w:val="54124FEF"/>
    <w:rsid w:val="541C4B67"/>
    <w:rsid w:val="542F5BB6"/>
    <w:rsid w:val="552A2893"/>
    <w:rsid w:val="556B045B"/>
    <w:rsid w:val="557D4E77"/>
    <w:rsid w:val="55C375DD"/>
    <w:rsid w:val="56156439"/>
    <w:rsid w:val="56643532"/>
    <w:rsid w:val="568B5A7B"/>
    <w:rsid w:val="570A6E63"/>
    <w:rsid w:val="573B0118"/>
    <w:rsid w:val="573D2268"/>
    <w:rsid w:val="57411925"/>
    <w:rsid w:val="57441E32"/>
    <w:rsid w:val="57535542"/>
    <w:rsid w:val="575B3098"/>
    <w:rsid w:val="57F55B90"/>
    <w:rsid w:val="580F191D"/>
    <w:rsid w:val="58276F84"/>
    <w:rsid w:val="58584813"/>
    <w:rsid w:val="58B728A2"/>
    <w:rsid w:val="58B868EB"/>
    <w:rsid w:val="590D059A"/>
    <w:rsid w:val="592802C2"/>
    <w:rsid w:val="5978735A"/>
    <w:rsid w:val="59E42114"/>
    <w:rsid w:val="59E710C8"/>
    <w:rsid w:val="5A1C59A1"/>
    <w:rsid w:val="5A407674"/>
    <w:rsid w:val="5A432974"/>
    <w:rsid w:val="5A6A20C5"/>
    <w:rsid w:val="5AD64AF2"/>
    <w:rsid w:val="5B544EB3"/>
    <w:rsid w:val="5B6A33DD"/>
    <w:rsid w:val="5BF04FFA"/>
    <w:rsid w:val="5C4D2649"/>
    <w:rsid w:val="5C8D6CFF"/>
    <w:rsid w:val="5C966EB6"/>
    <w:rsid w:val="5CB9068F"/>
    <w:rsid w:val="5D013462"/>
    <w:rsid w:val="5D1258FA"/>
    <w:rsid w:val="5D3351AF"/>
    <w:rsid w:val="5D604E0E"/>
    <w:rsid w:val="5D656BAA"/>
    <w:rsid w:val="5D6672E4"/>
    <w:rsid w:val="5D6B7BC6"/>
    <w:rsid w:val="5D6C21B2"/>
    <w:rsid w:val="5DBF6011"/>
    <w:rsid w:val="5DC13CCC"/>
    <w:rsid w:val="5DC35118"/>
    <w:rsid w:val="5DC55564"/>
    <w:rsid w:val="5DDA5570"/>
    <w:rsid w:val="5DE86882"/>
    <w:rsid w:val="5E0D6E91"/>
    <w:rsid w:val="5E264AF8"/>
    <w:rsid w:val="5E3B413F"/>
    <w:rsid w:val="5E971B73"/>
    <w:rsid w:val="5EA12B9A"/>
    <w:rsid w:val="5EB61B43"/>
    <w:rsid w:val="5EBA7075"/>
    <w:rsid w:val="5EBF5DC8"/>
    <w:rsid w:val="5ECD50F3"/>
    <w:rsid w:val="5F02275D"/>
    <w:rsid w:val="5F14059B"/>
    <w:rsid w:val="5F291E1B"/>
    <w:rsid w:val="5F551AC0"/>
    <w:rsid w:val="5F616E2A"/>
    <w:rsid w:val="5FE015B4"/>
    <w:rsid w:val="6018182B"/>
    <w:rsid w:val="601E0F43"/>
    <w:rsid w:val="60596F8D"/>
    <w:rsid w:val="608075E1"/>
    <w:rsid w:val="61326FB1"/>
    <w:rsid w:val="61384C31"/>
    <w:rsid w:val="61E77A7E"/>
    <w:rsid w:val="622A4138"/>
    <w:rsid w:val="62385483"/>
    <w:rsid w:val="62385A6C"/>
    <w:rsid w:val="62876D77"/>
    <w:rsid w:val="62CA4AF4"/>
    <w:rsid w:val="62E4371E"/>
    <w:rsid w:val="632045D1"/>
    <w:rsid w:val="6342544F"/>
    <w:rsid w:val="63720424"/>
    <w:rsid w:val="63A31ABC"/>
    <w:rsid w:val="63C65078"/>
    <w:rsid w:val="63EA156F"/>
    <w:rsid w:val="63EA6D88"/>
    <w:rsid w:val="64621F9C"/>
    <w:rsid w:val="64A537DD"/>
    <w:rsid w:val="64B96E85"/>
    <w:rsid w:val="64BB6795"/>
    <w:rsid w:val="64D069A0"/>
    <w:rsid w:val="64F27E75"/>
    <w:rsid w:val="65067C78"/>
    <w:rsid w:val="65662197"/>
    <w:rsid w:val="658C79F9"/>
    <w:rsid w:val="65A33DF6"/>
    <w:rsid w:val="65BE04E1"/>
    <w:rsid w:val="65F429F0"/>
    <w:rsid w:val="665A6FDB"/>
    <w:rsid w:val="66B368AE"/>
    <w:rsid w:val="66B532F3"/>
    <w:rsid w:val="66C2760F"/>
    <w:rsid w:val="675A3B6C"/>
    <w:rsid w:val="67AF7DB6"/>
    <w:rsid w:val="680564C6"/>
    <w:rsid w:val="681B3F7A"/>
    <w:rsid w:val="68233428"/>
    <w:rsid w:val="68B54AF7"/>
    <w:rsid w:val="68CA009F"/>
    <w:rsid w:val="690756F8"/>
    <w:rsid w:val="695B5920"/>
    <w:rsid w:val="69B35A0D"/>
    <w:rsid w:val="69CC607C"/>
    <w:rsid w:val="69EA1163"/>
    <w:rsid w:val="69F96768"/>
    <w:rsid w:val="6A287F98"/>
    <w:rsid w:val="6AB40496"/>
    <w:rsid w:val="6ABD1D5E"/>
    <w:rsid w:val="6ACD348D"/>
    <w:rsid w:val="6AF33939"/>
    <w:rsid w:val="6B795D62"/>
    <w:rsid w:val="6BC747F5"/>
    <w:rsid w:val="6BD35CE4"/>
    <w:rsid w:val="6C3014BE"/>
    <w:rsid w:val="6C5D414F"/>
    <w:rsid w:val="6CA324B4"/>
    <w:rsid w:val="6CDE17FD"/>
    <w:rsid w:val="6D1D2C91"/>
    <w:rsid w:val="6D232D3C"/>
    <w:rsid w:val="6D2F5D1E"/>
    <w:rsid w:val="6D792112"/>
    <w:rsid w:val="6E641038"/>
    <w:rsid w:val="6EBD0EA6"/>
    <w:rsid w:val="6F435405"/>
    <w:rsid w:val="6F4810D8"/>
    <w:rsid w:val="6F6D2BAA"/>
    <w:rsid w:val="6F9A4A47"/>
    <w:rsid w:val="701710D0"/>
    <w:rsid w:val="70795456"/>
    <w:rsid w:val="709946EC"/>
    <w:rsid w:val="7251774B"/>
    <w:rsid w:val="72702455"/>
    <w:rsid w:val="728F2E47"/>
    <w:rsid w:val="72973011"/>
    <w:rsid w:val="72E42D1B"/>
    <w:rsid w:val="734E4AC8"/>
    <w:rsid w:val="734F0911"/>
    <w:rsid w:val="736054C4"/>
    <w:rsid w:val="736C572D"/>
    <w:rsid w:val="73A422EB"/>
    <w:rsid w:val="74103E55"/>
    <w:rsid w:val="745B622A"/>
    <w:rsid w:val="753E2D2E"/>
    <w:rsid w:val="758E15BB"/>
    <w:rsid w:val="75DB13A5"/>
    <w:rsid w:val="75E552E3"/>
    <w:rsid w:val="7648538B"/>
    <w:rsid w:val="76577132"/>
    <w:rsid w:val="76BD747C"/>
    <w:rsid w:val="76CD52EB"/>
    <w:rsid w:val="76FE004A"/>
    <w:rsid w:val="77462C4C"/>
    <w:rsid w:val="77A268F6"/>
    <w:rsid w:val="77CC3658"/>
    <w:rsid w:val="780F54C3"/>
    <w:rsid w:val="782C6CF7"/>
    <w:rsid w:val="78680ECD"/>
    <w:rsid w:val="7880670B"/>
    <w:rsid w:val="78EE7F5B"/>
    <w:rsid w:val="78F11CE1"/>
    <w:rsid w:val="78F66955"/>
    <w:rsid w:val="79053EDA"/>
    <w:rsid w:val="79097264"/>
    <w:rsid w:val="791D3993"/>
    <w:rsid w:val="79202162"/>
    <w:rsid w:val="7924138B"/>
    <w:rsid w:val="79714289"/>
    <w:rsid w:val="79826449"/>
    <w:rsid w:val="79D339B9"/>
    <w:rsid w:val="7A200C95"/>
    <w:rsid w:val="7A256940"/>
    <w:rsid w:val="7A594332"/>
    <w:rsid w:val="7A8564DB"/>
    <w:rsid w:val="7AC22B97"/>
    <w:rsid w:val="7B1F5C94"/>
    <w:rsid w:val="7B1F77A4"/>
    <w:rsid w:val="7B292799"/>
    <w:rsid w:val="7B530021"/>
    <w:rsid w:val="7C090682"/>
    <w:rsid w:val="7C6A6CA8"/>
    <w:rsid w:val="7CB52348"/>
    <w:rsid w:val="7CF04E00"/>
    <w:rsid w:val="7D41026F"/>
    <w:rsid w:val="7D59343F"/>
    <w:rsid w:val="7E0A78B3"/>
    <w:rsid w:val="7E2912F3"/>
    <w:rsid w:val="7F9026D0"/>
    <w:rsid w:val="7F984417"/>
    <w:rsid w:val="7FDB730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字符"/>
    <w:basedOn w:val="8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4521</Words>
  <Characters>4949</Characters>
  <Lines>1</Lines>
  <Paragraphs>1</Paragraphs>
  <TotalTime>0</TotalTime>
  <ScaleCrop>false</ScaleCrop>
  <LinksUpToDate>false</LinksUpToDate>
  <CharactersWithSpaces>5474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春华秋实</cp:lastModifiedBy>
  <dcterms:modified xsi:type="dcterms:W3CDTF">2022-06-11T01:17:25Z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734C24C08C31477995DB1826B5810F76</vt:lpwstr>
  </property>
</Properties>
</file>