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0486-2022-Q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632"/>
        <w:gridCol w:w="705"/>
        <w:gridCol w:w="330"/>
        <w:gridCol w:w="595"/>
        <w:gridCol w:w="77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河北华正塑料包装有限责任公司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91130425741540741B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0000FF"/>
                <w:sz w:val="22"/>
                <w:szCs w:val="22"/>
              </w:rPr>
              <w:t>河北华正塑料包装有限责任公司</w:t>
            </w:r>
            <w:bookmarkEnd w:id="17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color w:val="0000FF"/>
                <w:sz w:val="22"/>
                <w:szCs w:val="22"/>
              </w:rPr>
              <w:t>食品用塑料编织袋的生产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大名县阳平路西段北侧</w:t>
            </w:r>
            <w:bookmarkEnd w:id="19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大名县阳平路西段北侧</w:t>
            </w:r>
            <w:bookmarkEnd w:id="20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Hebei Huazheng plastic packaging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 xml:space="preserve">Production of plastic woven bags for food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North of the west section of Yangping Road, Daming County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North of the west section of Yangping Road, Daming County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0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3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51" w:type="dxa"/>
            <w:gridSpan w:val="2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971550" cy="3556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2022.5.24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21" w:name="_GoBack"/>
      <w:bookmarkEnd w:id="21"/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612765" cy="7717790"/>
            <wp:effectExtent l="0" t="0" r="63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71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7238CA"/>
    <w:rsid w:val="54ED1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2022-05-25T07:24:01Z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