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</w:t>
      </w:r>
      <w:r>
        <w:rPr>
          <w:rFonts w:hint="eastAsia" w:ascii="楷体" w:hAnsi="楷体" w:eastAsia="楷体"/>
          <w:bCs/>
          <w:sz w:val="36"/>
          <w:szCs w:val="36"/>
          <w:lang w:val="en-US" w:eastAsia="zh-CN"/>
        </w:rPr>
        <w:t>远程</w:t>
      </w:r>
      <w:r>
        <w:rPr>
          <w:rFonts w:hint="eastAsia" w:ascii="楷体" w:hAnsi="楷体" w:eastAsia="楷体"/>
          <w:bCs/>
          <w:sz w:val="36"/>
          <w:szCs w:val="36"/>
        </w:rPr>
        <w:t>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05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受审核部门：质检部     主管领导：吕牡丹        陪同人员：杨岑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2.6.5     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远程审核使用微信电脑网络进行沟通取证）</w:t>
            </w:r>
            <w:bookmarkStart w:id="2" w:name="_GoBack"/>
            <w:bookmarkEnd w:id="2"/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Cs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E/OMS: 5.3组织的岗位、职责和权限、6.2环境与职业健康安全目标、6.1. 2环境因素/危险源辨识与评价、8.1运行策划和控制，</w:t>
            </w: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QEO 5.3</w:t>
            </w:r>
          </w:p>
        </w:tc>
        <w:tc>
          <w:tcPr>
            <w:tcW w:w="1105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质检部主要作用、职责和权限包括:负责计量设备管理、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产品检验，不合格品管理，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负责部门环境因素、危险源辨识和控制，负责检验过程运行的环境和安全控制。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质检部上述作用和职责、权限基本得到有效沟通和实施。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QEO:6.2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6"/>
              <w:tblW w:w="92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4366"/>
              <w:gridCol w:w="1842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43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1842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szCs w:val="24"/>
                    </w:rPr>
                    <w:t>质检部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6"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过程、进货、成品检验完成率100%；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计量器具送检及时率100%；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>
                  <w:pPr>
                    <w:spacing w:line="288" w:lineRule="auto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30"/>
                    </w:rPr>
                    <w:t>重大环境污染事故</w:t>
                  </w:r>
                  <w:r>
                    <w:rPr>
                      <w:rFonts w:hint="eastAsia" w:ascii="宋体" w:hAnsi="宋体"/>
                      <w:sz w:val="24"/>
                    </w:rPr>
                    <w:t>为0</w:t>
                  </w:r>
                  <w:r>
                    <w:rPr>
                      <w:rFonts w:hint="eastAsia" w:ascii="宋体" w:hAnsi="宋体"/>
                      <w:sz w:val="24"/>
                      <w:szCs w:val="30"/>
                    </w:rPr>
                    <w:t>；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技术文件及时完成率100%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30"/>
                    </w:rPr>
                    <w:t>三废排放达标率100%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100%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</w:p>
              </w:tc>
              <w:tc>
                <w:tcPr>
                  <w:tcW w:w="4366" w:type="dxa"/>
                  <w:vAlign w:val="center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30"/>
                    </w:rPr>
                    <w:t>重大伤亡事故为0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rFonts w:ascii="楷体" w:hAnsi="楷体" w:eastAsia="楷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日考核已完成。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监视和测量资源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公司提供《计量器具管理台帐》，主要有游标卡尺、钢卷尺等监视和测量设备，检定/校准周期为1年。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抽校准证书：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编号：HK2107170479  器具名称：游标卡尺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型号：0-150mm    校准日期：20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年7月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7日；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编号：HK2107170478    器具名称：钢卷尺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型号：3m    校准日期：20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.7.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7日;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校准单位：深圳华科计量检测技术有限公司，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公司监视测量人员设备的保养，按说明书的要求使用人员自行负责。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 xml:space="preserve">   目前无计算机软件作为监视测量设备。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目前公司无封存和报废监视测量设备。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待疫情结束后再进一步进行现场审核。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采购产品验收、生产过程检验、产品放行等依据顾客技术要求，详见Q8.1。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进货检验：检验依据原材料检验作业指导书，</w:t>
            </w:r>
          </w:p>
          <w:p>
            <w:pPr>
              <w:pStyle w:val="17"/>
              <w:spacing w:line="360" w:lineRule="auto"/>
              <w:ind w:left="360" w:firstLine="0" w:firstLineChars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提供进货检验记录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.1.19日进货检验记录，供方：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浙江森祥教学设备公司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，原材料名称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饰面中纤板，规格60m*45m*18mm，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数量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500片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，检验项目型号、外观、包装等，结果合格，检验员吕牡丹。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1.19日进货检验记录，供方：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上海睿胤实业有限公司，原材料名称感官教具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，数量500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，检验项目型号、外观、包装等，结果合格，检验员吕牡丹。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日饰面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中纤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板检验报告，结果合格。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43815</wp:posOffset>
                  </wp:positionV>
                  <wp:extent cx="1888490" cy="2524760"/>
                  <wp:effectExtent l="0" t="0" r="16510" b="889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90" cy="252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51435</wp:posOffset>
                  </wp:positionV>
                  <wp:extent cx="1891030" cy="2505710"/>
                  <wp:effectExtent l="0" t="0" r="13970" b="889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25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2、过程检验：检验依据检验作业指导书，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各工序有生产及过程检验记录，内容包括产品名称、工序名称、规格尺寸、生产日期、数量、检验项目，检验结果、操作工、检验员等，检查要内容主包括外观、尺寸、焊接质量、喷涂质量等项目进行检查。</w:t>
            </w:r>
          </w:p>
          <w:p>
            <w:pPr>
              <w:spacing w:line="360" w:lineRule="auto"/>
              <w:ind w:left="12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PY202009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餐桌的产品过程检验记录，对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人造板材部件安装、五金件组装安装、产品包装检验，记录完整进行，基本符合要求，检验结果，合格，检验员吕牡丹。</w:t>
            </w:r>
          </w:p>
          <w:p>
            <w:pPr>
              <w:spacing w:line="360" w:lineRule="auto"/>
              <w:ind w:left="12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</w:rPr>
              <w:t>WJG202111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文件柜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的产品过程检验记录，对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人造板材部件安装、五金件组装安装、产品包装检验，记录完整进行，基本符合要求，检验结果，合格，检验员吕牡丹。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3、成品（出厂）检验：检验依据检验作业指导书、客户技术要求，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提供了出厂检验报告。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.13日WJG201910文件柜成品检验报告，对外观质量、外形极限偏差、柜类主要尺寸、邻边垂直度、翘曲度、平整度、分缝、下垂度、着地平稳度、抽屉深度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钢板厚度、标识、说明书、产品一致性、安全性能要求等进行了检验，判定结果：合格，检验人员吕牡丹。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.18日CZ20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餐桌成品检验报告，对外观质量、外形极限偏差、桌类主要尺寸、邻边垂直度、翘曲度、平整度、桌面水平偏差、着地平稳度、钢板厚度、标识、说明书、产品一致性、安全性能要求等进行了检验，判定结果：合格，检验人员吕牡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.27日PY20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22014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排椅成品检验报告，对外观质量、外形极限偏差、凳类主要尺寸、邻边垂直度、翘曲度、平整度、着地平稳度、钢板厚度、标识、说明书、产品一致性、安全性能要求等进行了检验，判定结果：合格，检验人员吕牡丹。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暂无授权人员批准或顾客批准放行产品和交付服务的情况。</w:t>
            </w:r>
          </w:p>
          <w:p>
            <w:pPr>
              <w:spacing w:line="360" w:lineRule="auto"/>
              <w:ind w:right="-6" w:rightChars="-3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4、销售过程检验：</w:t>
            </w:r>
          </w:p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年11月1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日的《产品销售服务质量检查报告》，检查考评涉及内容：包装、产品、数量、销售流程、服务人员态度、售后服务过程的要求，检查结果符合，检查人：杨岑。</w:t>
            </w:r>
          </w:p>
          <w:p>
            <w:pPr>
              <w:spacing w:line="360" w:lineRule="auto"/>
              <w:ind w:right="-6" w:rightChars="-3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年1月1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日的《产品销售服务质量检查报告》，检查考评涉及内容：包装、产品、数量、销售流程、服务人员态度、售后服务过程等，检查结果符合，检查人：杨岑。</w:t>
            </w:r>
          </w:p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抽见：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年2月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日的《产品销售服务质量检查报告》，检查考评涉及内容：包装、产品、数量、销售流程、服务人员态度、售后服务过程等，检查结果符合，检查人：杨岑。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5、第三方检验：</w:t>
            </w:r>
          </w:p>
          <w:p>
            <w:pPr>
              <w:spacing w:line="360" w:lineRule="auto"/>
              <w:jc w:val="left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三层柜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产品委托检验报告，结果合格，检验机构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浙江杰晖检测认证有限公司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68580</wp:posOffset>
                  </wp:positionV>
                  <wp:extent cx="2310130" cy="3396615"/>
                  <wp:effectExtent l="0" t="0" r="13970" b="13335"/>
                  <wp:wrapNone/>
                  <wp:docPr id="5" name="图片 5" descr="e7ddd53280bab5447c5ace470f6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ddd53280bab5447c5ace470f638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339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81280</wp:posOffset>
                  </wp:positionV>
                  <wp:extent cx="2275205" cy="3345180"/>
                  <wp:effectExtent l="0" t="0" r="10795" b="7620"/>
                  <wp:wrapNone/>
                  <wp:docPr id="4" name="图片 4" descr="b241cd15a2956fd13d1ec925e48db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241cd15a2956fd13d1ec925e48dbe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33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原木可叠椅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产品委托检验报告，结果合格，检验机构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浙江杰晖检测认证有限公司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273685</wp:posOffset>
                  </wp:positionV>
                  <wp:extent cx="2776855" cy="4082415"/>
                  <wp:effectExtent l="0" t="0" r="4445" b="13335"/>
                  <wp:wrapNone/>
                  <wp:docPr id="7" name="图片 7" descr="fe057339afbe7c4a69edf577f0851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e057339afbe7c4a69edf577f0851b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408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23495</wp:posOffset>
                  </wp:positionV>
                  <wp:extent cx="2729230" cy="4012565"/>
                  <wp:effectExtent l="0" t="0" r="13970" b="6985"/>
                  <wp:wrapNone/>
                  <wp:docPr id="6" name="图片 6" descr="c77cb6b7beadb02f9cbc9a4523eaf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77cb6b7beadb02f9cbc9a4523eaf7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4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pict>
                <v:shape id="_x0000_s1030" o:spid="_x0000_s1030" style="position:absolute;left:0pt;margin-left:1266.15pt;margin-top:5287.55pt;height:0pt;width:0pt;z-index:251660288;mso-width-relative:page;mso-height-relative:page;" filled="f" coordorigin="5270,21082" coordsize="0,0">
                  <v:fill on="f" focussize="0,0"/>
                  <v:stroke weight="1pt" endcap="round"/>
                  <v:imagedata o:title=""/>
                  <o:lock v:ext="edit" rotation="t" text="t" aspectratio="t"/>
                  <o:ink i="ACQdAgQEAxVIEUUjGwI5iwBGIxsCOYsAVw0AAAAKBwEOUlgQUlo=&#10;"/>
                </v:shape>
              </w:pic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原木售卖台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产品委托检验报告，结果合格，检验机构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浙江杰晖检测认证有限公司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274320</wp:posOffset>
                  </wp:positionV>
                  <wp:extent cx="2851785" cy="4192270"/>
                  <wp:effectExtent l="0" t="0" r="5715" b="17780"/>
                  <wp:wrapNone/>
                  <wp:docPr id="9" name="图片 9" descr="7e4144ab692ca61da2d83b49650f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e4144ab692ca61da2d83b49650fdf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419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246380</wp:posOffset>
                  </wp:positionV>
                  <wp:extent cx="2869565" cy="4218940"/>
                  <wp:effectExtent l="0" t="0" r="6985" b="10160"/>
                  <wp:wrapNone/>
                  <wp:docPr id="8" name="图片 8" descr="2e78004df60eefc221c985cf4ee76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e78004df60eefc221c985cf4ee76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65" cy="421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不合格输出的控制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公司制定并执行了《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不合格品控制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程序》编号QH-CX-12，文件对不合格品的识别、控制方法和职责权限做出了规定，基本符合标准要求。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对采购过程中的不合格品实施拒收、退货或让步接收的方式，目前未发现采购的不合格品。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对生产过程的不合格品实施返工、返修或报废，返工、返修后的产品进行再检验。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提供了不合</w:t>
            </w:r>
            <w:bookmarkStart w:id="0" w:name="_Hlt38188668"/>
            <w:r>
              <w:rPr>
                <w:rFonts w:hint="eastAsia" w:ascii="楷体" w:hAnsi="楷体" w:eastAsia="楷体" w:cs="楷体"/>
                <w:sz w:val="24"/>
                <w:szCs w:val="24"/>
              </w:rPr>
              <w:t>格</w:t>
            </w:r>
            <w:bookmarkEnd w:id="0"/>
            <w:bookmarkStart w:id="1" w:name="_Hlt38187512"/>
            <w:r>
              <w:rPr>
                <w:rFonts w:hint="eastAsia" w:ascii="楷体" w:hAnsi="楷体" w:eastAsia="楷体" w:cs="楷体"/>
                <w:sz w:val="24"/>
                <w:szCs w:val="24"/>
              </w:rPr>
              <w:t>品</w:t>
            </w:r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</w:rPr>
              <w:t>处置记录，查202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月12日不合格品处置记录，不合格事实描述：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课桌椅切割口不匀称整齐，处理：返工，再检验合格，质检员：姜利军。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产品交付后没有发现不合格的情况，发生时采取换货的方式处理。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不合格品控制有效。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EO6.1.2</w:t>
            </w:r>
          </w:p>
        </w:tc>
        <w:tc>
          <w:tcPr>
            <w:tcW w:w="11056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查有：《环境因素识别与评价控制程序QH-CX-16》、《危险源辨识、风险评价与控制措施制定程序QH-CX-23》。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质检部负责人介绍：部门按照办公过程及检验过程对环境因素、危险源进行了辨识，辨识时考虑了三种时态，过去、现在和将来，三种状态，正常、异常和紧急。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查到《环境因素识别和评价登记表》，识别了本部门在办公、检验等各有关过程的环境因素，包括办公固废排放、不合格品排放等环境因素。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控制措施：固废分类存放、垃圾等由办公室负责按规定处置，日常监督检查、培训教育，消防配备有消防器材等措施</w:t>
            </w:r>
          </w:p>
          <w:p>
            <w:pPr>
              <w:snapToGrid w:val="0"/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查到《危险源识别及风险评价表》，识别了办公过程办公电器漏电触电、检验活动过程中的碰伤等机械伤害等危险源。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查到《重大危险源清单》，涉及本部门的重大危险源：机械伤害、触电、职业病伤害。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EO8.1</w:t>
            </w:r>
          </w:p>
        </w:tc>
        <w:tc>
          <w:tcPr>
            <w:tcW w:w="1105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公司制定实施了《环境、职业健康安全运行控制程序QH-CX-29》等环境与安全管理制度。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现场检验时严格遵守公司的规章制度，尽量采取大箱换小箱的方式节约使用包装物，现场检验时注意安全避免碰伤划伤。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质检部没有实验室，在车间检验，检验合格产品进行回用，不合格产品统一退货处理。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巡视办公区域和检验区域的灭火器正常，电线、电气插座完整，未见隐患。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办公纸张采取双面打印，人走灯灭，定期检查水管跑冒滴漏。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质检员在202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.1.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日参加了公司的消防应急演练，掌握了消防应急知识。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质检部门运行控制基本有效。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9DE"/>
    <w:multiLevelType w:val="multilevel"/>
    <w:tmpl w:val="7CEA79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7922"/>
    <w:rsid w:val="00340867"/>
    <w:rsid w:val="00340CC4"/>
    <w:rsid w:val="00342857"/>
    <w:rsid w:val="00342E9F"/>
    <w:rsid w:val="0034373E"/>
    <w:rsid w:val="003439A4"/>
    <w:rsid w:val="00345161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50A4F"/>
    <w:rsid w:val="00456697"/>
    <w:rsid w:val="004570AB"/>
    <w:rsid w:val="00460E78"/>
    <w:rsid w:val="00461F7A"/>
    <w:rsid w:val="00465FE1"/>
    <w:rsid w:val="00466832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38C2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36D7"/>
    <w:rsid w:val="008341E7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5366"/>
    <w:rsid w:val="00B05691"/>
    <w:rsid w:val="00B0685B"/>
    <w:rsid w:val="00B103EA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31264"/>
    <w:rsid w:val="00C31C73"/>
    <w:rsid w:val="00C32EA5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593B"/>
    <w:rsid w:val="00FF68FF"/>
    <w:rsid w:val="0A820CCA"/>
    <w:rsid w:val="108219C2"/>
    <w:rsid w:val="142505BF"/>
    <w:rsid w:val="2CD02711"/>
    <w:rsid w:val="32457058"/>
    <w:rsid w:val="549F7078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2927</Words>
  <Characters>3259</Characters>
  <Lines>40</Lines>
  <Paragraphs>11</Paragraphs>
  <TotalTime>0</TotalTime>
  <ScaleCrop>false</ScaleCrop>
  <LinksUpToDate>false</LinksUpToDate>
  <CharactersWithSpaces>3335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2022-06-05T20:01:03Z</dcterms:modified>
  <cp:revision>1638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0BAC6DD890B346B5B4C2A2FADB861D92</vt:lpwstr>
  </property>
</Properties>
</file>