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成都可远建材有限公司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但成龙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文平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2022年05月20日 下午至2022年05月20日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现场检查《营业执照》——：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正本 □副本； □原件 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编号：9151011206745156x 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长期有效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经营范围的相关描述：声测管、钢筋套筒、金属波纹管、塑料滨纹管、双型打孔管、储具、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工格梗、土工布、防水板、桥梁支座、桥梁伸缩缝的生产、销售和安装∶混凝土外加剂的娟售。建筑材料、钢材、金属材料、五金交电、施工防水材料、胶制品约销售∶新型建筑材料生产、销售∶对新型建筑材料生产工艺的研发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建筑材料、钢筋网片及土工合成材料的销售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四川省成都经济技术开发区(龙泉驿区)南一路999号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生产地：四川省成都市青白江区创新路818号/销售经营地：四川省成都市新都区文家一巷188号2栋1506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声测管：焊管——下料——焊接——组装接头——检验——入库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塑料波纹管：配料——挤出成型——检验——入库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金属波纹管：钢带——绕制成型——切割——检验——入库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2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年8月2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年8月2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客户至上、诚信服务；遵纪守法，创新服务；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科学管理，和谐环境；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安全健康，优质高效，满足要求.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办公、生活废弃物分类收集处理率100%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处理数/总数*100%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火灾发生为0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环境扰民投诉为0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color w:val="000000"/>
                <w:szCs w:val="18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-记录表格；7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-12日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不符合项报告1份、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</w:rPr>
              <w:t>本公司产品依据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  <w:lang w:val="zh-CN"/>
              </w:rPr>
              <w:t>国家行业标准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</w:rPr>
              <w:t>客户的订单或合同要求进行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  <w:lang w:val="en-US" w:eastAsia="zh-CN"/>
              </w:rPr>
              <w:t>生产，不需要进行研发活动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  <w:lang w:val="zh-CN"/>
              </w:rPr>
              <w:t>。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  <w:lang w:val="en-US" w:eastAsia="zh-CN"/>
              </w:rPr>
              <w:t>不适用本条款后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  <w:lang w:val="zh-CN"/>
              </w:rPr>
              <w:t>不影响公司提供满足顾客要求和相关法律法规要求的能力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</w:rPr>
              <w:t>，故质量管理体系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  <w:lang w:eastAsia="zh-CN"/>
              </w:rPr>
              <w:t>GB/T19001-2016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</w:rPr>
              <w:t>标准8.3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  <w:lang w:val="en-US" w:eastAsia="zh-CN"/>
              </w:rPr>
              <w:t>条款不</w:t>
            </w:r>
            <w:r>
              <w:rPr>
                <w:rFonts w:hint="eastAsia" w:ascii="宋体" w:hAnsi="宋体" w:eastAsia="宋体" w:cs="Lucida Sans"/>
                <w:sz w:val="21"/>
                <w:szCs w:val="21"/>
                <w:highlight w:val="none"/>
              </w:rPr>
              <w:t>适用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电流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检测部门名称：成都市产品质量监督检验院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报告编号：J20220105报告日期：2022-01-05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执行标准：GB/T31438-2015 混凝土灌注桩用声测管及使用要求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检测部门名称：成都市产品质量监督检验院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报告编号：J2022010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报告日期：2022-01-05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执行标准：GB/T31438-2015 混凝土灌注桩用声测管及使用要求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；顾客满意度调查得分：9</w:t>
            </w:r>
            <w:r>
              <w:rPr>
                <w:color w:val="000000"/>
                <w:u w:val="single"/>
              </w:rPr>
              <w:t>8</w:t>
            </w:r>
            <w:r>
              <w:rPr>
                <w:rFonts w:hint="eastAsia"/>
                <w:color w:val="000000"/>
                <w:u w:val="single"/>
              </w:rPr>
              <w:t xml:space="preserve">分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bookmarkStart w:id="5" w:name="_GoBack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焊机</w:t>
            </w:r>
            <w:r>
              <w:rPr>
                <w:rFonts w:hint="eastAsia"/>
                <w:color w:val="000000"/>
                <w:szCs w:val="21"/>
                <w:u w:val="single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金属波纹管成型机</w:t>
            </w:r>
            <w:r>
              <w:rPr>
                <w:rFonts w:hint="eastAsia"/>
                <w:color w:val="000000"/>
                <w:szCs w:val="21"/>
                <w:u w:val="single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挤塑机</w:t>
            </w:r>
            <w:bookmarkEnd w:id="5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外径千分尺、砝码、游标卡尺、长钢尺等</w:t>
            </w:r>
            <w:r>
              <w:rPr>
                <w:color w:val="000000"/>
                <w:u w:val="single"/>
              </w:rPr>
              <w:t xml:space="preserve">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5490DCE"/>
    <w:rsid w:val="5ADA2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3458</Words>
  <Characters>3698</Characters>
  <Lines>92</Lines>
  <Paragraphs>26</Paragraphs>
  <TotalTime>1</TotalTime>
  <ScaleCrop>false</ScaleCrop>
  <LinksUpToDate>false</LinksUpToDate>
  <CharactersWithSpaces>4158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2022-05-20T06:50:45Z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2052-11.1.0.11691</vt:lpwstr>
  </property>
</Properties>
</file>