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0491-2022-H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桂林市避风港餐饮管理有限责任公司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2022年05月21日 上午</w:t>
            </w:r>
            <w:r>
              <w:rPr>
                <w:rFonts w:hint="eastAsia" w:ascii="宋体"/>
                <w:b/>
                <w:color w:val="000000"/>
                <w:szCs w:val="21"/>
                <w:lang w:val="en-US" w:eastAsia="zh-CN"/>
              </w:rPr>
              <w:t>8:30</w:t>
            </w:r>
            <w:r>
              <w:rPr>
                <w:rFonts w:hint="eastAsia" w:ascii="宋体"/>
                <w:b/>
                <w:color w:val="000000"/>
                <w:szCs w:val="21"/>
              </w:rPr>
              <w:t>至2022年05月21日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sz w:val="21"/>
                <w:szCs w:val="21"/>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w:t>
            </w:r>
            <w:r>
              <w:rPr>
                <w:rFonts w:ascii="宋体" w:hAnsi="宋体"/>
                <w:b/>
                <w:sz w:val="21"/>
                <w:szCs w:val="21"/>
              </w:rPr>
              <w:t>危害分析与关键控制点（HACCP体系）认证</w:t>
            </w:r>
            <w:r>
              <w:rPr>
                <w:rFonts w:hint="eastAsia" w:ascii="宋体" w:hAnsi="宋体"/>
                <w:b/>
                <w:sz w:val="21"/>
                <w:szCs w:val="21"/>
                <w:lang w:val="en-US" w:eastAsia="zh-CN"/>
              </w:rPr>
              <w:t>要求V</w:t>
            </w:r>
            <w:r>
              <w:rPr>
                <w:rFonts w:ascii="宋体" w:hAnsi="宋体"/>
                <w:b/>
                <w:sz w:val="21"/>
                <w:szCs w:val="21"/>
              </w:rPr>
              <w:t>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sz w:val="21"/>
                <w:szCs w:val="21"/>
                <w:lang w:val="en-US" w:eastAsia="zh-CN"/>
              </w:rPr>
              <w:t>桂林市临桂区临桂镇机场路立交桥以北100米（承包</w:t>
            </w:r>
            <w:r>
              <w:rPr>
                <w:sz w:val="21"/>
                <w:szCs w:val="21"/>
              </w:rPr>
              <w:t>桂林市桂林中学</w:t>
            </w:r>
            <w:r>
              <w:rPr>
                <w:rFonts w:hint="eastAsia"/>
                <w:sz w:val="21"/>
                <w:szCs w:val="21"/>
                <w:lang w:val="en-US" w:eastAsia="zh-CN"/>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r>
              <w:rPr>
                <w:rFonts w:hint="eastAsia"/>
                <w:szCs w:val="21"/>
                <w:lang w:eastAsia="zh-CN"/>
              </w:rPr>
              <w:t>（</w:t>
            </w:r>
            <w:r>
              <w:rPr>
                <w:rFonts w:hint="eastAsia"/>
                <w:szCs w:val="21"/>
                <w:lang w:val="en-US" w:eastAsia="zh-CN"/>
              </w:rPr>
              <w:t>远程</w:t>
            </w:r>
            <w:r>
              <w:rPr>
                <w:rFonts w:hint="eastAsia"/>
                <w:szCs w:val="21"/>
                <w:lang w:eastAsia="zh-CN"/>
              </w:rPr>
              <w:t>）</w:t>
            </w:r>
          </w:p>
        </w:tc>
        <w:tc>
          <w:tcPr>
            <w:tcW w:w="1089" w:type="dxa"/>
            <w:vAlign w:val="center"/>
          </w:tcPr>
          <w:p>
            <w:pPr>
              <w:spacing w:line="240" w:lineRule="exact"/>
              <w:jc w:val="center"/>
              <w:rPr>
                <w:rFonts w:hint="eastAsia" w:eastAsia="宋体"/>
                <w:szCs w:val="21"/>
                <w:lang w:val="en-US" w:eastAsia="zh-CN"/>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2020-N1HACCP-1232380</w:t>
            </w:r>
          </w:p>
        </w:tc>
        <w:tc>
          <w:tcPr>
            <w:tcW w:w="1140" w:type="dxa"/>
            <w:vAlign w:val="center"/>
          </w:tcPr>
          <w:p>
            <w:pPr>
              <w:spacing w:line="240" w:lineRule="exact"/>
              <w:jc w:val="center"/>
              <w:rPr>
                <w:b/>
                <w:color w:val="000000"/>
                <w:szCs w:val="21"/>
              </w:rPr>
            </w:pPr>
            <w:r>
              <w:rPr>
                <w:b/>
                <w:color w:val="000000"/>
                <w:szCs w:val="21"/>
              </w:rPr>
              <w:t>E</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任学礼</w:t>
            </w:r>
            <w:r>
              <w:rPr>
                <w:rFonts w:hint="eastAsia"/>
                <w:szCs w:val="21"/>
                <w:lang w:eastAsia="zh-CN"/>
              </w:rPr>
              <w:t>（</w:t>
            </w:r>
            <w:r>
              <w:rPr>
                <w:rFonts w:hint="eastAsia"/>
                <w:szCs w:val="21"/>
                <w:lang w:val="en-US" w:eastAsia="zh-CN"/>
              </w:rPr>
              <w:t>远程</w:t>
            </w:r>
            <w:r>
              <w:rPr>
                <w:rFonts w:hint="eastAsia"/>
                <w:szCs w:val="21"/>
                <w:lang w:eastAsia="zh-CN"/>
              </w:rPr>
              <w:t>）</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2021-N1HACCP-1232990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桂林市避风港餐饮管理有限责任公司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桂林市安家洲218号2栋</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541002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hint="eastAsia"/>
                <w:sz w:val="21"/>
                <w:szCs w:val="21"/>
                <w:lang w:val="en-US" w:eastAsia="zh-CN"/>
              </w:rPr>
              <w:t>桂林市临桂区临桂镇机场路立交桥以北100米（承包</w:t>
            </w:r>
            <w:r>
              <w:rPr>
                <w:sz w:val="21"/>
                <w:szCs w:val="21"/>
              </w:rPr>
              <w:t>桂林市桂林中学</w:t>
            </w:r>
            <w:r>
              <w:rPr>
                <w:rFonts w:hint="eastAsia"/>
                <w:sz w:val="21"/>
                <w:szCs w:val="21"/>
                <w:lang w:val="en-US" w:eastAsia="zh-CN"/>
              </w:rPr>
              <w:t>食堂</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541002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廖巧艳</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13077672078</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朱建强</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bookmarkStart w:id="32" w:name="管理者代表"/>
            <w:r>
              <w:rPr>
                <w:rFonts w:ascii="宋体"/>
                <w:b/>
                <w:color w:val="000000"/>
                <w:szCs w:val="21"/>
              </w:rPr>
              <w:t>朱建平</w:t>
            </w:r>
            <w:bookmarkEnd w:id="32"/>
            <w:r>
              <w:rPr>
                <w:rFonts w:hint="eastAsia" w:ascii="宋体"/>
                <w:b/>
                <w:color w:val="000000"/>
                <w:szCs w:val="21"/>
                <w:lang w:eastAsia="zh-CN"/>
              </w:rPr>
              <w:t>【</w:t>
            </w:r>
            <w:r>
              <w:rPr>
                <w:rFonts w:hint="eastAsia" w:ascii="宋体"/>
                <w:b/>
                <w:color w:val="000000"/>
                <w:szCs w:val="21"/>
                <w:lang w:val="en-US" w:eastAsia="zh-CN"/>
              </w:rPr>
              <w:t>副组长</w:t>
            </w:r>
            <w:r>
              <w:rPr>
                <w:rFonts w:hint="eastAsia" w:ascii="宋体"/>
                <w:b/>
                <w:color w:val="000000"/>
                <w:szCs w:val="21"/>
                <w:lang w:eastAsia="zh-CN"/>
              </w:rPr>
              <w:t>】</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3" w:name="联系人邮箱"/>
            <w:r>
              <w:rPr>
                <w:sz w:val="21"/>
                <w:szCs w:val="21"/>
              </w:rPr>
              <w:t>664849924@qq.com</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asciiTheme="minorEastAsia" w:hAnsiTheme="minorEastAsia" w:eastAsiaTheme="minorEastAsia"/>
                <w:sz w:val="20"/>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Theme="minorEastAsia" w:hAnsiTheme="minorEastAsia" w:eastAsiaTheme="minorEastAsia"/>
                <w:sz w:val="20"/>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jc w:val="left"/>
              <w:rPr>
                <w:rFonts w:ascii="宋体" w:hAnsi="宋体"/>
                <w:b/>
                <w:bCs/>
                <w:sz w:val="20"/>
                <w:highlight w:val="none"/>
              </w:rPr>
            </w:pPr>
            <w:r>
              <w:rPr>
                <w:rFonts w:hint="eastAsia" w:ascii="宋体" w:hAnsi="宋体"/>
                <w:b/>
                <w:bCs/>
                <w:sz w:val="20"/>
                <w:highlight w:val="none"/>
              </w:rPr>
              <w:t>生产/服务流程：</w:t>
            </w:r>
          </w:p>
          <w:p>
            <w:pPr>
              <w:rPr>
                <w:b/>
                <w:bCs/>
              </w:rPr>
            </w:pPr>
            <w:bookmarkStart w:id="37" w:name="_GoBack"/>
            <w:r>
              <w:rPr>
                <w:rFonts w:hint="eastAsia"/>
                <w:b/>
                <w:bCs/>
              </w:rPr>
              <w:t>红案：</w:t>
            </w:r>
          </w:p>
          <w:bookmarkEnd w:id="37"/>
          <w:p>
            <w:pPr>
              <w:rPr>
                <w:rFonts w:hint="eastAsia"/>
                <w:lang w:val="en-US" w:eastAsia="zh-CN"/>
              </w:rPr>
            </w:pPr>
            <w:r>
              <w:rPr>
                <w:rFonts w:hint="eastAsia"/>
              </w:rPr>
              <w:t>原料验收——择菜——洗菜——切菜——烹饪（炒、煮）——装盘——</w:t>
            </w:r>
            <w:r>
              <w:rPr>
                <w:rFonts w:hint="eastAsia"/>
                <w:lang w:val="en-US" w:eastAsia="zh-CN"/>
              </w:rPr>
              <w:t>打餐——售卖</w:t>
            </w:r>
          </w:p>
          <w:p>
            <w:pPr>
              <w:rPr>
                <w:b/>
                <w:bCs/>
              </w:rPr>
            </w:pPr>
            <w:r>
              <w:rPr>
                <w:rFonts w:hint="eastAsia"/>
                <w:b/>
                <w:bCs/>
              </w:rPr>
              <w:t>白案：</w:t>
            </w:r>
          </w:p>
          <w:p>
            <w:pPr>
              <w:rPr>
                <w:rFonts w:hint="eastAsia"/>
                <w:lang w:val="en-US" w:eastAsia="zh-CN"/>
              </w:rPr>
            </w:pPr>
            <w:r>
              <w:rPr>
                <w:rFonts w:hint="eastAsia"/>
              </w:rPr>
              <w:t>原料验收——清洗（大米）——蒸煮——</w:t>
            </w:r>
            <w:r>
              <w:rPr>
                <w:rFonts w:hint="eastAsia"/>
                <w:lang w:val="en-US" w:eastAsia="zh-CN"/>
              </w:rPr>
              <w:t>装盘</w:t>
            </w:r>
            <w:r>
              <w:rPr>
                <w:rFonts w:hint="eastAsia"/>
              </w:rPr>
              <w:t>——</w:t>
            </w:r>
            <w:r>
              <w:rPr>
                <w:rFonts w:hint="eastAsia"/>
                <w:lang w:val="en-US" w:eastAsia="zh-CN"/>
              </w:rPr>
              <w:t>打餐——售卖</w:t>
            </w:r>
          </w:p>
          <w:p>
            <w:pPr>
              <w:rPr>
                <w:b/>
                <w:bCs/>
              </w:rPr>
            </w:pPr>
            <w:r>
              <w:rPr>
                <w:rFonts w:hint="eastAsia"/>
                <w:b/>
                <w:bCs/>
              </w:rPr>
              <w:t>餐具清洗消毒：</w:t>
            </w:r>
          </w:p>
          <w:p>
            <w:pPr>
              <w:snapToGrid w:val="0"/>
              <w:spacing w:line="480" w:lineRule="auto"/>
              <w:jc w:val="left"/>
              <w:rPr>
                <w:rFonts w:hint="eastAsia"/>
                <w:lang w:eastAsia="zh-CN"/>
              </w:rPr>
            </w:pPr>
            <w:r>
              <w:rPr>
                <w:rFonts w:hint="eastAsia"/>
              </w:rPr>
              <w:t>餐具——回收——</w:t>
            </w:r>
            <w:r>
              <w:rPr>
                <w:rFonts w:hint="eastAsia"/>
                <w:lang w:eastAsia="zh-CN"/>
              </w:rPr>
              <w:t>由桂林海鑫餐具有限公司统一清洗消毒【</w:t>
            </w:r>
            <w:r>
              <w:rPr>
                <w:rFonts w:hint="eastAsia"/>
                <w:lang w:val="en-US" w:eastAsia="zh-CN"/>
              </w:rPr>
              <w:t>学校统一管理</w:t>
            </w:r>
            <w:r>
              <w:rPr>
                <w:rFonts w:hint="eastAsia"/>
                <w:lang w:eastAsia="zh-CN"/>
              </w:rPr>
              <w:t>】</w:t>
            </w:r>
          </w:p>
          <w:p>
            <w:pPr>
              <w:tabs>
                <w:tab w:val="left" w:pos="360"/>
              </w:tabs>
              <w:ind w:left="360" w:hanging="360"/>
              <w:rPr>
                <w:rFonts w:ascii="宋体"/>
                <w:color w:val="000000"/>
                <w:szCs w:val="21"/>
              </w:rPr>
            </w:pPr>
            <w:r>
              <w:rPr>
                <w:rFonts w:hint="eastAsia" w:ascii="宋体" w:hAnsi="宋体"/>
                <w:color w:val="000000"/>
                <w:sz w:val="20"/>
                <w:highlight w:val="none"/>
                <w:lang w:val="en-US" w:eastAsia="zh-CN"/>
              </w:rPr>
              <w:t>工器具——回收——清洗——消毒——存放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bookmarkStart w:id="34" w:name="审核范围"/>
            <w:r>
              <w:t>位于桂林市安家洲218号2栋桂林市避风港餐饮管理有限责任公司的热食类食品的制售</w:t>
            </w:r>
            <w:bookmarkEnd w:id="34"/>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桂林市避风港餐饮管理有限责任公司</w:t>
            </w:r>
          </w:p>
          <w:p>
            <w:pPr>
              <w:pStyle w:val="2"/>
              <w:rPr>
                <w:lang w:val="de-DE" w:eastAsia="ja-JP"/>
              </w:rPr>
            </w:pPr>
            <w:r>
              <w:rPr>
                <w:rFonts w:asciiTheme="minorEastAsia" w:hAnsiTheme="minorEastAsia" w:eastAsiaTheme="minorEastAsia"/>
                <w:sz w:val="20"/>
              </w:rPr>
              <w:t>桂林市安家洲218号2栋</w:t>
            </w:r>
          </w:p>
        </w:tc>
        <w:tc>
          <w:tcPr>
            <w:tcW w:w="2267" w:type="dxa"/>
          </w:tcPr>
          <w:p>
            <w:pPr>
              <w:spacing w:before="40" w:after="40"/>
              <w:rPr>
                <w:rFonts w:eastAsia="黑体"/>
                <w:szCs w:val="21"/>
                <w:lang w:val="de-DE" w:eastAsia="ja-JP"/>
              </w:rPr>
            </w:pPr>
            <w:r>
              <w:rPr>
                <w:rFonts w:hint="eastAsia"/>
                <w:sz w:val="21"/>
                <w:szCs w:val="21"/>
                <w:lang w:val="en-US" w:eastAsia="zh-CN"/>
              </w:rPr>
              <w:t>桂林市临桂区临桂镇机场路立交桥以北100米（承包</w:t>
            </w:r>
            <w:bookmarkStart w:id="35" w:name="生产地址"/>
            <w:r>
              <w:rPr>
                <w:sz w:val="21"/>
                <w:szCs w:val="21"/>
              </w:rPr>
              <w:t>桂林市桂林中学</w:t>
            </w:r>
            <w:bookmarkEnd w:id="35"/>
            <w:r>
              <w:rPr>
                <w:rFonts w:hint="eastAsia"/>
                <w:sz w:val="21"/>
                <w:szCs w:val="21"/>
                <w:lang w:val="en-US" w:eastAsia="zh-CN"/>
              </w:rPr>
              <w:t>食堂）</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28</w:t>
            </w:r>
          </w:p>
        </w:tc>
        <w:tc>
          <w:tcPr>
            <w:tcW w:w="2803" w:type="dxa"/>
            <w:vAlign w:val="center"/>
          </w:tcPr>
          <w:p>
            <w:pPr>
              <w:pStyle w:val="19"/>
              <w:rPr>
                <w:rFonts w:eastAsia="黑体" w:cs="Arial"/>
                <w:sz w:val="21"/>
                <w:szCs w:val="21"/>
                <w:lang w:val="en-US" w:eastAsia="ja-JP"/>
              </w:rPr>
            </w:pPr>
            <w:r>
              <w:rPr>
                <w:rFonts w:hint="eastAsia" w:asciiTheme="minorEastAsia" w:hAnsiTheme="minorEastAsia" w:eastAsiaTheme="minorEastAsia"/>
                <w:sz w:val="20"/>
              </w:rPr>
              <w:t>位于桂林市临桂区临桂镇机场路立交桥以北100米桂林市桂林中学食堂（桂林市避风港餐饮管理有限责任公司承包食堂）的热食类食品制售</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hAnsi="宋体"/>
                <w:color w:val="000000"/>
                <w:spacing w:val="-10"/>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hAnsi="宋体"/>
                <w:color w:val="000000"/>
                <w:spacing w:val="-10"/>
                <w:szCs w:val="21"/>
              </w:rPr>
              <w:sym w:font="Wingdings 2" w:char="0052"/>
            </w:r>
            <w:r>
              <w:rPr>
                <w:rFonts w:hint="eastAsia" w:ascii="宋体"/>
                <w:b w:val="0"/>
                <w:bCs/>
                <w:color w:val="000000"/>
                <w:sz w:val="21"/>
                <w:szCs w:val="21"/>
                <w:lang w:val="en-US" w:eastAsia="zh-CN"/>
              </w:rPr>
              <w:t>经营/</w:t>
            </w:r>
            <w:r>
              <w:rPr>
                <w:rFonts w:hint="eastAsia" w:ascii="宋体" w:hAnsi="宋体"/>
                <w:color w:val="000000"/>
                <w:spacing w:val="-10"/>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eastAsia" w:ascii="宋体" w:eastAsia="宋体"/>
                <w:color w:val="000000"/>
                <w:spacing w:val="-10"/>
                <w:szCs w:val="21"/>
                <w:lang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01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w:t>
            </w:r>
            <w:r>
              <w:rPr>
                <w:rFonts w:hint="eastAsia" w:ascii="宋体" w:hAnsi="宋体" w:eastAsia="宋体"/>
                <w:color w:val="000000"/>
                <w:sz w:val="21"/>
                <w:szCs w:val="21"/>
                <w:u w:val="single"/>
                <w:lang w:val="en-US" w:eastAsia="zh-CN"/>
              </w:rPr>
              <w:t>年3月25日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highlight w:val="yellow"/>
        </w:rPr>
      </w:pPr>
    </w:p>
    <w:p>
      <w:pPr>
        <w:spacing w:before="156" w:beforeLines="50" w:line="320" w:lineRule="exact"/>
        <w:rPr>
          <w:rFonts w:ascii="宋体" w:hAnsi="宋体"/>
          <w:b/>
          <w:color w:val="000000"/>
          <w:szCs w:val="21"/>
          <w:highlight w:val="none"/>
        </w:rPr>
      </w:pPr>
      <w:r>
        <w:rPr>
          <w:rFonts w:hint="eastAsia" w:ascii="宋体" w:hAnsi="宋体"/>
          <w:b/>
          <w:color w:val="000000"/>
          <w:szCs w:val="21"/>
          <w:highlight w:val="none"/>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70" w:type="dxa"/>
          <w:bottom w:w="0" w:type="dxa"/>
          <w:right w:w="70" w:type="dxa"/>
        </w:tblCellMar>
      </w:tblPr>
      <w:tblGrid>
        <w:gridCol w:w="2500"/>
        <w:gridCol w:w="4162"/>
        <w:gridCol w:w="182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70" w:type="dxa"/>
            <w:bottom w:w="0" w:type="dxa"/>
            <w:right w:w="70" w:type="dxa"/>
          </w:tblCellMar>
        </w:tblPrEx>
        <w:trPr>
          <w:cantSplit/>
          <w:trHeight w:val="507" w:hRule="exact"/>
        </w:trPr>
        <w:tc>
          <w:tcPr>
            <w:tcW w:w="9763" w:type="dxa"/>
            <w:gridSpan w:val="4"/>
            <w:shd w:val="clear" w:color="auto" w:fill="auto"/>
            <w:vAlign w:val="center"/>
          </w:tcPr>
          <w:p>
            <w:pPr>
              <w:spacing w:before="40" w:after="40"/>
              <w:rPr>
                <w:rFonts w:eastAsia="黑体"/>
                <w:b/>
                <w:color w:val="0000FF"/>
                <w:szCs w:val="21"/>
              </w:rPr>
            </w:pPr>
            <w:r>
              <w:rPr>
                <w:rFonts w:hint="eastAsia" w:ascii="宋体" w:hAnsi="宋体"/>
                <w:b/>
                <w:sz w:val="20"/>
                <w:szCs w:val="20"/>
              </w:rPr>
              <w:sym w:font="Wingdings 2" w:char="0052"/>
            </w:r>
            <w:r>
              <w:rPr>
                <w:rFonts w:hint="eastAsia" w:ascii="宋体" w:hAnsi="宋体"/>
                <w:b/>
                <w:sz w:val="20"/>
                <w:szCs w:val="20"/>
              </w:rPr>
              <w:t>《危害分析与关键控制点（HACCP体系）认证要求》（V1.0）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9763" w:type="dxa"/>
            <w:gridSpan w:val="4"/>
            <w:shd w:val="clear" w:color="auto" w:fill="auto"/>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825" w:type="dxa"/>
            <w:shd w:val="clear" w:color="auto" w:fill="auto"/>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w:t>
            </w:r>
            <w:r>
              <w:rPr>
                <w:rFonts w:ascii="宋体" w:hAnsi="宋体" w:eastAsia="宋体"/>
                <w:b w:val="0"/>
                <w:bCs/>
                <w:sz w:val="20"/>
                <w:lang w:val="en-GB" w:eastAsia="zh-CN"/>
              </w:rPr>
              <w:t>GHP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SSOP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r>
              <w:rPr>
                <w:rFonts w:hint="eastAsia" w:ascii="宋体" w:hAnsi="宋体" w:eastAsia="宋体"/>
                <w:b w:val="0"/>
                <w:bCs/>
                <w:sz w:val="20"/>
                <w:lang w:val="en-US" w:eastAsia="zh-CN"/>
              </w:rPr>
              <w:t>不适用</w:t>
            </w:r>
            <w:r>
              <w:rPr>
                <w:rFonts w:hint="eastAsia" w:ascii="宋体" w:hAnsi="宋体" w:eastAsia="宋体"/>
                <w:b w:val="0"/>
                <w:bCs/>
                <w:sz w:val="20"/>
                <w:lang w:val="en-GB" w:eastAsia="zh-CN"/>
              </w:rPr>
              <w:t>）</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ascii="宋体" w:hAnsi="宋体" w:eastAsia="宋体"/>
                <w:b w:val="0"/>
                <w:bCs/>
                <w:sz w:val="20"/>
                <w:lang w:val="en-GB" w:eastAsia="zh-CN"/>
              </w:rPr>
              <w:t>HACCP</w:t>
            </w:r>
            <w:r>
              <w:rPr>
                <w:rFonts w:hint="eastAsia" w:ascii="宋体" w:hAnsi="宋体" w:eastAsia="宋体"/>
                <w:b w:val="0"/>
                <w:bCs/>
                <w:sz w:val="20"/>
                <w:lang w:val="en-GB" w:eastAsia="zh-CN"/>
              </w:rPr>
              <w:t>知识的培训</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ascii="宋体" w:hAnsi="宋体" w:eastAsia="宋体"/>
                <w:b w:val="0"/>
                <w:bCs/>
                <w:sz w:val="20"/>
                <w:lang w:val="en-GB" w:eastAsia="zh-CN"/>
              </w:rPr>
              <w:t>HACCP</w:t>
            </w:r>
            <w:r>
              <w:rPr>
                <w:rFonts w:hint="eastAsia" w:ascii="宋体" w:hAnsi="宋体" w:eastAsia="宋体"/>
                <w:b w:val="0"/>
                <w:bCs/>
                <w:sz w:val="20"/>
                <w:lang w:val="en-GB" w:eastAsia="zh-CN"/>
              </w:rPr>
              <w:t>实施规则被认证机构撤销认证证书</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662" w:type="dxa"/>
            <w:gridSpan w:val="2"/>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0" w:hRule="atLeast"/>
          <w:jc w:val="center"/>
        </w:trPr>
        <w:tc>
          <w:tcPr>
            <w:tcW w:w="9763" w:type="dxa"/>
            <w:gridSpan w:val="4"/>
            <w:shd w:val="clear" w:color="auto" w:fill="auto"/>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52" w:hRule="atLeast"/>
          <w:jc w:val="center"/>
        </w:trPr>
        <w:tc>
          <w:tcPr>
            <w:tcW w:w="2500" w:type="dxa"/>
            <w:shd w:val="clear" w:color="auto" w:fill="auto"/>
          </w:tcPr>
          <w:p>
            <w:pPr>
              <w:rPr>
                <w:rFonts w:ascii="宋体"/>
                <w:color w:val="000000"/>
                <w:spacing w:val="-10"/>
                <w:szCs w:val="21"/>
              </w:rPr>
            </w:pPr>
            <w:r>
              <w:rPr>
                <w:rFonts w:hint="eastAsia" w:ascii="宋体" w:hAnsi="宋体"/>
                <w:color w:val="000000"/>
                <w:spacing w:val="-10"/>
                <w:szCs w:val="21"/>
              </w:rPr>
              <w:t>关键控制点（CCP）的识别</w:t>
            </w:r>
          </w:p>
        </w:tc>
        <w:tc>
          <w:tcPr>
            <w:tcW w:w="4162" w:type="dxa"/>
            <w:shd w:val="clear" w:color="auto" w:fill="auto"/>
          </w:tcPr>
          <w:p>
            <w:pPr>
              <w:rPr>
                <w:rFonts w:hint="eastAsia"/>
                <w:color w:val="000000"/>
              </w:rPr>
            </w:pPr>
            <w:r>
              <w:rPr>
                <w:rFonts w:hint="eastAsia"/>
                <w:color w:val="000000"/>
              </w:rPr>
              <w:t>CPP1-1</w:t>
            </w:r>
            <w:r>
              <w:rPr>
                <w:rFonts w:hint="eastAsia"/>
                <w:color w:val="000000"/>
                <w:lang w:eastAsia="zh-CN"/>
              </w:rPr>
              <w:t>：</w:t>
            </w:r>
            <w:r>
              <w:rPr>
                <w:rFonts w:hint="eastAsia"/>
                <w:color w:val="000000"/>
              </w:rPr>
              <w:t>鲜猪肉验收</w:t>
            </w:r>
          </w:p>
          <w:p>
            <w:pPr>
              <w:rPr>
                <w:rFonts w:hint="eastAsia"/>
                <w:color w:val="000000"/>
              </w:rPr>
            </w:pPr>
            <w:r>
              <w:rPr>
                <w:rFonts w:hint="eastAsia"/>
                <w:color w:val="000000"/>
              </w:rPr>
              <w:t>CPP1-2</w:t>
            </w:r>
            <w:r>
              <w:rPr>
                <w:rFonts w:hint="eastAsia"/>
                <w:color w:val="000000"/>
                <w:lang w:eastAsia="zh-CN"/>
              </w:rPr>
              <w:t>：</w:t>
            </w:r>
            <w:r>
              <w:rPr>
                <w:rFonts w:hint="eastAsia"/>
                <w:color w:val="000000"/>
              </w:rPr>
              <w:t>鸡肉验收</w:t>
            </w:r>
          </w:p>
          <w:p>
            <w:pPr>
              <w:rPr>
                <w:rFonts w:hint="eastAsia"/>
                <w:color w:val="000000"/>
              </w:rPr>
            </w:pPr>
            <w:r>
              <w:rPr>
                <w:rFonts w:hint="eastAsia"/>
                <w:color w:val="000000"/>
              </w:rPr>
              <w:t>CPP1-3</w:t>
            </w:r>
            <w:r>
              <w:rPr>
                <w:rFonts w:hint="eastAsia"/>
                <w:color w:val="000000"/>
                <w:lang w:eastAsia="zh-CN"/>
              </w:rPr>
              <w:t>：</w:t>
            </w:r>
            <w:r>
              <w:rPr>
                <w:rFonts w:hint="eastAsia"/>
                <w:color w:val="000000"/>
              </w:rPr>
              <w:t>蔬菜验收</w:t>
            </w:r>
          </w:p>
          <w:p>
            <w:pPr>
              <w:rPr>
                <w:rFonts w:hint="eastAsia"/>
                <w:color w:val="000000"/>
              </w:rPr>
            </w:pPr>
            <w:r>
              <w:rPr>
                <w:rFonts w:hint="eastAsia"/>
                <w:color w:val="000000"/>
              </w:rPr>
              <w:t>CCP2</w:t>
            </w:r>
            <w:r>
              <w:rPr>
                <w:rFonts w:hint="eastAsia"/>
                <w:color w:val="000000"/>
                <w:lang w:eastAsia="zh-CN"/>
              </w:rPr>
              <w:t>：</w:t>
            </w:r>
            <w:r>
              <w:rPr>
                <w:rFonts w:hint="eastAsia"/>
                <w:color w:val="000000"/>
              </w:rPr>
              <w:t>烹饪</w:t>
            </w:r>
          </w:p>
          <w:p>
            <w:pPr>
              <w:rPr>
                <w:rFonts w:ascii="宋体"/>
                <w:color w:val="000000"/>
                <w:szCs w:val="21"/>
              </w:rPr>
            </w:pPr>
            <w:r>
              <w:rPr>
                <w:rFonts w:hint="eastAsia"/>
                <w:color w:val="000000"/>
              </w:rPr>
              <w:t>CCP3</w:t>
            </w:r>
            <w:r>
              <w:rPr>
                <w:rFonts w:hint="eastAsia"/>
                <w:color w:val="000000"/>
                <w:lang w:eastAsia="zh-CN"/>
              </w:rPr>
              <w:t>：</w:t>
            </w:r>
            <w:r>
              <w:rPr>
                <w:rFonts w:hint="eastAsia"/>
                <w:color w:val="000000"/>
              </w:rPr>
              <w:t>餐具消毒</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auto"/>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8" w:hRule="atLeast"/>
          <w:jc w:val="center"/>
        </w:trPr>
        <w:tc>
          <w:tcPr>
            <w:tcW w:w="2500" w:type="dxa"/>
            <w:shd w:val="clear" w:color="auto" w:fill="auto"/>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162" w:type="dxa"/>
            <w:shd w:val="clear" w:color="auto" w:fill="auto"/>
          </w:tcPr>
          <w:p>
            <w:pPr>
              <w:rPr>
                <w:rFonts w:hint="eastAsia" w:eastAsia="宋体"/>
                <w:color w:val="000000"/>
                <w:sz w:val="18"/>
                <w:szCs w:val="18"/>
                <w:lang w:eastAsia="zh-CN"/>
              </w:rPr>
            </w:pPr>
            <w:r>
              <w:rPr>
                <w:rFonts w:hint="eastAsia"/>
              </w:rPr>
              <w:t>CCP</w:t>
            </w:r>
            <w:r>
              <w:rPr>
                <w:rFonts w:hint="eastAsia"/>
                <w:lang w:val="en-US" w:eastAsia="zh-CN"/>
              </w:rPr>
              <w:t>1-</w:t>
            </w:r>
            <w:r>
              <w:rPr>
                <w:rFonts w:hint="eastAsia"/>
              </w:rPr>
              <w:t>1-CL:</w:t>
            </w:r>
            <w:r>
              <w:rPr>
                <w:rFonts w:hint="eastAsia"/>
                <w:color w:val="000000"/>
                <w:sz w:val="18"/>
                <w:szCs w:val="18"/>
              </w:rPr>
              <w:t>肉类收取检疫合格证明</w:t>
            </w:r>
          </w:p>
          <w:p>
            <w:pPr>
              <w:rPr>
                <w:rFonts w:hint="eastAsia"/>
                <w:color w:val="000000"/>
                <w:sz w:val="18"/>
                <w:szCs w:val="18"/>
              </w:rPr>
            </w:pPr>
            <w:r>
              <w:rPr>
                <w:rFonts w:hint="eastAsia"/>
                <w:color w:val="000000"/>
              </w:rPr>
              <w:t>CPP1-2</w:t>
            </w:r>
            <w:r>
              <w:rPr>
                <w:rFonts w:hint="eastAsia"/>
              </w:rPr>
              <w:t>-CL</w:t>
            </w:r>
            <w:r>
              <w:rPr>
                <w:rFonts w:hint="eastAsia"/>
                <w:lang w:eastAsia="zh-CN"/>
              </w:rPr>
              <w:t>：</w:t>
            </w:r>
            <w:r>
              <w:rPr>
                <w:rFonts w:hint="eastAsia"/>
                <w:color w:val="000000"/>
                <w:sz w:val="18"/>
                <w:szCs w:val="18"/>
              </w:rPr>
              <w:t>肉类收取检疫合格证明</w:t>
            </w:r>
          </w:p>
          <w:p>
            <w:pPr>
              <w:rPr>
                <w:rFonts w:hint="eastAsia"/>
                <w:color w:val="000000"/>
                <w:sz w:val="18"/>
                <w:szCs w:val="18"/>
              </w:rPr>
            </w:pPr>
            <w:r>
              <w:rPr>
                <w:rFonts w:hint="eastAsia"/>
                <w:color w:val="000000"/>
              </w:rPr>
              <w:t>CPP1-</w:t>
            </w:r>
            <w:r>
              <w:rPr>
                <w:rFonts w:hint="eastAsia"/>
                <w:color w:val="000000"/>
                <w:lang w:val="en-US" w:eastAsia="zh-CN"/>
              </w:rPr>
              <w:t>3</w:t>
            </w:r>
            <w:r>
              <w:rPr>
                <w:rFonts w:hint="eastAsia"/>
              </w:rPr>
              <w:t>-CL</w:t>
            </w:r>
            <w:r>
              <w:rPr>
                <w:rFonts w:hint="eastAsia"/>
                <w:lang w:eastAsia="zh-CN"/>
              </w:rPr>
              <w:t>：</w:t>
            </w:r>
            <w:r>
              <w:rPr>
                <w:rFonts w:hint="eastAsia"/>
                <w:color w:val="000000"/>
                <w:sz w:val="18"/>
                <w:szCs w:val="18"/>
              </w:rPr>
              <w:t>蔬菜收取农残检测合格证明</w:t>
            </w:r>
          </w:p>
          <w:p>
            <w:pPr>
              <w:rPr>
                <w:rFonts w:hint="eastAsia"/>
                <w:color w:val="000000"/>
                <w:sz w:val="18"/>
                <w:szCs w:val="18"/>
              </w:rPr>
            </w:pPr>
            <w:r>
              <w:rPr>
                <w:rFonts w:hint="eastAsia"/>
                <w:color w:val="000000"/>
              </w:rPr>
              <w:t>CPP2</w:t>
            </w:r>
            <w:r>
              <w:rPr>
                <w:rFonts w:hint="eastAsia"/>
              </w:rPr>
              <w:t>-CL</w:t>
            </w:r>
            <w:r>
              <w:rPr>
                <w:rFonts w:hint="eastAsia"/>
                <w:lang w:eastAsia="zh-CN"/>
              </w:rPr>
              <w:t>：</w:t>
            </w:r>
            <w:r>
              <w:rPr>
                <w:rFonts w:hint="eastAsia"/>
                <w:color w:val="000000"/>
                <w:sz w:val="18"/>
                <w:szCs w:val="18"/>
              </w:rPr>
              <w:t>菜品出锅温度≥70℃</w:t>
            </w:r>
          </w:p>
          <w:p>
            <w:pPr>
              <w:rPr>
                <w:rFonts w:ascii="宋体"/>
                <w:color w:val="000000"/>
                <w:spacing w:val="-10"/>
                <w:szCs w:val="21"/>
              </w:rPr>
            </w:pPr>
            <w:r>
              <w:rPr>
                <w:rFonts w:hint="eastAsia"/>
                <w:color w:val="000000"/>
              </w:rPr>
              <w:t>CPP</w:t>
            </w:r>
            <w:r>
              <w:rPr>
                <w:rFonts w:hint="eastAsia"/>
                <w:color w:val="000000"/>
                <w:lang w:val="en-US" w:eastAsia="zh-CN"/>
              </w:rPr>
              <w:t>3</w:t>
            </w:r>
            <w:r>
              <w:rPr>
                <w:rFonts w:hint="eastAsia"/>
              </w:rPr>
              <w:t>-CL</w:t>
            </w:r>
            <w:r>
              <w:rPr>
                <w:rFonts w:hint="eastAsia"/>
                <w:lang w:eastAsia="zh-CN"/>
              </w:rPr>
              <w:t>：</w:t>
            </w:r>
            <w:r>
              <w:rPr>
                <w:rFonts w:hint="eastAsia"/>
                <w:color w:val="000000"/>
                <w:sz w:val="18"/>
                <w:szCs w:val="18"/>
              </w:rPr>
              <w:t>温度不低于100℃，时间不低于30分钟</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auto"/>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auto"/>
            <w:vAlign w:val="center"/>
          </w:tcPr>
          <w:p>
            <w:pPr>
              <w:rPr>
                <w:rFonts w:ascii="宋体"/>
                <w:color w:val="000000"/>
                <w:spacing w:val="-10"/>
                <w:szCs w:val="21"/>
              </w:rPr>
            </w:pPr>
            <w:r>
              <w:rPr>
                <w:rFonts w:hint="eastAsia" w:ascii="宋体" w:hAnsi="宋体"/>
                <w:color w:val="000000"/>
                <w:spacing w:val="-10"/>
                <w:szCs w:val="21"/>
              </w:rPr>
              <w:t>外包过程的识别</w:t>
            </w:r>
          </w:p>
        </w:tc>
        <w:tc>
          <w:tcPr>
            <w:tcW w:w="4162" w:type="dxa"/>
            <w:shd w:val="clear" w:color="auto" w:fill="auto"/>
          </w:tcPr>
          <w:p>
            <w:pPr>
              <w:rPr>
                <w:rFonts w:ascii="宋体"/>
                <w:color w:val="000000"/>
                <w:spacing w:val="-10"/>
                <w:szCs w:val="21"/>
              </w:rPr>
            </w:pPr>
            <w:r>
              <w:rPr>
                <w:rFonts w:hint="eastAsia"/>
                <w:color w:val="000000"/>
              </w:rPr>
              <w:t>无</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auto"/>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auto"/>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162" w:type="dxa"/>
            <w:shd w:val="clear" w:color="auto" w:fill="auto"/>
          </w:tcPr>
          <w:p>
            <w:pPr>
              <w:rPr>
                <w:rFonts w:ascii="宋体"/>
                <w:color w:val="000000"/>
                <w:spacing w:val="-10"/>
                <w:szCs w:val="21"/>
              </w:rPr>
            </w:pPr>
            <w:r>
              <w:rPr>
                <w:rFonts w:hint="eastAsia" w:ascii="宋体"/>
                <w:color w:val="000000"/>
                <w:spacing w:val="-10"/>
                <w:szCs w:val="21"/>
              </w:rPr>
              <w:t>无</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276" w:type="dxa"/>
            <w:shd w:val="clear" w:color="auto" w:fill="auto"/>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4" w:hRule="atLeast"/>
          <w:jc w:val="center"/>
        </w:trPr>
        <w:tc>
          <w:tcPr>
            <w:tcW w:w="2500" w:type="dxa"/>
            <w:shd w:val="clear" w:color="auto" w:fill="auto"/>
            <w:vAlign w:val="center"/>
          </w:tcPr>
          <w:p>
            <w:pPr>
              <w:rPr>
                <w:rFonts w:ascii="宋体"/>
                <w:color w:val="000000"/>
                <w:spacing w:val="-10"/>
                <w:szCs w:val="21"/>
              </w:rPr>
            </w:pPr>
            <w:r>
              <w:rPr>
                <w:rFonts w:hint="eastAsia" w:ascii="宋体" w:hAnsi="宋体"/>
                <w:color w:val="000000"/>
                <w:szCs w:val="21"/>
              </w:rPr>
              <w:t>基础设施管理</w:t>
            </w:r>
          </w:p>
        </w:tc>
        <w:tc>
          <w:tcPr>
            <w:tcW w:w="4162" w:type="dxa"/>
            <w:shd w:val="clear" w:color="auto" w:fill="auto"/>
          </w:tcPr>
          <w:p>
            <w:pPr>
              <w:rPr>
                <w:rFonts w:ascii="宋体"/>
                <w:color w:val="000000"/>
                <w:spacing w:val="-10"/>
                <w:szCs w:val="21"/>
              </w:rPr>
            </w:pPr>
            <w:r>
              <w:rPr>
                <w:rFonts w:hint="eastAsia" w:ascii="宋体" w:hAnsi="宋体"/>
                <w:color w:val="000000"/>
                <w:szCs w:val="21"/>
              </w:rPr>
              <w:t>是否满足生产/服务的需要且完好运行</w:t>
            </w:r>
          </w:p>
        </w:tc>
        <w:tc>
          <w:tcPr>
            <w:tcW w:w="1825" w:type="dxa"/>
            <w:shd w:val="clear" w:color="auto" w:fill="auto"/>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276" w:type="dxa"/>
            <w:shd w:val="clear" w:color="auto" w:fill="auto"/>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shd w:val="clear" w:color="auto" w:fill="auto"/>
            <w:vAlign w:val="center"/>
          </w:tcPr>
          <w:p>
            <w:pPr>
              <w:rPr>
                <w:rFonts w:ascii="宋体" w:hAnsi="宋体"/>
                <w:color w:val="000000"/>
                <w:szCs w:val="21"/>
              </w:rPr>
            </w:pPr>
            <w:r>
              <w:rPr>
                <w:rFonts w:hint="eastAsia" w:ascii="宋体" w:hAnsi="宋体"/>
                <w:color w:val="000000"/>
                <w:szCs w:val="21"/>
              </w:rPr>
              <w:t>特种设备管理</w:t>
            </w:r>
          </w:p>
        </w:tc>
        <w:tc>
          <w:tcPr>
            <w:tcW w:w="4162" w:type="dxa"/>
            <w:shd w:val="clear" w:color="auto" w:fill="auto"/>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825" w:type="dxa"/>
            <w:shd w:val="clear" w:color="auto" w:fill="auto"/>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276" w:type="dxa"/>
            <w:shd w:val="clear" w:color="auto" w:fill="auto"/>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0" w:hRule="atLeast"/>
          <w:jc w:val="center"/>
        </w:trPr>
        <w:tc>
          <w:tcPr>
            <w:tcW w:w="2500" w:type="dxa"/>
            <w:shd w:val="clear" w:color="auto" w:fill="auto"/>
            <w:vAlign w:val="center"/>
          </w:tcPr>
          <w:p>
            <w:pPr>
              <w:rPr>
                <w:rFonts w:ascii="宋体"/>
                <w:color w:val="000000"/>
                <w:szCs w:val="21"/>
              </w:rPr>
            </w:pPr>
            <w:r>
              <w:rPr>
                <w:rFonts w:hint="eastAsia" w:ascii="宋体" w:hAnsi="宋体"/>
                <w:color w:val="000000"/>
                <w:szCs w:val="21"/>
              </w:rPr>
              <w:t>监视和测量资源</w:t>
            </w:r>
          </w:p>
        </w:tc>
        <w:tc>
          <w:tcPr>
            <w:tcW w:w="4162" w:type="dxa"/>
            <w:shd w:val="clear" w:color="auto" w:fill="auto"/>
          </w:tcPr>
          <w:p>
            <w:pPr>
              <w:rPr>
                <w:rFonts w:ascii="宋体"/>
                <w:color w:val="000000"/>
                <w:szCs w:val="21"/>
              </w:rPr>
            </w:pPr>
            <w:r>
              <w:rPr>
                <w:rFonts w:hint="eastAsia" w:ascii="宋体"/>
                <w:color w:val="000000"/>
                <w:szCs w:val="21"/>
              </w:rPr>
              <w:t xml:space="preserve">是否满足产品检测的需要               </w:t>
            </w:r>
          </w:p>
        </w:tc>
        <w:tc>
          <w:tcPr>
            <w:tcW w:w="1825" w:type="dxa"/>
            <w:shd w:val="clear" w:color="auto" w:fill="auto"/>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276" w:type="dxa"/>
            <w:shd w:val="clear" w:color="auto" w:fill="auto"/>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auto"/>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62" w:type="dxa"/>
            <w:shd w:val="clear" w:color="auto" w:fill="auto"/>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825" w:type="dxa"/>
            <w:shd w:val="clear" w:color="auto" w:fill="auto"/>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r>
              <w:rPr>
                <w:rFonts w:hint="eastAsia" w:ascii="宋体" w:hAnsi="宋体"/>
                <w:color w:val="000000"/>
                <w:szCs w:val="21"/>
              </w:rPr>
              <w:t xml:space="preserve">     </w:t>
            </w:r>
          </w:p>
        </w:tc>
        <w:tc>
          <w:tcPr>
            <w:tcW w:w="1276" w:type="dxa"/>
            <w:shd w:val="clear" w:color="auto" w:fill="auto"/>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auto"/>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auto"/>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162"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产品食品安全标准  </w:t>
            </w:r>
            <w:r>
              <w:rPr>
                <w:rFonts w:hint="eastAsia" w:ascii="宋体" w:hAnsi="宋体"/>
                <w:color w:val="000000"/>
                <w:spacing w:val="-10"/>
                <w:szCs w:val="21"/>
              </w:rPr>
              <w:sym w:font="Wingdings 2" w:char="0052"/>
            </w:r>
            <w:r>
              <w:rPr>
                <w:rFonts w:hint="eastAsia" w:ascii="宋体" w:hAnsi="宋体"/>
                <w:color w:val="000000"/>
                <w:spacing w:val="-10"/>
                <w:szCs w:val="21"/>
              </w:rPr>
              <w:t>地方标准</w:t>
            </w:r>
          </w:p>
        </w:tc>
        <w:tc>
          <w:tcPr>
            <w:tcW w:w="1825"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276" w:type="dxa"/>
            <w:shd w:val="clear" w:color="auto" w:fill="auto"/>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2500" w:type="dxa"/>
            <w:vMerge w:val="continue"/>
            <w:shd w:val="clear" w:color="auto" w:fill="auto"/>
          </w:tcPr>
          <w:p>
            <w:pPr>
              <w:ind w:left="-1" w:leftChars="-1" w:hanging="1"/>
              <w:jc w:val="left"/>
              <w:rPr>
                <w:rFonts w:ascii="宋体"/>
                <w:color w:val="000000"/>
                <w:szCs w:val="21"/>
              </w:rPr>
            </w:pPr>
          </w:p>
        </w:tc>
        <w:tc>
          <w:tcPr>
            <w:tcW w:w="4162"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825"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1" w:hRule="atLeast"/>
          <w:jc w:val="center"/>
        </w:trPr>
        <w:tc>
          <w:tcPr>
            <w:tcW w:w="2500" w:type="dxa"/>
            <w:vMerge w:val="continue"/>
            <w:shd w:val="clear" w:color="auto" w:fill="auto"/>
          </w:tcPr>
          <w:p>
            <w:pPr>
              <w:ind w:left="-1" w:leftChars="-1" w:hanging="1"/>
              <w:jc w:val="left"/>
              <w:rPr>
                <w:rFonts w:ascii="宋体"/>
                <w:color w:val="000000"/>
                <w:szCs w:val="21"/>
              </w:rPr>
            </w:pPr>
          </w:p>
        </w:tc>
        <w:tc>
          <w:tcPr>
            <w:tcW w:w="4162"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825" w:type="dxa"/>
            <w:shd w:val="clear" w:color="auto" w:fill="auto"/>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76" w:type="dxa"/>
            <w:shd w:val="clear" w:color="auto" w:fill="auto"/>
          </w:tcPr>
          <w:p>
            <w:pPr>
              <w:rPr>
                <w:rFonts w:hint="default" w:ascii="宋体" w:hAnsi="宋体" w:eastAsia="宋体"/>
                <w:color w:val="000000"/>
                <w:spacing w:val="-10"/>
                <w:szCs w:val="21"/>
                <w:lang w:val="en-US" w:eastAsia="zh-CN"/>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8" w:hRule="atLeast"/>
          <w:jc w:val="center"/>
        </w:trPr>
        <w:tc>
          <w:tcPr>
            <w:tcW w:w="2500" w:type="dxa"/>
            <w:vMerge w:val="restart"/>
            <w:shd w:val="clear" w:color="auto" w:fill="auto"/>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162" w:type="dxa"/>
            <w:shd w:val="clear" w:color="auto" w:fill="auto"/>
          </w:tcPr>
          <w:p>
            <w:pPr>
              <w:rPr>
                <w:rFonts w:ascii="宋体"/>
                <w:color w:val="000000"/>
                <w:spacing w:val="-10"/>
                <w:szCs w:val="21"/>
              </w:rPr>
            </w:pPr>
            <w:r>
              <w:rPr>
                <w:rFonts w:hint="eastAsia" w:ascii="宋体"/>
                <w:color w:val="000000"/>
                <w:szCs w:val="21"/>
              </w:rPr>
              <w:t>是否受到行政主管部门的处罚</w:t>
            </w:r>
          </w:p>
        </w:tc>
        <w:tc>
          <w:tcPr>
            <w:tcW w:w="1825" w:type="dxa"/>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8" w:hRule="atLeast"/>
          <w:jc w:val="center"/>
        </w:trPr>
        <w:tc>
          <w:tcPr>
            <w:tcW w:w="2500" w:type="dxa"/>
            <w:vMerge w:val="continue"/>
            <w:shd w:val="clear" w:color="auto" w:fill="auto"/>
          </w:tcPr>
          <w:p>
            <w:pPr>
              <w:ind w:left="168" w:leftChars="80"/>
              <w:rPr>
                <w:rFonts w:ascii="宋体"/>
                <w:color w:val="000000"/>
                <w:spacing w:val="-10"/>
                <w:szCs w:val="21"/>
              </w:rPr>
            </w:pPr>
          </w:p>
        </w:tc>
        <w:tc>
          <w:tcPr>
            <w:tcW w:w="4162" w:type="dxa"/>
            <w:shd w:val="clear" w:color="auto" w:fill="auto"/>
          </w:tcPr>
          <w:p>
            <w:pPr>
              <w:rPr>
                <w:rFonts w:ascii="宋体"/>
                <w:color w:val="000000"/>
                <w:spacing w:val="-10"/>
                <w:szCs w:val="21"/>
              </w:rPr>
            </w:pPr>
            <w:r>
              <w:rPr>
                <w:rFonts w:hint="eastAsia" w:ascii="宋体"/>
                <w:color w:val="000000"/>
                <w:szCs w:val="21"/>
              </w:rPr>
              <w:t>是否因食品安全问题受到媒体的曝光</w:t>
            </w:r>
          </w:p>
        </w:tc>
        <w:tc>
          <w:tcPr>
            <w:tcW w:w="1825" w:type="dxa"/>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8" w:hRule="atLeast"/>
          <w:jc w:val="center"/>
        </w:trPr>
        <w:tc>
          <w:tcPr>
            <w:tcW w:w="2500" w:type="dxa"/>
            <w:vMerge w:val="continue"/>
            <w:shd w:val="clear" w:color="auto" w:fill="auto"/>
          </w:tcPr>
          <w:p>
            <w:pPr>
              <w:rPr>
                <w:szCs w:val="21"/>
              </w:rPr>
            </w:pPr>
          </w:p>
        </w:tc>
        <w:tc>
          <w:tcPr>
            <w:tcW w:w="4162" w:type="dxa"/>
            <w:shd w:val="clear" w:color="auto" w:fill="auto"/>
          </w:tcPr>
          <w:p>
            <w:pPr>
              <w:rPr>
                <w:rFonts w:ascii="宋体" w:hAnsi="宋体"/>
                <w:color w:val="000000"/>
                <w:szCs w:val="21"/>
              </w:rPr>
            </w:pPr>
            <w:r>
              <w:rPr>
                <w:rFonts w:hint="eastAsia" w:ascii="宋体" w:hAnsi="宋体"/>
                <w:color w:val="000000"/>
                <w:szCs w:val="21"/>
              </w:rPr>
              <w:t>是否发生了食品安全事故/召回</w:t>
            </w:r>
          </w:p>
        </w:tc>
        <w:tc>
          <w:tcPr>
            <w:tcW w:w="1825" w:type="dxa"/>
            <w:shd w:val="clear" w:color="auto" w:fill="auto"/>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8" w:hRule="atLeast"/>
          <w:jc w:val="center"/>
        </w:trPr>
        <w:tc>
          <w:tcPr>
            <w:tcW w:w="2500" w:type="dxa"/>
            <w:vMerge w:val="continue"/>
            <w:shd w:val="clear" w:color="auto" w:fill="auto"/>
          </w:tcPr>
          <w:p>
            <w:pPr>
              <w:rPr>
                <w:rFonts w:ascii="宋体" w:hAnsi="宋体"/>
                <w:color w:val="000000"/>
                <w:szCs w:val="21"/>
              </w:rPr>
            </w:pPr>
          </w:p>
        </w:tc>
        <w:tc>
          <w:tcPr>
            <w:tcW w:w="4162" w:type="dxa"/>
            <w:shd w:val="clear" w:color="auto" w:fill="auto"/>
          </w:tcPr>
          <w:p>
            <w:pPr>
              <w:rPr>
                <w:rFonts w:ascii="宋体" w:hAnsi="宋体"/>
                <w:color w:val="000000"/>
                <w:szCs w:val="21"/>
              </w:rPr>
            </w:pPr>
            <w:r>
              <w:rPr>
                <w:rFonts w:hint="eastAsia" w:ascii="宋体" w:hAnsi="宋体"/>
                <w:color w:val="000000"/>
                <w:szCs w:val="21"/>
              </w:rPr>
              <w:t>是否有重大顾客投诉</w:t>
            </w:r>
          </w:p>
        </w:tc>
        <w:tc>
          <w:tcPr>
            <w:tcW w:w="1825" w:type="dxa"/>
            <w:shd w:val="clear" w:color="auto" w:fill="auto"/>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276"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8" w:hRule="atLeast"/>
          <w:jc w:val="center"/>
        </w:trPr>
        <w:tc>
          <w:tcPr>
            <w:tcW w:w="2500" w:type="dxa"/>
            <w:shd w:val="clear" w:color="auto" w:fill="auto"/>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auto"/>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A3"/>
            </w:r>
            <w:r>
              <w:rPr>
                <w:rFonts w:hint="eastAsia" w:ascii="宋体" w:hAnsi="宋体"/>
                <w:b/>
                <w:color w:val="000000"/>
                <w:sz w:val="20"/>
                <w:szCs w:val="20"/>
              </w:rPr>
              <w:t>运输过程</w:t>
            </w:r>
          </w:p>
        </w:tc>
      </w:tr>
    </w:tbl>
    <w:p>
      <w:pPr>
        <w:spacing w:before="156" w:beforeLines="50" w:line="320" w:lineRule="exact"/>
        <w:ind w:left="260" w:leftChars="124"/>
        <w:rPr>
          <w:rFonts w:ascii="宋体" w:hAnsi="宋体"/>
          <w:b/>
          <w:color w:val="000000"/>
          <w:szCs w:val="21"/>
          <w:highlight w:val="yellow"/>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bookmarkEnd w:id="36"/>
            <w:r>
              <w:rPr>
                <w:rFonts w:hint="eastAsia" w:ascii="宋体"/>
                <w:b/>
                <w:color w:val="000000"/>
                <w:szCs w:val="21"/>
                <w:lang w:val="en-US" w:eastAsia="zh-CN"/>
              </w:rPr>
              <w:t>2022-05-23上午8:30</w:t>
            </w:r>
          </w:p>
        </w:tc>
      </w:tr>
    </w:tbl>
    <w:p>
      <w:pPr>
        <w:spacing w:before="156" w:beforeLines="50" w:line="360" w:lineRule="exact"/>
        <w:rPr>
          <w:rFonts w:ascii="宋体"/>
          <w:b/>
          <w:color w:val="000000"/>
          <w:szCs w:val="21"/>
        </w:rPr>
      </w:pPr>
    </w:p>
    <w:p>
      <w:pPr>
        <w:widowControl/>
        <w:jc w:val="left"/>
        <w:rPr>
          <w:rFonts w:hint="eastAsia" w:ascii="宋体" w:eastAsia="宋体"/>
          <w:b/>
          <w:color w:val="000000"/>
          <w:szCs w:val="21"/>
          <w:lang w:val="en-US"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00"/>
          <w:szCs w:val="21"/>
          <w:lang w:val="en-US" w:eastAsia="zh-CN"/>
        </w:rPr>
        <w:t>不适用</w:t>
      </w:r>
    </w:p>
    <w:tbl>
      <w:tblPr>
        <w:tblStyle w:val="8"/>
        <w:tblW w:w="952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0"/>
        <w:gridCol w:w="733"/>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widowControl/>
              <w:jc w:val="left"/>
              <w:rPr>
                <w:rFonts w:ascii="宋体"/>
                <w:b/>
                <w:color w:val="000000"/>
                <w:szCs w:val="21"/>
              </w:rPr>
            </w:pPr>
            <w:r>
              <w:rPr>
                <w:rFonts w:hint="eastAsia" w:ascii="宋体" w:hAnsi="宋体"/>
                <w:b/>
                <w:color w:val="000000"/>
                <w:szCs w:val="21"/>
              </w:rPr>
              <w:t>评价项目</w:t>
            </w:r>
          </w:p>
        </w:tc>
        <w:tc>
          <w:tcPr>
            <w:tcW w:w="733" w:type="dxa"/>
          </w:tcPr>
          <w:p>
            <w:pPr>
              <w:widowControl/>
              <w:jc w:val="left"/>
              <w:rPr>
                <w:rFonts w:ascii="宋体"/>
                <w:b/>
                <w:color w:val="000000"/>
                <w:szCs w:val="21"/>
              </w:rPr>
            </w:pPr>
          </w:p>
        </w:tc>
        <w:tc>
          <w:tcPr>
            <w:tcW w:w="717"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33" w:type="dxa"/>
          </w:tcPr>
          <w:p>
            <w:pPr>
              <w:rPr>
                <w:rFonts w:ascii="宋体"/>
                <w:color w:val="000000"/>
                <w:szCs w:val="21"/>
              </w:rPr>
            </w:pPr>
            <w:r>
              <w:rPr>
                <w:rFonts w:hint="eastAsia" w:ascii="宋体" w:hAnsi="宋体"/>
                <w:color w:val="000000"/>
                <w:szCs w:val="21"/>
              </w:rPr>
              <w:t>□是</w:t>
            </w:r>
          </w:p>
        </w:tc>
        <w:tc>
          <w:tcPr>
            <w:tcW w:w="717"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7" w:hRule="atLeast"/>
          <w:jc w:val="center"/>
        </w:trPr>
        <w:tc>
          <w:tcPr>
            <w:tcW w:w="9788"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cantSplit/>
          <w:trHeight w:val="312" w:hRule="atLeast"/>
          <w:jc w:val="center"/>
        </w:trPr>
        <w:tc>
          <w:tcPr>
            <w:tcW w:w="9788"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可能降低可靠性的障碍</w:t>
            </w:r>
          </w:p>
        </w:tc>
        <w:tc>
          <w:tcPr>
            <w:tcW w:w="7415"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突发事件的情况</w:t>
            </w:r>
          </w:p>
        </w:tc>
        <w:tc>
          <w:tcPr>
            <w:tcW w:w="7415"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604" w:hRule="exact"/>
          <w:jc w:val="center"/>
        </w:trPr>
        <w:tc>
          <w:tcPr>
            <w:tcW w:w="2373" w:type="dxa"/>
            <w:vAlign w:val="center"/>
          </w:tcPr>
          <w:p>
            <w:pPr>
              <w:rPr>
                <w:rFonts w:ascii="宋体"/>
                <w:b/>
                <w:color w:val="0000FF"/>
                <w:szCs w:val="21"/>
              </w:rPr>
            </w:pPr>
            <w:r>
              <w:rPr>
                <w:rFonts w:hint="eastAsia" w:ascii="宋体"/>
                <w:b/>
                <w:color w:val="0000FF"/>
                <w:szCs w:val="21"/>
              </w:rPr>
              <w:t>突发事件的处置措施</w:t>
            </w:r>
          </w:p>
        </w:tc>
        <w:tc>
          <w:tcPr>
            <w:tcW w:w="7415"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12" w:hRule="atLeast"/>
          <w:jc w:val="center"/>
        </w:trPr>
        <w:tc>
          <w:tcPr>
            <w:tcW w:w="9788" w:type="dxa"/>
            <w:gridSpan w:val="2"/>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12" w:hRule="atLeast"/>
          <w:jc w:val="center"/>
        </w:trPr>
        <w:tc>
          <w:tcPr>
            <w:tcW w:w="9788"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rFonts w:hint="eastAsia" w:asciiTheme="minorEastAsia" w:hAnsiTheme="minorEastAsia" w:eastAsiaTheme="minorEastAsia"/>
                <w:sz w:val="20"/>
              </w:rPr>
              <w:t>位于桂林市临桂区临桂镇机场路立交桥以北100米桂林市桂林中学食堂（桂林市避风港餐饮管理有限责任公司承包食堂）的热食类食品制售</w:t>
            </w:r>
          </w:p>
        </w:tc>
        <w:tc>
          <w:tcPr>
            <w:tcW w:w="15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1742440</wp:posOffset>
            </wp:positionH>
            <wp:positionV relativeFrom="paragraph">
              <wp:posOffset>254635</wp:posOffset>
            </wp:positionV>
            <wp:extent cx="1123950" cy="525780"/>
            <wp:effectExtent l="0" t="0" r="5715" b="7620"/>
            <wp:wrapTight wrapText="bothSides">
              <wp:wrapPolygon>
                <wp:start x="3417" y="1043"/>
                <wp:lineTo x="1464" y="5739"/>
                <wp:lineTo x="1464" y="8870"/>
                <wp:lineTo x="2441" y="10957"/>
                <wp:lineTo x="2685" y="18783"/>
                <wp:lineTo x="4149" y="20870"/>
                <wp:lineTo x="19037" y="20870"/>
                <wp:lineTo x="19281" y="19826"/>
                <wp:lineTo x="20502" y="17739"/>
                <wp:lineTo x="21478" y="8870"/>
                <wp:lineTo x="17573" y="1043"/>
                <wp:lineTo x="3417" y="1043"/>
              </wp:wrapPolygon>
            </wp:wrapTight>
            <wp:docPr id="3" name="图片 3"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新龙01"/>
                    <pic:cNvPicPr>
                      <a:picLocks noChangeAspect="1"/>
                    </pic:cNvPicPr>
                  </pic:nvPicPr>
                  <pic:blipFill>
                    <a:blip r:embed="rId6"/>
                    <a:stretch>
                      <a:fillRect/>
                    </a:stretch>
                  </pic:blipFill>
                  <pic:spPr>
                    <a:xfrm>
                      <a:off x="0" y="0"/>
                      <a:ext cx="1123950" cy="52578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eastAsia="宋体"/>
          <w:b/>
          <w:color w:val="000000"/>
          <w:szCs w:val="21"/>
          <w:lang w:eastAsia="zh-CN"/>
        </w:rPr>
        <w:drawing>
          <wp:inline distT="0" distB="0" distL="114300" distR="114300">
            <wp:extent cx="675640" cy="205740"/>
            <wp:effectExtent l="0" t="0" r="10160" b="10160"/>
            <wp:docPr id="5" name="图片 5" descr="7605d66b71e7206ef4c8880b0090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605d66b71e7206ef4c8880b0090fa4"/>
                    <pic:cNvPicPr>
                      <a:picLocks noChangeAspect="1"/>
                    </pic:cNvPicPr>
                  </pic:nvPicPr>
                  <pic:blipFill>
                    <a:blip r:embed="rId7"/>
                    <a:stretch>
                      <a:fillRect/>
                    </a:stretch>
                  </pic:blipFill>
                  <pic:spPr>
                    <a:xfrm>
                      <a:off x="0" y="0"/>
                      <a:ext cx="675640" cy="205740"/>
                    </a:xfrm>
                    <a:prstGeom prst="rect">
                      <a:avLst/>
                    </a:prstGeom>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2022-05-21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62"/>
        <w:gridCol w:w="1763"/>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50"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63"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350" w:type="dxa"/>
            <w:gridSpan w:val="2"/>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远程视频查看发现：</w:t>
            </w:r>
          </w:p>
          <w:p>
            <w:pPr>
              <w:pStyle w:val="6"/>
              <w:numPr>
                <w:ilvl w:val="0"/>
                <w:numId w:val="3"/>
              </w:numPr>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烹饪操作间员工头发有外漏情况，建议更换帽子；</w:t>
            </w:r>
          </w:p>
          <w:p>
            <w:pPr>
              <w:pStyle w:val="6"/>
              <w:numPr>
                <w:ilvl w:val="0"/>
                <w:numId w:val="3"/>
              </w:numPr>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灭蝇灯均为电击式，建议改为诱捕式；</w:t>
            </w:r>
          </w:p>
          <w:p>
            <w:pPr>
              <w:pStyle w:val="6"/>
              <w:numPr>
                <w:ilvl w:val="0"/>
                <w:numId w:val="3"/>
              </w:numPr>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清洗池下水管道密封性不足，需要加强</w:t>
            </w:r>
          </w:p>
        </w:tc>
        <w:tc>
          <w:tcPr>
            <w:tcW w:w="176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HACCP体系V1.0</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3.3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48" w:type="dxa"/>
            <w:shd w:val="clear" w:color="auto" w:fill="auto"/>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350" w:type="dxa"/>
            <w:gridSpan w:val="2"/>
            <w:shd w:val="clear" w:color="auto" w:fill="auto"/>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远程视频查看发现：</w:t>
            </w:r>
          </w:p>
          <w:p>
            <w:pPr>
              <w:pStyle w:val="6"/>
              <w:numPr>
                <w:ilvl w:val="0"/>
                <w:numId w:val="4"/>
              </w:numPr>
              <w:pBdr>
                <w:bottom w:val="none" w:color="auto" w:sz="0" w:space="0"/>
              </w:pBdr>
              <w:tabs>
                <w:tab w:val="center" w:pos="5737"/>
                <w:tab w:val="clear" w:pos="4153"/>
              </w:tabs>
              <w:ind w:leftChars="0"/>
              <w:jc w:val="both"/>
              <w:rPr>
                <w:color w:val="000000"/>
                <w:sz w:val="21"/>
                <w:szCs w:val="21"/>
              </w:rPr>
            </w:pPr>
            <w:r>
              <w:rPr>
                <w:rFonts w:hint="eastAsia"/>
                <w:color w:val="000000"/>
                <w:sz w:val="21"/>
                <w:szCs w:val="21"/>
                <w:lang w:val="en-US" w:eastAsia="zh-CN"/>
              </w:rPr>
              <w:t>肉类清洗池旁有钢丝球、有磨刀石；</w:t>
            </w:r>
          </w:p>
          <w:p>
            <w:pPr>
              <w:pStyle w:val="6"/>
              <w:numPr>
                <w:ilvl w:val="0"/>
                <w:numId w:val="4"/>
              </w:numPr>
              <w:pBdr>
                <w:bottom w:val="none" w:color="auto" w:sz="0" w:space="0"/>
              </w:pBdr>
              <w:tabs>
                <w:tab w:val="center" w:pos="5737"/>
                <w:tab w:val="clear" w:pos="4153"/>
              </w:tabs>
              <w:ind w:leftChars="0"/>
              <w:jc w:val="both"/>
              <w:rPr>
                <w:color w:val="000000"/>
                <w:sz w:val="21"/>
                <w:szCs w:val="21"/>
              </w:rPr>
            </w:pPr>
            <w:r>
              <w:rPr>
                <w:rFonts w:hint="eastAsia"/>
                <w:color w:val="000000"/>
                <w:sz w:val="21"/>
                <w:szCs w:val="21"/>
                <w:lang w:val="en-US" w:eastAsia="zh-CN"/>
              </w:rPr>
              <w:t>二次更衣室上方安装的灭蝇灯未开启；</w:t>
            </w:r>
          </w:p>
          <w:p>
            <w:pPr>
              <w:pStyle w:val="6"/>
              <w:numPr>
                <w:ilvl w:val="0"/>
                <w:numId w:val="4"/>
              </w:numPr>
              <w:pBdr>
                <w:bottom w:val="none" w:color="auto" w:sz="0" w:space="0"/>
              </w:pBdr>
              <w:tabs>
                <w:tab w:val="center" w:pos="5737"/>
                <w:tab w:val="clear" w:pos="4153"/>
              </w:tabs>
              <w:ind w:leftChars="0"/>
              <w:jc w:val="both"/>
              <w:rPr>
                <w:color w:val="000000"/>
                <w:sz w:val="21"/>
                <w:szCs w:val="21"/>
              </w:rPr>
            </w:pPr>
            <w:r>
              <w:rPr>
                <w:rFonts w:hint="eastAsia"/>
                <w:color w:val="000000"/>
                <w:sz w:val="21"/>
                <w:szCs w:val="21"/>
                <w:lang w:val="en-US" w:eastAsia="zh-CN"/>
              </w:rPr>
              <w:t>女更衣室更衣柜中有杂物；</w:t>
            </w:r>
          </w:p>
        </w:tc>
        <w:tc>
          <w:tcPr>
            <w:tcW w:w="1763" w:type="dxa"/>
            <w:shd w:val="clear" w:color="auto" w:fill="auto"/>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HACCP体系V1.0</w:t>
            </w:r>
          </w:p>
        </w:tc>
        <w:tc>
          <w:tcPr>
            <w:tcW w:w="1133" w:type="dxa"/>
            <w:shd w:val="clear" w:color="auto" w:fill="auto"/>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3.3</w:t>
            </w:r>
          </w:p>
        </w:tc>
        <w:tc>
          <w:tcPr>
            <w:tcW w:w="934" w:type="dxa"/>
            <w:shd w:val="clear" w:color="auto" w:fill="auto"/>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48" w:type="dxa"/>
            <w:shd w:val="clear" w:color="auto" w:fill="auto"/>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5350" w:type="dxa"/>
            <w:gridSpan w:val="2"/>
            <w:shd w:val="clear" w:color="auto" w:fill="auto"/>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《危害控制计划》中原辅料特性未描述原料酵母；</w:t>
            </w:r>
          </w:p>
        </w:tc>
        <w:tc>
          <w:tcPr>
            <w:tcW w:w="1763" w:type="dxa"/>
            <w:shd w:val="clear" w:color="auto" w:fill="auto"/>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HACCP体系V1.0</w:t>
            </w:r>
          </w:p>
        </w:tc>
        <w:tc>
          <w:tcPr>
            <w:tcW w:w="1133" w:type="dxa"/>
            <w:shd w:val="clear" w:color="auto" w:fill="auto"/>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4.2</w:t>
            </w:r>
          </w:p>
        </w:tc>
        <w:tc>
          <w:tcPr>
            <w:tcW w:w="934" w:type="dxa"/>
            <w:shd w:val="clear" w:color="auto" w:fill="auto"/>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50"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eastAsia="zh-CN"/>
              </w:rPr>
            </w:pPr>
          </w:p>
        </w:tc>
        <w:tc>
          <w:tcPr>
            <w:tcW w:w="1763"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50"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63"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pStyle w:val="2"/>
              <w:rPr>
                <w:rFonts w:hint="eastAsia" w:eastAsia="宋体"/>
                <w:b/>
                <w:color w:val="000000"/>
                <w:szCs w:val="21"/>
                <w:lang w:eastAsia="zh-CN"/>
              </w:rPr>
            </w:pPr>
            <w:r>
              <w:rPr>
                <w:rFonts w:hint="eastAsia" w:eastAsia="宋体"/>
                <w:b/>
                <w:color w:val="000000"/>
                <w:szCs w:val="21"/>
                <w:lang w:eastAsia="zh-CN"/>
              </w:rPr>
              <w:drawing>
                <wp:inline distT="0" distB="0" distL="114300" distR="114300">
                  <wp:extent cx="840105" cy="393065"/>
                  <wp:effectExtent l="0" t="0" r="10795" b="635"/>
                  <wp:docPr id="6" name="图片 6"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肖新龙01"/>
                          <pic:cNvPicPr>
                            <a:picLocks noChangeAspect="1"/>
                          </pic:cNvPicPr>
                        </pic:nvPicPr>
                        <pic:blipFill>
                          <a:blip r:embed="rId6"/>
                          <a:stretch>
                            <a:fillRect/>
                          </a:stretch>
                        </pic:blipFill>
                        <pic:spPr>
                          <a:xfrm>
                            <a:off x="0" y="0"/>
                            <a:ext cx="840105" cy="393065"/>
                          </a:xfrm>
                          <a:prstGeom prst="rect">
                            <a:avLst/>
                          </a:prstGeom>
                        </pic:spPr>
                      </pic:pic>
                    </a:graphicData>
                  </a:graphic>
                </wp:inline>
              </w:drawing>
            </w:r>
          </w:p>
          <w:p>
            <w:pPr>
              <w:pStyle w:val="2"/>
              <w:rPr>
                <w:b/>
                <w:color w:val="000000"/>
                <w:szCs w:val="21"/>
              </w:rPr>
            </w:pPr>
          </w:p>
          <w:p>
            <w:pPr>
              <w:pStyle w:val="2"/>
              <w:rPr>
                <w:b/>
                <w:color w:val="000000"/>
                <w:szCs w:val="21"/>
              </w:rPr>
            </w:pPr>
          </w:p>
          <w:p>
            <w:pPr>
              <w:pStyle w:val="2"/>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 </w:t>
            </w:r>
            <w:r>
              <w:rPr>
                <w:rFonts w:hint="eastAsia"/>
                <w:b/>
                <w:color w:val="000000"/>
                <w:szCs w:val="21"/>
              </w:rPr>
              <w:t>年</w:t>
            </w:r>
            <w:r>
              <w:rPr>
                <w:rFonts w:hint="eastAsia"/>
                <w:b/>
                <w:color w:val="000000"/>
                <w:szCs w:val="21"/>
                <w:lang w:val="en-US" w:eastAsia="zh-CN"/>
              </w:rPr>
              <w:t xml:space="preserve"> 5 </w:t>
            </w:r>
            <w:r>
              <w:rPr>
                <w:rFonts w:hint="eastAsia"/>
                <w:b/>
                <w:color w:val="000000"/>
                <w:szCs w:val="21"/>
              </w:rPr>
              <w:t>月</w:t>
            </w:r>
            <w:r>
              <w:rPr>
                <w:rFonts w:hint="eastAsia"/>
                <w:b/>
                <w:color w:val="000000"/>
                <w:szCs w:val="21"/>
                <w:lang w:val="en-US" w:eastAsia="zh-CN"/>
              </w:rPr>
              <w:t xml:space="preserve"> 21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r>
              <w:drawing>
                <wp:anchor distT="0" distB="0" distL="114300" distR="114300" simplePos="0" relativeHeight="251663360" behindDoc="1" locked="0" layoutInCell="1" allowOverlap="1">
                  <wp:simplePos x="0" y="0"/>
                  <wp:positionH relativeFrom="column">
                    <wp:posOffset>205740</wp:posOffset>
                  </wp:positionH>
                  <wp:positionV relativeFrom="paragraph">
                    <wp:posOffset>90805</wp:posOffset>
                  </wp:positionV>
                  <wp:extent cx="884555" cy="789305"/>
                  <wp:effectExtent l="0" t="0" r="4445" b="23495"/>
                  <wp:wrapTight wrapText="bothSides">
                    <wp:wrapPolygon>
                      <wp:start x="0" y="0"/>
                      <wp:lineTo x="0" y="21200"/>
                      <wp:lineTo x="21398" y="21200"/>
                      <wp:lineTo x="21398" y="0"/>
                      <wp:lineTo x="0" y="0"/>
                    </wp:wrapPolygon>
                  </wp:wrapTight>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lum bright="24000"/>
                          </a:blip>
                          <a:srcRect r="-216" b="5403"/>
                          <a:stretch>
                            <a:fillRect/>
                          </a:stretch>
                        </pic:blipFill>
                        <pic:spPr>
                          <a:xfrm>
                            <a:off x="0" y="0"/>
                            <a:ext cx="884555" cy="789305"/>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pPr>
            <w:r>
              <w:rPr>
                <w:rFonts w:hint="eastAsia"/>
              </w:rPr>
              <w:t>对一阶段现场审核严重问题整改结果的验证结论：</w:t>
            </w:r>
          </w:p>
          <w:p>
            <w:pPr>
              <w:spacing w:line="360" w:lineRule="exact"/>
            </w:pPr>
            <w:r>
              <w:rPr>
                <w:rFonts w:hint="eastAsia"/>
              </w:rPr>
              <w:t>□所有严重问题全部整改，并符合要求□未按期完成整改□整改后不符合要求，需重新整改</w:t>
            </w:r>
            <w:r>
              <w:t>.</w:t>
            </w:r>
          </w:p>
          <w:p>
            <w:pPr>
              <w:spacing w:line="280" w:lineRule="exact"/>
            </w:pPr>
          </w:p>
          <w:p>
            <w:pPr>
              <w:pStyle w:val="2"/>
              <w:rPr>
                <w:b/>
                <w:color w:val="000000"/>
                <w:szCs w:val="21"/>
              </w:rPr>
            </w:pPr>
          </w:p>
          <w:p>
            <w:pPr>
              <w:pStyle w:val="2"/>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pStyle w:val="2"/>
              <w:rPr>
                <w:b/>
                <w:color w:val="000000"/>
                <w:szCs w:val="21"/>
              </w:rPr>
            </w:pPr>
          </w:p>
          <w:p>
            <w:pPr>
              <w:pStyle w:val="2"/>
              <w:rPr>
                <w:b/>
                <w:color w:val="000000"/>
                <w:szCs w:val="21"/>
              </w:rPr>
            </w:pPr>
          </w:p>
          <w:p>
            <w:pPr>
              <w:pStyle w:val="2"/>
              <w:rPr>
                <w:b/>
                <w:color w:val="000000"/>
                <w:szCs w:val="21"/>
              </w:rPr>
            </w:pPr>
          </w:p>
          <w:p>
            <w:pPr>
              <w:spacing w:line="280" w:lineRule="exact"/>
              <w:rPr>
                <w:b/>
                <w:color w:val="000000"/>
                <w:szCs w:val="21"/>
              </w:rPr>
            </w:pPr>
            <w:r>
              <w:rPr>
                <w:rFonts w:hint="eastAsia"/>
                <w:b/>
                <w:color w:val="000000"/>
                <w:szCs w:val="21"/>
              </w:rPr>
              <w:t>验证人：</w:t>
            </w:r>
            <w:r>
              <w:rPr>
                <w:rFonts w:hint="eastAsia" w:eastAsia="宋体"/>
                <w:b/>
                <w:color w:val="000000"/>
                <w:szCs w:val="21"/>
                <w:lang w:eastAsia="zh-CN"/>
              </w:rPr>
              <w:drawing>
                <wp:anchor distT="0" distB="0" distL="114300" distR="114300" simplePos="0" relativeHeight="251662336" behindDoc="1" locked="0" layoutInCell="1" allowOverlap="1">
                  <wp:simplePos x="0" y="0"/>
                  <wp:positionH relativeFrom="column">
                    <wp:posOffset>535305</wp:posOffset>
                  </wp:positionH>
                  <wp:positionV relativeFrom="paragraph">
                    <wp:posOffset>-251460</wp:posOffset>
                  </wp:positionV>
                  <wp:extent cx="840105" cy="393065"/>
                  <wp:effectExtent l="0" t="0" r="10795" b="635"/>
                  <wp:wrapTight wrapText="bothSides">
                    <wp:wrapPolygon>
                      <wp:start x="15673" y="698"/>
                      <wp:lineTo x="2612" y="698"/>
                      <wp:lineTo x="980" y="6281"/>
                      <wp:lineTo x="2286" y="11864"/>
                      <wp:lineTo x="2286" y="17447"/>
                      <wp:lineTo x="2939" y="20239"/>
                      <wp:lineTo x="4245" y="20937"/>
                      <wp:lineTo x="18939" y="20937"/>
                      <wp:lineTo x="19592" y="20239"/>
                      <wp:lineTo x="21224" y="13958"/>
                      <wp:lineTo x="21224" y="9073"/>
                      <wp:lineTo x="20571" y="6979"/>
                      <wp:lineTo x="17633" y="698"/>
                      <wp:lineTo x="15673" y="698"/>
                    </wp:wrapPolygon>
                  </wp:wrapTight>
                  <wp:docPr id="7" name="图片 7"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肖新龙01"/>
                          <pic:cNvPicPr>
                            <a:picLocks noChangeAspect="1"/>
                          </pic:cNvPicPr>
                        </pic:nvPicPr>
                        <pic:blipFill>
                          <a:blip r:embed="rId6"/>
                          <a:stretch>
                            <a:fillRect/>
                          </a:stretch>
                        </pic:blipFill>
                        <pic:spPr>
                          <a:xfrm>
                            <a:off x="0" y="0"/>
                            <a:ext cx="840105" cy="393065"/>
                          </a:xfrm>
                          <a:prstGeom prst="rect">
                            <a:avLst/>
                          </a:prstGeom>
                        </pic:spPr>
                      </pic:pic>
                    </a:graphicData>
                  </a:graphic>
                </wp:anchor>
              </w:drawing>
            </w:r>
            <w:r>
              <w:rPr>
                <w:rFonts w:hint="eastAsia"/>
                <w:b/>
                <w:color w:val="000000"/>
                <w:szCs w:val="21"/>
              </w:rPr>
              <w:t>日期：</w:t>
            </w:r>
            <w:r>
              <w:rPr>
                <w:rFonts w:hint="eastAsia"/>
                <w:b/>
                <w:color w:val="000000"/>
                <w:szCs w:val="21"/>
                <w:lang w:val="en-US" w:eastAsia="zh-CN"/>
              </w:rPr>
              <w:t xml:space="preserve"> 2022 </w:t>
            </w:r>
            <w:r>
              <w:rPr>
                <w:rFonts w:hint="eastAsia"/>
                <w:b/>
                <w:color w:val="000000"/>
                <w:szCs w:val="21"/>
              </w:rPr>
              <w:t>年</w:t>
            </w:r>
            <w:r>
              <w:rPr>
                <w:rFonts w:hint="eastAsia"/>
                <w:b/>
                <w:color w:val="000000"/>
                <w:szCs w:val="21"/>
                <w:lang w:val="en-US" w:eastAsia="zh-CN"/>
              </w:rPr>
              <w:t xml:space="preserve"> 5 </w:t>
            </w:r>
            <w:r>
              <w:rPr>
                <w:rFonts w:hint="eastAsia"/>
                <w:b/>
                <w:color w:val="000000"/>
                <w:szCs w:val="21"/>
              </w:rPr>
              <w:t>月</w:t>
            </w:r>
            <w:r>
              <w:rPr>
                <w:rFonts w:hint="eastAsia"/>
                <w:b/>
                <w:color w:val="000000"/>
                <w:szCs w:val="21"/>
                <w:lang w:val="en-US" w:eastAsia="zh-CN"/>
              </w:rPr>
              <w:t xml:space="preserve"> 21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pStyle w:val="2"/>
              <w:rPr>
                <w:rFonts w:ascii="宋体"/>
                <w:b/>
                <w:bCs/>
                <w:color w:val="000000"/>
                <w:spacing w:val="-8"/>
                <w:szCs w:val="21"/>
              </w:rPr>
            </w:pPr>
          </w:p>
          <w:p>
            <w:pPr>
              <w:pStyle w:val="2"/>
              <w:rPr>
                <w:rFonts w:ascii="宋体"/>
                <w:b/>
                <w:bCs/>
                <w:color w:val="000000"/>
                <w:spacing w:val="-8"/>
                <w:szCs w:val="21"/>
              </w:rPr>
            </w:pPr>
          </w:p>
          <w:p>
            <w:pPr>
              <w:pStyle w:val="2"/>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97015D3C"/>
    <w:multiLevelType w:val="singleLevel"/>
    <w:tmpl w:val="97015D3C"/>
    <w:lvl w:ilvl="0" w:tentative="0">
      <w:start w:val="1"/>
      <w:numFmt w:val="decimal"/>
      <w:suff w:val="space"/>
      <w:lvlText w:val="%1."/>
      <w:lvlJc w:val="left"/>
    </w:lvl>
  </w:abstractNum>
  <w:abstractNum w:abstractNumId="2">
    <w:nsid w:val="AAE6CFBE"/>
    <w:multiLevelType w:val="singleLevel"/>
    <w:tmpl w:val="AAE6CFBE"/>
    <w:lvl w:ilvl="0" w:tentative="0">
      <w:start w:val="1"/>
      <w:numFmt w:val="decimal"/>
      <w:suff w:val="space"/>
      <w:lvlText w:val="%1."/>
      <w:lvlJc w:val="left"/>
    </w:lvl>
  </w:abstractNum>
  <w:abstractNum w:abstractNumId="3">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M3N2UwYzRjODcyYjBmZWI4OGFkMDIyNTk1M2M5ZTMifQ=="/>
  </w:docVars>
  <w:rsids>
    <w:rsidRoot w:val="00000000"/>
    <w:rsid w:val="2100305C"/>
    <w:rsid w:val="497B32E5"/>
    <w:rsid w:val="51E66865"/>
    <w:rsid w:val="6A9339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2"/>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7563</Words>
  <Characters>8219</Characters>
  <Lines>67</Lines>
  <Paragraphs>18</Paragraphs>
  <TotalTime>2</TotalTime>
  <ScaleCrop>false</ScaleCrop>
  <LinksUpToDate>false</LinksUpToDate>
  <CharactersWithSpaces>8284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2022-05-21T09:28:49Z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2052-11.1.0.11691</vt:lpwstr>
  </property>
</Properties>
</file>