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/>
                <w:sz w:val="20"/>
              </w:rPr>
              <w:t>杭州</w:t>
            </w:r>
            <w:bookmarkEnd w:id="0"/>
            <w:r>
              <w:rPr>
                <w:rFonts w:hint="eastAsia"/>
                <w:b/>
                <w:sz w:val="20"/>
                <w:lang w:val="en-US" w:eastAsia="zh-CN"/>
              </w:rPr>
              <w:t>红草莓冠香餐饮管理有限公司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H：E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任学礼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728980" cy="221615"/>
                  <wp:effectExtent l="0" t="0" r="7620" b="7620"/>
                  <wp:docPr id="1" name="图片 1" descr="7605d66b71e7206ef4c8880b0090f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605d66b71e7206ef4c8880b0090fa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highlight w:val="yellow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热菜加工销售流程流程：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00" w:firstLineChars="200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菜谱制定→ 原料采购验收→ 原料贮存→ 初加工→半成品贮存备用→烹制→成品备餐并留样→分餐服务→就餐者食用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米饭加工销售流程图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大米→淘制→分机蒸制→配送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餐具清洗消毒：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200" w:firstLineChars="100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餐具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回收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清洗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消毒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default"/>
                <w:b w:val="0"/>
                <w:bCs/>
                <w:sz w:val="20"/>
                <w:lang w:val="en-US" w:eastAsia="zh-CN"/>
              </w:rPr>
              <w:t>备用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</w:rPr>
              <w:t>原料验收、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食品加工、餐具消毒、</w:t>
            </w:r>
            <w:r>
              <w:rPr>
                <w:rFonts w:hint="eastAsia" w:ascii="宋体" w:hAnsi="宋体"/>
                <w:color w:val="000000"/>
                <w:sz w:val="20"/>
              </w:rPr>
              <w:t>服务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提供</w:t>
            </w:r>
          </w:p>
          <w:p>
            <w:pPr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特殊过程：餐具消毒、服务提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关键控制点及控制措施：</w:t>
            </w:r>
          </w:p>
          <w:p>
            <w:pPr>
              <w:snapToGrid w:val="0"/>
              <w:spacing w:line="360" w:lineRule="auto"/>
              <w:ind w:firstLine="402" w:firstLineChars="200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原料进货检验、人员健康管理、餐具消毒、烹饪加工、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lang w:val="en-US" w:eastAsia="zh-CN"/>
              </w:rPr>
              <w:t>分餐配送、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虫害控制；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食品安全危害：</w:t>
            </w:r>
          </w:p>
          <w:p>
            <w:pPr>
              <w:snapToGrid w:val="0"/>
              <w:spacing w:line="360" w:lineRule="auto"/>
              <w:ind w:firstLine="201" w:firstLineChars="100"/>
              <w:jc w:val="left"/>
              <w:rPr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181" w:firstLineChars="100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食品安全法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餐饮服务食品安全操作规范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食品安全国家标准 消毒餐（饮）具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</w:t>
            </w:r>
            <w:r>
              <w:rPr>
                <w:rFonts w:hint="eastAsia"/>
                <w:b/>
                <w:sz w:val="18"/>
                <w:szCs w:val="18"/>
              </w:rPr>
              <w:t>GB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T 33497-2017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餐饮企业质量管理规范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37489.1-2019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公共场所设计卫生规范 第1部分：总则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37487-2019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公共场所卫生管理规范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/>
                <w:b/>
                <w:sz w:val="18"/>
                <w:szCs w:val="18"/>
              </w:rPr>
              <w:t xml:space="preserve">、GB 37488-2019 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《</w:t>
            </w:r>
            <w:r>
              <w:rPr>
                <w:rFonts w:hint="eastAsia"/>
                <w:b/>
                <w:sz w:val="18"/>
                <w:szCs w:val="18"/>
              </w:rPr>
              <w:t>公共场所卫生指标及限值要求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GB31654 食品安全国家标准 餐饮服务通用卫生规范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/>
          <w:b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drawing>
          <wp:inline distT="0" distB="0" distL="114300" distR="114300">
            <wp:extent cx="596265" cy="278765"/>
            <wp:effectExtent l="0" t="0" r="635" b="635"/>
            <wp:docPr id="4" name="图片 4" descr="肖新龙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肖新龙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2022-02-24</w:t>
      </w: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hint="eastAsia"/>
          <w:b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</w:rPr>
        <w:drawing>
          <wp:inline distT="0" distB="0" distL="114300" distR="114300">
            <wp:extent cx="828040" cy="387350"/>
            <wp:effectExtent l="0" t="0" r="10160" b="6350"/>
            <wp:docPr id="5" name="图片 5" descr="肖新龙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肖新龙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2022-02-24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96DAE"/>
    <w:multiLevelType w:val="singleLevel"/>
    <w:tmpl w:val="3EC96D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9E03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2022-05-21T12:53:36Z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