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大庆市海默石油技术服务有限公司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3" w:name="专业代码"/>
            <w:r>
              <w:rPr>
                <w:sz w:val="20"/>
              </w:rPr>
              <w:t>Q：18.08.00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E：18.08.00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O：18.08.00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Q：18.08.00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E：18.08.00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O：18.08.00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工艺流程图：签订合同——日常巡检——发现问题——解决问题——客户验收——满意度调查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关键过程：维修过程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风险及控制措施：维修调试不达标，导致客户要求得不到满足，针对维修人员的能力、维修使用的设备、质量要求、作业指导书、工作环境等进行确认，严格遵守客户订单要求，针对订单要求进行评审，后期进行产品测试，保障输出符合要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CB/T 3021-2013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安全阀技术要求和性能试验方法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工业和信息化部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GB/T 12241-2005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安全阀 一般要求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国家质量监督检验检疫.</w:t>
            </w:r>
            <w:r>
              <w:rPr>
                <w:rFonts w:hint="eastAsia"/>
                <w:b/>
                <w:sz w:val="20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GB/T 12242-2005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压力释放装置 性能试验规范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国家质量监督检验检疫.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GB/T 12243-2005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弹簧直接载荷式安全阀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国家质量监督检验检疫.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GB/T 22342-2008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石油天然气工业 井下安全阀系统 设计、安装、操作和维护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国家标准化管理委员.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 xml:space="preserve"> GB/T 28259-2012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石油天然气工业 井下设备 井下安全阀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国家质量监督检验检疫.</w:t>
            </w:r>
            <w:r>
              <w:rPr>
                <w:rFonts w:hint="eastAsia"/>
                <w:b/>
                <w:sz w:val="20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 xml:space="preserve"> HG/T 20570.2-1995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安全阀的设置和选用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 xml:space="preserve"> GB/T 12244-2006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减压阀 一般要求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中国机械工业联合会</w:t>
            </w:r>
            <w:r>
              <w:rPr>
                <w:rFonts w:hint="eastAsia"/>
                <w:b/>
                <w:sz w:val="20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 xml:space="preserve"> JB/T 7034-2006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液压隔膜式蓄能器 型式和尺寸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国家发展和改革委员会</w:t>
            </w:r>
            <w:r>
              <w:rPr>
                <w:rFonts w:hint="eastAsia"/>
                <w:b/>
                <w:sz w:val="20"/>
              </w:rPr>
              <w:tab/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 xml:space="preserve"> JB/T 7035-2006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液压囊式蓄能器 型式和尺寸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国家发展和改革委员会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无型式检验要求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53340</wp:posOffset>
                  </wp:positionV>
                  <wp:extent cx="699135" cy="314325"/>
                  <wp:effectExtent l="0" t="0" r="12065" b="3175"/>
                  <wp:wrapNone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53340</wp:posOffset>
                  </wp:positionV>
                  <wp:extent cx="699135" cy="314325"/>
                  <wp:effectExtent l="0" t="0" r="12065" b="3175"/>
                  <wp:wrapNone/>
                  <wp:docPr id="1" name="图片 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大庆市海默石油技术服务有限公司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Q：18.08.00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E：18.08.00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O：18.08.00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Q：18.08.00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E：18.08.00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O：18.08.00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工艺流程图：签订合同——日常巡检——发现问题——解决问题——客户验收——满意度调查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关键过程：维修过程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重大环境因素：火灾，噪声排放，固废排放；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控制措施：集中收集外售至废品回收站；选用低噪声设备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污水综合排放标准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大气污染物排放标准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53340</wp:posOffset>
                  </wp:positionV>
                  <wp:extent cx="699135" cy="314325"/>
                  <wp:effectExtent l="0" t="0" r="12065" b="3175"/>
                  <wp:wrapNone/>
                  <wp:docPr id="5" name="图片 5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53340</wp:posOffset>
                  </wp:positionV>
                  <wp:extent cx="699135" cy="314325"/>
                  <wp:effectExtent l="0" t="0" r="12065" b="3175"/>
                  <wp:wrapNone/>
                  <wp:docPr id="6" name="图片 6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大庆市海默石油技术服务有限公司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Q：18.08.00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E：18.08.00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O：18.08.00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Q：18.08.00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E：18.08.00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O：18.08.00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工艺流程图：签订合同——日常巡检——发现问题——解决问题——客户验收——满意度调查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关键过程：维修过程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重大危险源：机械伤害、触电、火灾；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O：《职业卫生标准管理办法》、《作业场所职业危害申报管理办法》、《职业性健康检查管理规定》、《职业病防治法》、《安全生产条例》、《消防条例》、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53340</wp:posOffset>
                  </wp:positionV>
                  <wp:extent cx="699135" cy="314325"/>
                  <wp:effectExtent l="0" t="0" r="12065" b="3175"/>
                  <wp:wrapNone/>
                  <wp:docPr id="9" name="图片 9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53340</wp:posOffset>
                  </wp:positionV>
                  <wp:extent cx="699135" cy="314325"/>
                  <wp:effectExtent l="0" t="0" r="12065" b="3175"/>
                  <wp:wrapNone/>
                  <wp:docPr id="10" name="图片 10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2022.5.22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57C25C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1422</Words>
  <Characters>1728</Characters>
  <Lines>2</Lines>
  <Paragraphs>1</Paragraphs>
  <TotalTime>2</TotalTime>
  <ScaleCrop>false</ScaleCrop>
  <LinksUpToDate>false</LinksUpToDate>
  <CharactersWithSpaces>2217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2022-05-23T17:50:19Z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