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0453-2022-QO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射洪泳贞包装有限公司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射洪泳贞包装有限公司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四川省射洪市经济开发区河东大道4号5幢1层5号</w:t>
            </w:r>
            <w:bookmarkEnd w:id="6"/>
          </w:p>
        </w:tc>
        <w:tc>
          <w:tcPr>
            <w:tcW w:w="1242" w:type="dxa"/>
            <w:vMerge w:val="restart"/>
            <w:vAlign w:val="center"/>
          </w:tcPr>
          <w:p>
            <w:r>
              <w:rPr>
                <w:rFonts w:hint="eastAsia"/>
              </w:rPr>
              <w:t>邮编</w:t>
            </w:r>
          </w:p>
        </w:tc>
        <w:tc>
          <w:tcPr>
            <w:tcW w:w="1771" w:type="dxa"/>
          </w:tcPr>
          <w:p>
            <w:bookmarkStart w:id="7" w:name="注册邮编"/>
            <w:r>
              <w:t>629200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四川省遂宁市射洪市经济开发区河东大道4号5幢1层5号</w:t>
            </w:r>
            <w:bookmarkEnd w:id="8"/>
          </w:p>
        </w:tc>
        <w:tc>
          <w:tcPr>
            <w:tcW w:w="1242" w:type="dxa"/>
            <w:vMerge w:val="continue"/>
            <w:vAlign w:val="center"/>
          </w:tcPr>
          <w:p/>
        </w:tc>
        <w:tc>
          <w:tcPr>
            <w:tcW w:w="1771" w:type="dxa"/>
          </w:tcPr>
          <w:p>
            <w:bookmarkStart w:id="9" w:name="办公邮编"/>
            <w:r>
              <w:t>629200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李君</w:t>
            </w:r>
            <w:bookmarkEnd w:id="10"/>
          </w:p>
        </w:tc>
        <w:tc>
          <w:tcPr>
            <w:tcW w:w="1313" w:type="dxa"/>
            <w:vAlign w:val="center"/>
          </w:tcPr>
          <w:p>
            <w:r>
              <w:rPr>
                <w:rFonts w:hint="eastAsia"/>
              </w:rPr>
              <w:t>电话.</w:t>
            </w:r>
          </w:p>
        </w:tc>
        <w:tc>
          <w:tcPr>
            <w:tcW w:w="2180" w:type="dxa"/>
            <w:vAlign w:val="center"/>
          </w:tcPr>
          <w:p>
            <w:bookmarkStart w:id="11" w:name="联系人电话"/>
            <w:r>
              <w:t>18081920790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华建</w:t>
            </w:r>
            <w:bookmarkEnd w:id="13"/>
          </w:p>
        </w:tc>
        <w:tc>
          <w:tcPr>
            <w:tcW w:w="1313" w:type="dxa"/>
            <w:vAlign w:val="center"/>
          </w:tcPr>
          <w:p>
            <w:r>
              <w:rPr>
                <w:rFonts w:hint="eastAsia"/>
              </w:rPr>
              <w:t>管理者代表</w:t>
            </w:r>
          </w:p>
        </w:tc>
        <w:tc>
          <w:tcPr>
            <w:tcW w:w="2180" w:type="dxa"/>
          </w:tcPr>
          <w:p>
            <w:bookmarkStart w:id="14" w:name="管理者代表"/>
            <w:r>
              <w:t>李君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原料—烘干—熔融—锁模、注射—保压、冷却—印刷--检验—入库</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2022年05月19日 上午至2022年05月19日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四川省射洪市经济开发区河东大道4号5幢1层5号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Q：组合式防伪瓶盖生产</w:t>
            </w:r>
          </w:p>
          <w:p>
            <w:r>
              <w:t>O：组合式防伪瓶盖生产所涉及场所的相关职业健康安全管理活动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Q：09.01.02;14.02.02</w:t>
            </w:r>
          </w:p>
          <w:p>
            <w:r>
              <w:t>O：09.01.02;14.02.02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2021年11月13日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419"/>
        <w:gridCol w:w="205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419" w:type="dxa"/>
            <w:shd w:val="clear" w:color="auto" w:fill="F3F3F3"/>
            <w:tcMar>
              <w:left w:w="57" w:type="dxa"/>
              <w:right w:w="57" w:type="dxa"/>
            </w:tcMar>
          </w:tcPr>
          <w:p>
            <w:r>
              <w:rPr>
                <w:rFonts w:hint="eastAsia"/>
              </w:rPr>
              <w:t>审核范围（产品和过程）</w:t>
            </w:r>
          </w:p>
          <w:p/>
          <w:p/>
        </w:tc>
        <w:tc>
          <w:tcPr>
            <w:tcW w:w="205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射洪泳贞包装有限公司</w:t>
            </w:r>
            <w:r>
              <w:rPr>
                <w:rFonts w:hint="eastAsia"/>
                <w:sz w:val="21"/>
                <w:szCs w:val="21"/>
                <w:lang w:val="en-US" w:eastAsia="zh-CN"/>
              </w:rPr>
              <w:t>/</w:t>
            </w:r>
            <w:r>
              <w:rPr>
                <w:sz w:val="21"/>
                <w:szCs w:val="21"/>
              </w:rPr>
              <w:t>四川省射洪市经济开发区河东大道4号5幢1层5号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四川省射洪市经济开发区河东大道4号5幢1层5号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45</w:t>
            </w:r>
          </w:p>
        </w:tc>
        <w:tc>
          <w:tcPr>
            <w:tcW w:w="1419" w:type="dxa"/>
            <w:vAlign w:val="center"/>
          </w:tcPr>
          <w:p>
            <w:pPr>
              <w:pStyle w:val="24"/>
              <w:rPr>
                <w:rFonts w:ascii="Times New Roman" w:hAnsi="Times New Roman" w:eastAsia="黑体" w:cs="Arial"/>
                <w:kern w:val="2"/>
                <w:sz w:val="21"/>
                <w:szCs w:val="21"/>
                <w:lang w:val="en-US" w:eastAsia="ja-JP" w:bidi="ar-SA"/>
              </w:rPr>
            </w:pPr>
            <w:r>
              <w:t>组合式防伪瓶盖生产</w:t>
            </w:r>
          </w:p>
        </w:tc>
        <w:tc>
          <w:tcPr>
            <w:tcW w:w="2053" w:type="dxa"/>
            <w:vAlign w:val="center"/>
          </w:tcPr>
          <w:p>
            <w:pPr>
              <w:spacing w:before="40" w:after="40"/>
              <w:rPr>
                <w:rFonts w:hint="eastAsia" w:eastAsia="黑体"/>
                <w:szCs w:val="21"/>
                <w:lang w:eastAsia="ja-JP"/>
              </w:rPr>
            </w:pPr>
            <w:r>
              <w:rPr>
                <w:rFonts w:hint="eastAsia" w:eastAsia="黑体"/>
                <w:szCs w:val="21"/>
                <w:lang w:eastAsia="ja-JP"/>
              </w:rPr>
              <w:t>GB/T19001-2016</w:t>
            </w:r>
          </w:p>
          <w:p>
            <w:pPr>
              <w:spacing w:before="40" w:after="40"/>
              <w:rPr>
                <w:rFonts w:hint="eastAsia" w:ascii="Times New Roman" w:hAnsi="Times New Roman" w:eastAsia="黑体" w:cs="Times New Roman"/>
                <w:kern w:val="2"/>
                <w:sz w:val="21"/>
                <w:szCs w:val="21"/>
                <w:lang w:val="en-US" w:eastAsia="ja-JP" w:bidi="ar-SA"/>
              </w:rPr>
            </w:pPr>
            <w:r>
              <w:rPr>
                <w:rFonts w:hint="eastAsia" w:eastAsia="黑体"/>
                <w:szCs w:val="21"/>
                <w:lang w:eastAsia="zh-CN"/>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419" w:type="dxa"/>
            <w:vAlign w:val="center"/>
          </w:tcPr>
          <w:p>
            <w:pPr>
              <w:rPr>
                <w:lang w:eastAsia="ja-JP"/>
              </w:rPr>
            </w:pPr>
          </w:p>
        </w:tc>
        <w:tc>
          <w:tcPr>
            <w:tcW w:w="205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419" w:type="dxa"/>
            <w:vAlign w:val="center"/>
          </w:tcPr>
          <w:p>
            <w:pPr>
              <w:rPr>
                <w:lang w:eastAsia="ja-JP"/>
              </w:rPr>
            </w:pPr>
          </w:p>
        </w:tc>
        <w:tc>
          <w:tcPr>
            <w:tcW w:w="205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419" w:type="dxa"/>
            <w:vAlign w:val="center"/>
          </w:tcPr>
          <w:p>
            <w:pPr>
              <w:rPr>
                <w:lang w:eastAsia="ja-JP"/>
              </w:rPr>
            </w:pPr>
          </w:p>
        </w:tc>
        <w:tc>
          <w:tcPr>
            <w:tcW w:w="205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419" w:type="dxa"/>
            <w:vAlign w:val="center"/>
          </w:tcPr>
          <w:p>
            <w:pPr>
              <w:rPr>
                <w:lang w:eastAsia="ja-JP"/>
              </w:rPr>
            </w:pPr>
          </w:p>
        </w:tc>
        <w:tc>
          <w:tcPr>
            <w:tcW w:w="2053"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2019-N1OHSMS-2093566</w:t>
            </w:r>
          </w:p>
        </w:tc>
        <w:tc>
          <w:tcPr>
            <w:tcW w:w="2179" w:type="dxa"/>
            <w:vAlign w:val="center"/>
          </w:tcPr>
          <w:p>
            <w:r>
              <w:t>Q:09.01.02,14.02.02</w:t>
            </w:r>
          </w:p>
          <w:p>
            <w:r>
              <w:t>O:09.01.02,14.02.02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冯力</w:t>
            </w:r>
          </w:p>
        </w:tc>
        <w:tc>
          <w:tcPr>
            <w:tcW w:w="1089" w:type="dxa"/>
            <w:vAlign w:val="center"/>
          </w:tcPr>
          <w:p>
            <w:r>
              <w:t>组员</w:t>
            </w:r>
          </w:p>
        </w:tc>
        <w:tc>
          <w:tcPr>
            <w:tcW w:w="711" w:type="dxa"/>
            <w:vAlign w:val="center"/>
          </w:tcPr>
          <w:p>
            <w:r>
              <w:t>女</w:t>
            </w:r>
          </w:p>
        </w:tc>
        <w:tc>
          <w:tcPr>
            <w:tcW w:w="3870" w:type="dxa"/>
            <w:vAlign w:val="center"/>
          </w:tcPr>
          <w:p>
            <w:r>
              <w:t>2021-N0QMS-1287037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2019-N1QMS-2210533</w:t>
            </w:r>
          </w:p>
          <w:p>
            <w:r>
              <w:t>2021-N1OHSMS-1210533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w:t>
      </w:r>
      <w:r>
        <w:rPr>
          <w:rFonts w:hint="eastAsia"/>
          <w:lang w:eastAsia="zh-CN"/>
        </w:rPr>
        <w:t>☑</w:t>
      </w:r>
      <w:r>
        <w:rPr>
          <w:rFonts w:hint="eastAsia"/>
        </w:rPr>
        <w:t>OHSMS）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rPr>
          <w:highlight w:val="none"/>
        </w:rPr>
      </w:pPr>
      <w:r>
        <w:rPr>
          <w:rFonts w:hint="eastAsia"/>
          <w:highlight w:val="none"/>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w:t>
      </w:r>
      <w:r>
        <w:rPr>
          <w:rFonts w:hint="eastAsia"/>
          <w:lang w:eastAsia="zh-CN"/>
        </w:rPr>
        <w:t>□</w:t>
      </w:r>
      <w:r>
        <w:rPr>
          <w:rFonts w:hint="eastAsia"/>
        </w:rPr>
        <w:t>较大</w:t>
      </w:r>
      <w:r>
        <w:rPr>
          <w:rFonts w:hint="eastAsia"/>
          <w:lang w:eastAsia="zh-CN"/>
        </w:rPr>
        <w:t>☑</w:t>
      </w:r>
      <w:r>
        <w:rPr>
          <w:rFonts w:hint="eastAsia"/>
        </w:rPr>
        <w:t>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组合式防伪瓶盖生产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组合式防伪瓶盖生产所涉及场所的相关职业健康安全管理活动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312420</wp:posOffset>
                  </wp:positionH>
                  <wp:positionV relativeFrom="paragraph">
                    <wp:posOffset>41275</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2022.5.19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rPr>
          <w:shd w:val="clear" w:color="FFFFFF" w:fill="D9D9D9"/>
        </w:rPr>
      </w:pPr>
      <w:r>
        <w:rPr>
          <w:shd w:val="clear" w:color="FFFFFF" w:fill="D9D9D9"/>
        </w:rPr>
        <w:t>附件ISO 9001:2015 (若不是ISO 9001:2015审核请删除)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最高管理者制定了文件化的管理体系方针：精益求精 创“泳贞”新优势，坚持走可持续发展之路</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86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86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1" w:type="dxa"/>
                  <w:shd w:val="clear" w:color="auto" w:fill="auto"/>
                  <w:vAlign w:val="center"/>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color w:val="auto"/>
                      <w:szCs w:val="18"/>
                    </w:rPr>
                    <w:t>产品交付合格率100%；</w:t>
                  </w:r>
                </w:p>
              </w:tc>
              <w:tc>
                <w:tcPr>
                  <w:tcW w:w="2866" w:type="dxa"/>
                  <w:shd w:val="clear" w:color="auto" w:fill="auto"/>
                  <w:vAlign w:val="center"/>
                </w:tcPr>
                <w:p>
                  <w:pPr>
                    <w:widowControl/>
                    <w:spacing w:before="40"/>
                    <w:jc w:val="left"/>
                    <w:rPr>
                      <w:rFonts w:hint="eastAsia" w:ascii="Times New Roman" w:hAnsi="Times New Roman" w:eastAsia="宋体" w:cs="Times New Roman"/>
                      <w:color w:val="auto"/>
                      <w:kern w:val="2"/>
                      <w:sz w:val="21"/>
                      <w:szCs w:val="18"/>
                      <w:lang w:val="en-GB" w:eastAsia="zh-CN" w:bidi="ar-SA"/>
                    </w:rPr>
                  </w:pPr>
                  <w:r>
                    <w:rPr>
                      <w:rFonts w:hint="eastAsia"/>
                      <w:color w:val="auto"/>
                      <w:szCs w:val="18"/>
                    </w:rPr>
                    <w:t>交付合格数/交付总数*100%</w:t>
                  </w:r>
                </w:p>
              </w:tc>
              <w:tc>
                <w:tcPr>
                  <w:tcW w:w="1350"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生产部</w:t>
                  </w:r>
                </w:p>
              </w:tc>
              <w:tc>
                <w:tcPr>
                  <w:tcW w:w="1774" w:type="dxa"/>
                  <w:shd w:val="clear" w:color="auto" w:fill="auto"/>
                  <w:vAlign w:val="center"/>
                </w:tcPr>
                <w:p>
                  <w:pPr>
                    <w:widowControl/>
                    <w:spacing w:before="40"/>
                    <w:jc w:val="left"/>
                    <w:rPr>
                      <w:rFonts w:hint="eastAsia" w:ascii="Times New Roman" w:hAnsi="Times New Roman" w:eastAsia="宋体" w:cs="Times New Roman"/>
                      <w:color w:val="auto"/>
                      <w:kern w:val="2"/>
                      <w:sz w:val="21"/>
                      <w:szCs w:val="18"/>
                      <w:lang w:val="en-GB" w:eastAsia="zh-CN" w:bidi="ar-SA"/>
                    </w:rPr>
                  </w:pPr>
                  <w:r>
                    <w:rPr>
                      <w:rFonts w:hint="eastAsia"/>
                      <w:color w:val="auto"/>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1" w:type="dxa"/>
                  <w:shd w:val="clear" w:color="auto" w:fill="auto"/>
                  <w:vAlign w:val="center"/>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color w:val="auto"/>
                      <w:szCs w:val="18"/>
                    </w:rPr>
                    <w:t>合同按时交付率100%</w:t>
                  </w:r>
                </w:p>
              </w:tc>
              <w:tc>
                <w:tcPr>
                  <w:tcW w:w="2866" w:type="dxa"/>
                  <w:shd w:val="clear" w:color="auto" w:fill="auto"/>
                  <w:vAlign w:val="center"/>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color w:val="auto"/>
                      <w:szCs w:val="18"/>
                    </w:rPr>
                    <w:t>合同交付数/交付总数*100%</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销售部</w:t>
                  </w:r>
                </w:p>
              </w:tc>
              <w:tc>
                <w:tcPr>
                  <w:tcW w:w="1774" w:type="dxa"/>
                  <w:shd w:val="clear" w:color="auto" w:fill="auto"/>
                  <w:vAlign w:val="center"/>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color w:val="auto"/>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1" w:type="dxa"/>
                  <w:shd w:val="clear" w:color="auto" w:fill="auto"/>
                  <w:vAlign w:val="center"/>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color w:val="auto"/>
                      <w:szCs w:val="18"/>
                    </w:rPr>
                    <w:t>顾客满意度＞90分</w:t>
                  </w:r>
                </w:p>
              </w:tc>
              <w:tc>
                <w:tcPr>
                  <w:tcW w:w="2866" w:type="dxa"/>
                  <w:shd w:val="clear" w:color="auto" w:fill="auto"/>
                  <w:vAlign w:val="center"/>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color w:val="auto"/>
                      <w:szCs w:val="18"/>
                    </w:rPr>
                    <w:t>满意得分和/总调查数</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销售部</w:t>
                  </w:r>
                </w:p>
              </w:tc>
              <w:tc>
                <w:tcPr>
                  <w:tcW w:w="1774" w:type="dxa"/>
                  <w:shd w:val="clear" w:color="auto" w:fill="auto"/>
                  <w:vAlign w:val="center"/>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color w:val="auto"/>
                      <w:szCs w:val="18"/>
                    </w:rPr>
                    <w:t>96</w:t>
                  </w:r>
                  <w:r>
                    <w:rPr>
                      <w:rFonts w:hint="eastAsia"/>
                      <w:color w:val="auto"/>
                      <w:szCs w:val="18"/>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1" w:type="dxa"/>
                  <w:shd w:val="clear" w:color="auto" w:fill="auto"/>
                </w:tcPr>
                <w:p>
                  <w:pPr>
                    <w:shd w:val="clear" w:color="auto" w:fill="C7DAF1" w:themeFill="text2" w:themeFillTint="32"/>
                  </w:pPr>
                </w:p>
              </w:tc>
              <w:tc>
                <w:tcPr>
                  <w:tcW w:w="286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1" w:type="dxa"/>
                  <w:shd w:val="clear" w:color="auto" w:fill="auto"/>
                </w:tcPr>
                <w:p>
                  <w:pPr>
                    <w:shd w:val="clear" w:color="auto" w:fill="C7DAF1" w:themeFill="text2" w:themeFillTint="32"/>
                  </w:pPr>
                </w:p>
              </w:tc>
              <w:tc>
                <w:tcPr>
                  <w:tcW w:w="286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lang w:eastAsia="zh-CN"/>
              </w:rPr>
              <w:t>建筑面积2000平方米；生产车间 6个；库房1个；实验室1个</w:t>
            </w:r>
            <w:r>
              <w:rPr>
                <w:rFonts w:hint="eastAsia"/>
                <w:highlight w:val="none"/>
              </w:rPr>
              <w:t>；</w:t>
            </w:r>
          </w:p>
          <w:p>
            <w:pPr>
              <w:shd w:val="clear" w:color="auto" w:fill="C7DAF1" w:themeFill="text2" w:themeFillTint="32"/>
              <w:rPr>
                <w:u w:val="single"/>
              </w:rPr>
            </w:pPr>
            <w:r>
              <w:rPr>
                <w:rFonts w:hint="eastAsia"/>
              </w:rPr>
              <w:t>主要生产设备有：</w:t>
            </w:r>
            <w:r>
              <w:rPr>
                <w:rFonts w:hint="eastAsia"/>
                <w:u w:val="single"/>
              </w:rPr>
              <w:t>（</w:t>
            </w:r>
            <w:r>
              <w:rPr>
                <w:rFonts w:hint="eastAsia"/>
                <w:color w:val="auto"/>
                <w:szCs w:val="21"/>
                <w:u w:val="single"/>
                <w:lang w:val="en-US" w:eastAsia="zh-CN"/>
              </w:rPr>
              <w:t>预压机、数控送料机、注塑机、移印机、全自动丝印机、冲床、抛光机、切边机、热熔机、粉碎机、组装机、封边机等</w:t>
            </w:r>
            <w:r>
              <w:rPr>
                <w:rFonts w:hint="eastAsia"/>
                <w:u w:val="single"/>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bookmarkStart w:id="34" w:name="_GoBack"/>
            <w:bookmarkEnd w:id="34"/>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0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w:t>
            </w:r>
            <w:r>
              <w:rPr>
                <w:rFonts w:hint="eastAsia"/>
                <w:color w:val="auto"/>
                <w:szCs w:val="21"/>
                <w:highlight w:val="none"/>
                <w:u w:val="single"/>
                <w:lang w:val="en-US" w:eastAsia="zh-CN"/>
              </w:rPr>
              <w:t>瓶盖扭力测试仪、数显拉力计、带表卡尺、电子台称、温度计、显微镜、电子计价称、压力表</w:t>
            </w:r>
            <w:r>
              <w:rPr>
                <w:rFonts w:hint="eastAsia"/>
                <w:u w:val="single"/>
              </w:rPr>
              <w:t>）</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sz w:val="20"/>
                    </w:rPr>
                    <w:t>组合式防伪瓶盖生产</w:t>
                  </w:r>
                </w:p>
              </w:tc>
              <w:tc>
                <w:tcPr>
                  <w:tcW w:w="3665" w:type="dxa"/>
                </w:tcPr>
                <w:p>
                  <w:pPr>
                    <w:shd w:val="clear" w:color="auto" w:fill="C7DAF1" w:themeFill="text2" w:themeFillTint="32"/>
                    <w:jc w:val="left"/>
                  </w:pPr>
                  <w:r>
                    <w:rPr>
                      <w:rFonts w:hint="eastAsia"/>
                    </w:rPr>
                    <w:t>注塑成型、印刷过程</w:t>
                  </w:r>
                </w:p>
              </w:tc>
              <w:tc>
                <w:tcPr>
                  <w:tcW w:w="3265" w:type="dxa"/>
                </w:tcPr>
                <w:p>
                  <w:pPr>
                    <w:shd w:val="clear" w:color="auto" w:fill="C7DAF1" w:themeFill="text2" w:themeFillTint="32"/>
                    <w:jc w:val="left"/>
                    <w:rPr>
                      <w:rFonts w:hint="eastAsia" w:eastAsia="宋体"/>
                      <w:lang w:eastAsia="zh-CN"/>
                    </w:rPr>
                  </w:pPr>
                  <w:r>
                    <w:rPr>
                      <w:rFonts w:hint="eastAsia"/>
                    </w:rPr>
                    <w:t>温度、压力</w:t>
                  </w:r>
                  <w:r>
                    <w:rPr>
                      <w:rFonts w:hint="eastAsia"/>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需要确认的过程：注塑成型过程，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eastAsia="zh-CN"/>
              </w:rPr>
              <w:t>报告编号：</w:t>
            </w:r>
            <w:r>
              <w:rPr>
                <w:rFonts w:hint="eastAsia"/>
              </w:rPr>
              <w:t>DZQ(2021)W1150。</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通过年度策划于2022年4月1-2日实施了质量管理体系内部审核，对质量管理体系的符合性和有效性进行了审核。内审发现的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最高管理者已按策划的时间间隔，在2022年4月14日对组织的质量管理体系进行了评审，以确保其持续的适宜性、充分性和有效性；管理评审输入、输出均按要求提供。并对提出的改进措施进行了落实。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最高管理者制定了文件化的职业健康安全管理体系方针：保障健康、安全生产、以人为本、永续发展、遵守法规、持续改进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r>
              <w:rPr>
                <w:rFonts w:hint="eastAsia"/>
              </w:rPr>
              <w:t>安全的主管部门是——</w:t>
            </w:r>
            <w:r>
              <w:rPr>
                <w:rFonts w:hint="eastAsia"/>
                <w:lang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员工代表是——邓海云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生产过程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3"/>
              <w:gridCol w:w="259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3" w:type="dxa"/>
                  <w:shd w:val="clear" w:color="auto" w:fill="auto"/>
                </w:tcPr>
                <w:p>
                  <w:pPr>
                    <w:rPr>
                      <w:rFonts w:ascii="宋体" w:hAnsi="宋体"/>
                    </w:rPr>
                  </w:pPr>
                  <w:r>
                    <w:rPr>
                      <w:rFonts w:hint="eastAsia"/>
                    </w:rPr>
                    <w:t>职业健康安全</w:t>
                  </w:r>
                  <w:r>
                    <w:rPr>
                      <w:rFonts w:hint="eastAsia" w:ascii="宋体" w:hAnsi="宋体"/>
                    </w:rPr>
                    <w:t>目标</w:t>
                  </w:r>
                </w:p>
              </w:tc>
              <w:tc>
                <w:tcPr>
                  <w:tcW w:w="2594"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3" w:type="dxa"/>
                  <w:shd w:val="clear" w:color="auto" w:fill="auto"/>
                  <w:vAlign w:val="center"/>
                </w:tcPr>
                <w:p>
                  <w:pPr>
                    <w:rPr>
                      <w:rFonts w:hint="eastAsia" w:ascii="Times New Roman" w:hAnsi="Times New Roman" w:eastAsia="宋体" w:cs="Times New Roman"/>
                      <w:color w:val="000000"/>
                      <w:spacing w:val="-2"/>
                      <w:sz w:val="18"/>
                      <w:szCs w:val="18"/>
                      <w:lang w:val="en-US" w:eastAsia="zh-CN"/>
                    </w:rPr>
                  </w:pPr>
                  <w:r>
                    <w:rPr>
                      <w:rFonts w:hint="eastAsia" w:ascii="Times New Roman" w:hAnsi="Times New Roman" w:eastAsia="宋体" w:cs="Times New Roman"/>
                      <w:color w:val="000000"/>
                      <w:spacing w:val="-2"/>
                      <w:sz w:val="18"/>
                      <w:szCs w:val="18"/>
                      <w:lang w:val="en-US" w:eastAsia="zh-CN"/>
                    </w:rPr>
                    <w:t>重大安全事故和伤亡事故为0</w:t>
                  </w:r>
                </w:p>
              </w:tc>
              <w:tc>
                <w:tcPr>
                  <w:tcW w:w="2594" w:type="dxa"/>
                  <w:shd w:val="clear" w:color="auto" w:fill="auto"/>
                  <w:vAlign w:val="center"/>
                </w:tcPr>
                <w:p>
                  <w:pPr>
                    <w:rPr>
                      <w:lang w:val="en-GB"/>
                    </w:rPr>
                  </w:pPr>
                  <w:r>
                    <w:rPr>
                      <w:rFonts w:hint="eastAsia" w:ascii="Times New Roman" w:hAnsi="Times New Roman" w:eastAsia="宋体" w:cs="Times New Roman"/>
                      <w:color w:val="000000"/>
                      <w:spacing w:val="-2"/>
                      <w:sz w:val="18"/>
                      <w:szCs w:val="18"/>
                      <w:lang w:val="en-US" w:eastAsia="zh-CN"/>
                    </w:rPr>
                    <w:t>安全管理方案</w:t>
                  </w:r>
                </w:p>
              </w:tc>
              <w:tc>
                <w:tcPr>
                  <w:tcW w:w="1350" w:type="dxa"/>
                  <w:shd w:val="clear" w:color="auto" w:fill="auto"/>
                  <w:vAlign w:val="center"/>
                </w:tcPr>
                <w:p>
                  <w:pPr>
                    <w:rPr>
                      <w:rFonts w:hint="eastAsia" w:eastAsia="宋体"/>
                      <w:lang w:val="en-GB" w:eastAsia="zh-CN"/>
                    </w:rPr>
                  </w:pPr>
                  <w:r>
                    <w:rPr>
                      <w:rFonts w:hint="eastAsia"/>
                      <w:lang w:val="en-GB" w:eastAsia="zh-CN"/>
                    </w:rPr>
                    <w:t>生产部</w:t>
                  </w:r>
                </w:p>
              </w:tc>
              <w:tc>
                <w:tcPr>
                  <w:tcW w:w="1774" w:type="dxa"/>
                  <w:shd w:val="clear" w:color="auto" w:fill="auto"/>
                  <w:vAlign w:val="center"/>
                </w:tcPr>
                <w:p>
                  <w:pPr>
                    <w:jc w:val="center"/>
                    <w:rPr>
                      <w:rFonts w:hint="eastAsia" w:ascii="宋体" w:hAnsi="宋体" w:eastAsia="宋体"/>
                      <w:lang w:val="en-GB" w:eastAsia="zh-CN"/>
                    </w:rPr>
                  </w:pPr>
                  <w:r>
                    <w:rPr>
                      <w:rFonts w:hint="eastAsia" w:ascii="宋体" w:hAnsi="宋体"/>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3" w:type="dxa"/>
                  <w:shd w:val="clear" w:color="auto" w:fill="auto"/>
                  <w:vAlign w:val="center"/>
                </w:tcPr>
                <w:p>
                  <w:pPr>
                    <w:rPr>
                      <w:rFonts w:hint="eastAsia" w:ascii="Times New Roman" w:hAnsi="Times New Roman" w:eastAsia="宋体" w:cs="Times New Roman"/>
                      <w:color w:val="000000"/>
                      <w:spacing w:val="-2"/>
                      <w:sz w:val="18"/>
                      <w:szCs w:val="18"/>
                      <w:lang w:val="en-US" w:eastAsia="zh-CN"/>
                    </w:rPr>
                  </w:pPr>
                  <w:r>
                    <w:rPr>
                      <w:rFonts w:hint="eastAsia" w:ascii="Times New Roman" w:hAnsi="Times New Roman" w:eastAsia="宋体" w:cs="Times New Roman"/>
                      <w:color w:val="000000"/>
                      <w:spacing w:val="-2"/>
                      <w:sz w:val="18"/>
                      <w:szCs w:val="18"/>
                      <w:lang w:val="en-US" w:eastAsia="zh-CN"/>
                    </w:rPr>
                    <w:t>火灾事故为0</w:t>
                  </w:r>
                </w:p>
              </w:tc>
              <w:tc>
                <w:tcPr>
                  <w:tcW w:w="2594" w:type="dxa"/>
                  <w:shd w:val="clear" w:color="auto" w:fill="auto"/>
                  <w:vAlign w:val="center"/>
                </w:tcPr>
                <w:p>
                  <w:pPr>
                    <w:rPr>
                      <w:rFonts w:ascii="宋体" w:hAnsi="宋体"/>
                    </w:rPr>
                  </w:pPr>
                  <w:r>
                    <w:rPr>
                      <w:rFonts w:hint="eastAsia" w:ascii="Times New Roman" w:hAnsi="Times New Roman" w:eastAsia="宋体" w:cs="Times New Roman"/>
                      <w:color w:val="000000"/>
                      <w:spacing w:val="-2"/>
                      <w:sz w:val="18"/>
                      <w:szCs w:val="18"/>
                      <w:lang w:val="en-US" w:eastAsia="zh-CN"/>
                    </w:rPr>
                    <w:t>火灾预防、火灾应急预案</w:t>
                  </w:r>
                </w:p>
              </w:tc>
              <w:tc>
                <w:tcPr>
                  <w:tcW w:w="1350" w:type="dxa"/>
                  <w:shd w:val="clear" w:color="auto" w:fill="auto"/>
                  <w:vAlign w:val="center"/>
                </w:tcPr>
                <w:p>
                  <w:pPr>
                    <w:rPr>
                      <w:rFonts w:hint="eastAsia" w:ascii="宋体" w:hAnsi="宋体" w:eastAsia="宋体"/>
                      <w:lang w:eastAsia="zh-CN"/>
                    </w:rPr>
                  </w:pPr>
                  <w:r>
                    <w:rPr>
                      <w:rFonts w:hint="eastAsia" w:ascii="宋体" w:hAnsi="宋体"/>
                      <w:lang w:eastAsia="zh-CN"/>
                    </w:rPr>
                    <w:t>生产部</w:t>
                  </w:r>
                </w:p>
              </w:tc>
              <w:tc>
                <w:tcPr>
                  <w:tcW w:w="1774" w:type="dxa"/>
                  <w:shd w:val="clear" w:color="auto" w:fill="auto"/>
                  <w:vAlign w:val="center"/>
                </w:tcPr>
                <w:p>
                  <w:pPr>
                    <w:jc w:val="center"/>
                    <w:rPr>
                      <w:rFonts w:hint="eastAsia" w:ascii="宋体" w:hAnsi="宋体" w:eastAsia="宋体"/>
                      <w:lang w:eastAsia="zh-CN"/>
                    </w:rPr>
                  </w:pPr>
                  <w:r>
                    <w:rPr>
                      <w:rFonts w:hint="eastAsia" w:ascii="宋体" w:hAnsi="宋体"/>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3" w:type="dxa"/>
                  <w:shd w:val="clear" w:color="auto" w:fill="auto"/>
                </w:tcPr>
                <w:p/>
              </w:tc>
              <w:tc>
                <w:tcPr>
                  <w:tcW w:w="2594"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3" w:type="dxa"/>
                  <w:shd w:val="clear" w:color="auto" w:fill="auto"/>
                </w:tcPr>
                <w:p/>
              </w:tc>
              <w:tc>
                <w:tcPr>
                  <w:tcW w:w="2594"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highlight w:val="none"/>
              </w:rPr>
            </w:pPr>
            <w:r>
              <w:rPr>
                <w:rFonts w:hint="eastAsia"/>
                <w:highlight w:val="none"/>
                <w:lang w:eastAsia="zh-CN"/>
              </w:rPr>
              <w:t>建筑面积2000平方米；生产车间 6个；库房1个；实验室1个</w:t>
            </w:r>
            <w:r>
              <w:rPr>
                <w:rFonts w:hint="eastAsia"/>
                <w:highlight w:val="none"/>
              </w:rPr>
              <w:t>；</w:t>
            </w:r>
          </w:p>
          <w:p>
            <w:pPr>
              <w:rPr>
                <w:u w:val="single"/>
              </w:rPr>
            </w:pPr>
            <w:r>
              <w:rPr>
                <w:rFonts w:hint="eastAsia"/>
              </w:rPr>
              <w:t>主要生产设备有：</w:t>
            </w:r>
            <w:r>
              <w:rPr>
                <w:rFonts w:hint="eastAsia"/>
                <w:u w:val="single"/>
              </w:rPr>
              <w:t>（</w:t>
            </w:r>
            <w:r>
              <w:rPr>
                <w:rFonts w:hint="eastAsia"/>
                <w:color w:val="auto"/>
                <w:szCs w:val="21"/>
                <w:u w:val="single"/>
                <w:lang w:val="en-US" w:eastAsia="zh-CN"/>
              </w:rPr>
              <w:t>预压机、数控送料机、注塑机、移印机、全自动丝印机、冲床、抛光机、切边机、热熔机、粉碎机、组装机、封边机</w:t>
            </w:r>
            <w:r>
              <w:rPr>
                <w:rFonts w:hint="eastAsia"/>
                <w:u w:val="single"/>
              </w:rPr>
              <w:t>）</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vAlign w:val="top"/>
                </w:tcPr>
                <w:p>
                  <w:pPr>
                    <w:jc w:val="left"/>
                    <w:rPr>
                      <w:rFonts w:ascii="Times New Roman" w:hAnsi="Times New Roman" w:eastAsia="宋体" w:cs="Times New Roman"/>
                      <w:kern w:val="2"/>
                      <w:sz w:val="21"/>
                      <w:szCs w:val="24"/>
                      <w:lang w:val="en-US" w:eastAsia="zh-CN" w:bidi="ar-SA"/>
                    </w:rPr>
                  </w:pPr>
                  <w:r>
                    <w:rPr>
                      <w:rFonts w:hint="eastAsia" w:ascii="Times New Roman" w:hAnsi="Times New Roman" w:cs="Times New Roman"/>
                      <w:color w:val="000000"/>
                      <w:szCs w:val="18"/>
                      <w:lang w:val="en-US" w:eastAsia="zh-CN"/>
                    </w:rPr>
                    <w:t>火灾预防、火灾应急预案</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于2022年3月24日进行了火灾应急演练；并总结了预案的可行性和有效性。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定期（每年）：2022年3月21日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1-2</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14</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5"/>
      </w:pPr>
    </w:p>
    <w:tbl>
      <w:tblPr>
        <w:tblStyle w:val="11"/>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default"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3</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8" w:type="dxa"/>
            <w:shd w:val="clear" w:color="auto" w:fill="F2DCDC" w:themeFill="accent2" w:themeFillTint="32"/>
            <w:vAlign w:val="center"/>
          </w:tcPr>
          <w:p>
            <w:pPr>
              <w:rPr>
                <w:rFonts w:hint="default"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8" w:type="dxa"/>
            <w:shd w:val="clear" w:color="auto" w:fill="F2DCDC" w:themeFill="accent2" w:themeFillTint="32"/>
            <w:vAlign w:val="center"/>
          </w:tcPr>
          <w:p>
            <w:pPr>
              <w:rPr>
                <w:rFonts w:hint="default"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8"/>
      <w:pBdr>
        <w:bottom w:val="single" w:color="auto" w:sz="4" w:space="1"/>
      </w:pBdr>
      <w:spacing w:line="320" w:lineRule="exact"/>
      <w:ind w:firstLine="756" w:firstLineChars="400"/>
      <w:jc w:val="left"/>
      <w:rPr>
        <w:rStyle w:val="21"/>
        <w:rFonts w:hint="default"/>
      </w:rPr>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FmNDE1OTA0NjMzMTc3MjRkMDFmMDVlMjFhNzg3YjQifQ=="/>
  </w:docVars>
  <w:rsids>
    <w:rsidRoot w:val="00000000"/>
    <w:rsid w:val="011F60EE"/>
    <w:rsid w:val="01235A8D"/>
    <w:rsid w:val="01F640BC"/>
    <w:rsid w:val="029149CA"/>
    <w:rsid w:val="02DC28CB"/>
    <w:rsid w:val="039F4141"/>
    <w:rsid w:val="04177466"/>
    <w:rsid w:val="066D535E"/>
    <w:rsid w:val="0A9C3CAC"/>
    <w:rsid w:val="0AED2402"/>
    <w:rsid w:val="0BB26D6E"/>
    <w:rsid w:val="0E341099"/>
    <w:rsid w:val="0F836AE5"/>
    <w:rsid w:val="10AC56BF"/>
    <w:rsid w:val="13006816"/>
    <w:rsid w:val="16A63835"/>
    <w:rsid w:val="19AF6752"/>
    <w:rsid w:val="1B625841"/>
    <w:rsid w:val="1C462BAA"/>
    <w:rsid w:val="1F3244CE"/>
    <w:rsid w:val="20A16252"/>
    <w:rsid w:val="248B0A06"/>
    <w:rsid w:val="24AF7171"/>
    <w:rsid w:val="251066D0"/>
    <w:rsid w:val="2BBA4E38"/>
    <w:rsid w:val="2BC7377E"/>
    <w:rsid w:val="2C66204C"/>
    <w:rsid w:val="2D550988"/>
    <w:rsid w:val="2E806920"/>
    <w:rsid w:val="2F067A90"/>
    <w:rsid w:val="331139D8"/>
    <w:rsid w:val="34D04347"/>
    <w:rsid w:val="381524D8"/>
    <w:rsid w:val="38827878"/>
    <w:rsid w:val="392A4E38"/>
    <w:rsid w:val="394F71DD"/>
    <w:rsid w:val="3AFF0B8E"/>
    <w:rsid w:val="3B8663E1"/>
    <w:rsid w:val="3F8C08C0"/>
    <w:rsid w:val="3FC90D91"/>
    <w:rsid w:val="40D366B8"/>
    <w:rsid w:val="40E07F22"/>
    <w:rsid w:val="42651297"/>
    <w:rsid w:val="44583E0F"/>
    <w:rsid w:val="45940009"/>
    <w:rsid w:val="482F580F"/>
    <w:rsid w:val="490868D4"/>
    <w:rsid w:val="4A2862C1"/>
    <w:rsid w:val="4C334438"/>
    <w:rsid w:val="4D693BB4"/>
    <w:rsid w:val="4DD875B1"/>
    <w:rsid w:val="519228EA"/>
    <w:rsid w:val="54EF04CB"/>
    <w:rsid w:val="56E30533"/>
    <w:rsid w:val="58A17F79"/>
    <w:rsid w:val="5BBD3A31"/>
    <w:rsid w:val="5E816FDD"/>
    <w:rsid w:val="5EC155FD"/>
    <w:rsid w:val="5F472FE6"/>
    <w:rsid w:val="5FB30897"/>
    <w:rsid w:val="622F06E0"/>
    <w:rsid w:val="67F20C2B"/>
    <w:rsid w:val="6A1521B5"/>
    <w:rsid w:val="6C8368E4"/>
    <w:rsid w:val="6CCA2EAA"/>
    <w:rsid w:val="6E9B73A7"/>
    <w:rsid w:val="6ED45758"/>
    <w:rsid w:val="700D5DEC"/>
    <w:rsid w:val="70E77189"/>
    <w:rsid w:val="715F1D60"/>
    <w:rsid w:val="7478268B"/>
    <w:rsid w:val="74F0512C"/>
    <w:rsid w:val="75660855"/>
    <w:rsid w:val="768D4BF0"/>
    <w:rsid w:val="769813AA"/>
    <w:rsid w:val="7D016EE9"/>
    <w:rsid w:val="7F1C66EB"/>
    <w:rsid w:val="7F2805F8"/>
    <w:rsid w:val="7F2D7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ourier New"/>
      <w:szCs w:val="20"/>
    </w:r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8"/>
    <w:qFormat/>
    <w:uiPriority w:val="99"/>
    <w:rPr>
      <w:rFonts w:ascii="Times New Roman" w:hAnsi="Times New Roman" w:eastAsia="宋体" w:cs="Times New Roman"/>
      <w:sz w:val="18"/>
      <w:szCs w:val="18"/>
    </w:rPr>
  </w:style>
  <w:style w:type="character" w:customStyle="1" w:styleId="18">
    <w:name w:val="页脚 Char"/>
    <w:basedOn w:val="13"/>
    <w:link w:val="7"/>
    <w:qFormat/>
    <w:uiPriority w:val="99"/>
    <w:rPr>
      <w:rFonts w:ascii="Times New Roman" w:hAnsi="Times New Roman" w:eastAsia="宋体" w:cs="Times New Roman"/>
      <w:sz w:val="18"/>
      <w:szCs w:val="18"/>
    </w:rPr>
  </w:style>
  <w:style w:type="character" w:customStyle="1" w:styleId="19">
    <w:name w:val="批注框文本 Char"/>
    <w:basedOn w:val="13"/>
    <w:link w:val="6"/>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14556</Words>
  <Characters>15370</Characters>
  <Lines>150</Lines>
  <Paragraphs>42</Paragraphs>
  <TotalTime>7</TotalTime>
  <ScaleCrop>false</ScaleCrop>
  <LinksUpToDate>false</LinksUpToDate>
  <CharactersWithSpaces>15468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2022-05-19T08:06:15Z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2052-11.1.0.11691</vt:lpwstr>
  </property>
</Properties>
</file>