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28"/>
        <w:gridCol w:w="1222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49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7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05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任丘市昊宇传动机械有限公司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7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051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任丘市石门桥镇史村106国道西侧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7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051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任丘市石门桥镇史村106国道西侧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7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58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刘倩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13931715301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70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586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7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586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0182-2020-Q-2022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70" w:type="dxa"/>
            <w:gridSpan w:val="2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051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70" w:type="dxa"/>
            <w:gridSpan w:val="2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051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70" w:type="dxa"/>
            <w:gridSpan w:val="2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051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70" w:type="dxa"/>
            <w:gridSpan w:val="2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051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7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051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7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922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链轮、齿轮、立体车库传动配件及冶金矿山设备传动配件的生产（资质许可范围内除外）。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17.10.01;17.10.02;18.01.05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27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05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  <w:lang w:val="en-US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 ■认证合同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</w:t>
            </w:r>
            <w:r>
              <w:rPr>
                <w:rFonts w:eastAsia="黑体"/>
                <w:sz w:val="28"/>
                <w:szCs w:val="28"/>
                <w:lang w:eastAsia="zh-CN"/>
              </w:rPr>
              <w:t>QMS/SC-</w:t>
            </w:r>
            <w:r>
              <w:rPr>
                <w:rFonts w:hint="eastAsia" w:eastAsia="黑体"/>
                <w:sz w:val="28"/>
                <w:szCs w:val="28"/>
                <w:lang w:eastAsia="zh-CN"/>
              </w:rPr>
              <w:t>RQHY</w:t>
            </w:r>
            <w:r>
              <w:rPr>
                <w:rFonts w:eastAsia="黑体"/>
                <w:sz w:val="28"/>
                <w:szCs w:val="28"/>
                <w:lang w:eastAsia="zh-CN"/>
              </w:rPr>
              <w:t>-2019</w:t>
            </w: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 xml:space="preserve"> 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7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05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  <w:r>
              <w:rPr>
                <w:rFonts w:hint="eastAsia"/>
                <w:b/>
                <w:sz w:val="20"/>
              </w:rPr>
              <w:t>审核于</w:t>
            </w:r>
            <w:bookmarkStart w:id="24" w:name="审核日期"/>
            <w:r>
              <w:rPr>
                <w:rFonts w:hint="eastAsia"/>
                <w:b/>
                <w:sz w:val="20"/>
              </w:rPr>
              <w:t>2022年05月15日 上午至2022年05月15日 下午</w:t>
            </w:r>
            <w:bookmarkEnd w:id="24"/>
            <w:r>
              <w:rPr>
                <w:rFonts w:hint="eastAsia"/>
                <w:b/>
                <w:sz w:val="20"/>
              </w:rPr>
              <w:t>(共</w:t>
            </w:r>
            <w:bookmarkStart w:id="25" w:name="审核天数"/>
            <w:r>
              <w:rPr>
                <w:rFonts w:hint="eastAsia"/>
                <w:b/>
                <w:sz w:val="20"/>
              </w:rPr>
              <w:t>1.0</w:t>
            </w:r>
            <w:bookmarkEnd w:id="25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7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05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48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31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2019-N1QMS-1244880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17.10.01,17.10.02,18.01.05</w:t>
            </w:r>
          </w:p>
        </w:tc>
        <w:tc>
          <w:tcPr>
            <w:tcW w:w="1448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231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范雯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2021-N0QMS-1283054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48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18526190477</w:t>
            </w:r>
          </w:p>
        </w:tc>
        <w:tc>
          <w:tcPr>
            <w:tcW w:w="1231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inline distT="0" distB="0" distL="114300" distR="114300">
                  <wp:extent cx="1022350" cy="342900"/>
                  <wp:effectExtent l="0" t="0" r="6350" b="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3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李凤娟</w:t>
            </w:r>
            <w:bookmarkEnd w:id="26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13831886852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2022.5.14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2022.5.14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tabs>
          <w:tab w:val="left" w:pos="5736"/>
        </w:tabs>
        <w:jc w:val="left"/>
        <w:rPr>
          <w:rFonts w:hint="eastAsia" w:cs="Times New Roman"/>
          <w:kern w:val="2"/>
          <w:sz w:val="24"/>
          <w:lang w:val="en-US" w:eastAsia="zh-CN" w:bidi="ar-SA"/>
        </w:rPr>
      </w:pPr>
      <w:r>
        <w:rPr>
          <w:rFonts w:hint="eastAsia" w:cs="Times New Roman"/>
          <w:kern w:val="2"/>
          <w:sz w:val="24"/>
          <w:lang w:val="en-US" w:eastAsia="zh-CN" w:bidi="ar-SA"/>
        </w:rPr>
        <w:tab/>
      </w:r>
    </w:p>
    <w:p>
      <w:pPr>
        <w:pStyle w:val="2"/>
      </w:pPr>
      <w:r>
        <w:drawing>
          <wp:inline distT="0" distB="0" distL="114300" distR="114300">
            <wp:extent cx="5697220" cy="7752715"/>
            <wp:effectExtent l="0" t="0" r="508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7220" cy="7752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rPr>
          <w:rFonts w:hint="eastAsia"/>
          <w:lang w:val="en-US" w:eastAsia="zh-CN"/>
        </w:rPr>
      </w:pPr>
      <w:bookmarkStart w:id="27" w:name="_GoBack"/>
      <w:bookmarkEnd w:id="27"/>
    </w:p>
    <w:p>
      <w:pPr>
        <w:pStyle w:val="2"/>
        <w:rPr>
          <w:rFonts w:hint="eastAsia"/>
          <w:lang w:val="en-US" w:eastAsia="zh-CN"/>
        </w:rPr>
      </w:pPr>
    </w:p>
    <w:tbl>
      <w:tblPr>
        <w:tblStyle w:val="7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708"/>
        <w:gridCol w:w="933"/>
        <w:gridCol w:w="3100"/>
        <w:gridCol w:w="2050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7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70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1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0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7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  <w:lang w:val="en-US" w:eastAsia="zh-CN"/>
              </w:rPr>
              <w:t>2022-5.15</w:t>
            </w:r>
          </w:p>
        </w:tc>
        <w:tc>
          <w:tcPr>
            <w:tcW w:w="1708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1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7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708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08: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30-08:45</w:t>
            </w:r>
          </w:p>
        </w:tc>
        <w:tc>
          <w:tcPr>
            <w:tcW w:w="933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05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7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708" w:type="dxa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45-10:00</w:t>
            </w:r>
          </w:p>
        </w:tc>
        <w:tc>
          <w:tcPr>
            <w:tcW w:w="933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100" w:type="dxa"/>
          </w:tcPr>
          <w:p>
            <w:pPr>
              <w:tabs>
                <w:tab w:val="left" w:pos="709"/>
              </w:tabs>
              <w:ind w:right="57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对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上次审核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问题整改情况的确认；事故事件及起处理情况等</w:t>
            </w:r>
          </w:p>
        </w:tc>
        <w:tc>
          <w:tcPr>
            <w:tcW w:w="2050" w:type="dxa"/>
          </w:tcPr>
          <w:p>
            <w:pPr>
              <w:spacing w:line="300" w:lineRule="exact"/>
              <w:jc w:val="lef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QMS：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4.1/4.2/4.3/4.4/5.1/5.2/5.3/6.1/6.2/6.3/7.1.1/9.1.1/9.2/9.3/10.1 /10.3</w:t>
            </w: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78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708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-12：00</w:t>
            </w:r>
          </w:p>
        </w:tc>
        <w:tc>
          <w:tcPr>
            <w:tcW w:w="933" w:type="dxa"/>
            <w:shd w:val="clear" w:color="auto" w:fill="C7DAF1" w:themeFill="text2" w:themeFillTint="32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310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部门职责和权限；目标实现情况；人员聘用，组织知识、培训，能力、意识的培养；企业知识管理的方法、措施及效果；沟通方式和内容，形成文件的信息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分析与评价；内部审核实施及有效性；</w:t>
            </w:r>
          </w:p>
        </w:tc>
        <w:tc>
          <w:tcPr>
            <w:tcW w:w="2050" w:type="dxa"/>
            <w:shd w:val="clear" w:color="auto" w:fill="C7DAF1" w:themeFill="text2" w:themeFillTint="32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QMS: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5.3/6.2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/7.1.27.1.6/7.2/7.3/7.4/7.5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/9.1.3/9.2/10 .2</w:t>
            </w:r>
          </w:p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审核员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7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70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1"/>
                <w:szCs w:val="21"/>
              </w:rPr>
              <w:t>12:</w:t>
            </w:r>
            <w:r>
              <w:rPr>
                <w:rFonts w:hint="eastAsia" w:ascii="楷体" w:hAnsi="楷体" w:eastAsia="楷体" w:cs="楷体"/>
                <w:b/>
                <w:color w:val="auto"/>
                <w:sz w:val="21"/>
                <w:szCs w:val="21"/>
                <w:lang w:val="en-US" w:eastAsia="zh-CN"/>
              </w:rPr>
              <w:t>00-13:00</w:t>
            </w:r>
          </w:p>
        </w:tc>
        <w:tc>
          <w:tcPr>
            <w:tcW w:w="933" w:type="dxa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1"/>
                <w:szCs w:val="21"/>
              </w:rPr>
              <w:t>休息</w:t>
            </w:r>
          </w:p>
        </w:tc>
        <w:tc>
          <w:tcPr>
            <w:tcW w:w="310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50" w:type="dxa"/>
          </w:tcPr>
          <w:p>
            <w:pPr>
              <w:spacing w:line="300" w:lineRule="exact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78" w:type="dxa"/>
            <w:tcBorders>
              <w:lef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auto"/>
              </w:rPr>
            </w:pPr>
          </w:p>
        </w:tc>
        <w:tc>
          <w:tcPr>
            <w:tcW w:w="1708" w:type="dxa"/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shd w:val="clear" w:color="auto" w:fill="auto"/>
              </w:rPr>
              <w:t>: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00-14:30</w:t>
            </w:r>
          </w:p>
        </w:tc>
        <w:tc>
          <w:tcPr>
            <w:tcW w:w="933" w:type="dxa"/>
            <w:shd w:val="clear" w:color="auto" w:fill="C7DAF1" w:themeFill="text2" w:themeFillTint="32"/>
          </w:tcPr>
          <w:p>
            <w:pPr>
              <w:rPr>
                <w:rFonts w:hint="eastAsia" w:ascii="楷体" w:hAnsi="楷体" w:eastAsia="楷体" w:cs="楷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供销部含库房</w:t>
            </w:r>
          </w:p>
        </w:tc>
        <w:tc>
          <w:tcPr>
            <w:tcW w:w="3100" w:type="dxa"/>
            <w:shd w:val="clear" w:color="auto" w:fill="C7DAF1" w:themeFill="text2" w:themeFillTint="32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部门职责和权限；目标实现情况；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市场开拓，产品和服务的要求，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</w:rPr>
              <w:t>外部提供的过程、产品和服务的控制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，顾客财产；交付后活动；顾客满意</w:t>
            </w:r>
          </w:p>
        </w:tc>
        <w:tc>
          <w:tcPr>
            <w:tcW w:w="2050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5.3/6.2/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8.2/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8.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/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8.5.3/8.5.5/9.1.2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C7DAF1" w:themeFill="text2" w:themeFillTint="32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shd w:val="clear" w:color="auto" w:fill="auto"/>
              </w:rPr>
              <w:t>审核员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78" w:type="dxa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70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14:30-17:15</w:t>
            </w:r>
          </w:p>
        </w:tc>
        <w:tc>
          <w:tcPr>
            <w:tcW w:w="933" w:type="dxa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b/>
                <w:bCs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  <w:t>生技部</w:t>
            </w:r>
          </w:p>
        </w:tc>
        <w:tc>
          <w:tcPr>
            <w:tcW w:w="3100" w:type="dxa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sz w:val="21"/>
                <w:szCs w:val="21"/>
              </w:rPr>
              <w:t>岗位、职责和权限； 部门目标和实现计划；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lang w:val="en-US" w:eastAsia="zh-CN"/>
              </w:rPr>
              <w:t>基础设施；运行环境；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</w:rPr>
              <w:t>监视和测量资源；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</w:rPr>
              <w:t>运行的策划和控制；</w:t>
            </w:r>
            <w:r>
              <w:rPr>
                <w:rFonts w:hint="eastAsia" w:ascii="楷体" w:hAnsi="楷体" w:eastAsia="楷体" w:cs="楷体"/>
                <w:sz w:val="21"/>
                <w:szCs w:val="21"/>
                <w:shd w:val="clear" w:color="auto" w:fill="auto"/>
              </w:rPr>
              <w:t>产品的设计和开发</w:t>
            </w:r>
            <w:r>
              <w:rPr>
                <w:rFonts w:hint="eastAsia" w:ascii="楷体" w:hAnsi="楷体" w:eastAsia="楷体" w:cs="楷体"/>
                <w:sz w:val="21"/>
                <w:szCs w:val="21"/>
                <w:shd w:val="clear" w:color="auto" w:fill="auto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</w:rPr>
              <w:t>生产和服务提供的控制；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标识和可追溯性管理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产品防护；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交付后活动；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更改控制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bCs/>
                <w:sz w:val="21"/>
                <w:szCs w:val="21"/>
              </w:rPr>
              <w:t>产品和服务的放行；不合格品控制。</w:t>
            </w:r>
          </w:p>
        </w:tc>
        <w:tc>
          <w:tcPr>
            <w:tcW w:w="2050" w:type="dxa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shd w:val="clear" w:color="auto" w:fill="auto"/>
              </w:rPr>
              <w:t xml:space="preserve">QMS: 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5.3/6.2/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7.1.3/7.1.4/7.1.5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/8.1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/8.3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/8.5.1/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8.5.2/8.5.4/8.5.6/8.6/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auto"/>
              </w:rPr>
              <w:t>审核员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shd w:val="clear" w:color="auto" w:fill="auto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78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</w:pPr>
          </w:p>
        </w:tc>
        <w:tc>
          <w:tcPr>
            <w:tcW w:w="1708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15-17:30</w:t>
            </w:r>
          </w:p>
        </w:tc>
        <w:tc>
          <w:tcPr>
            <w:tcW w:w="933" w:type="dxa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00" w:type="dxa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  <w:t>末次会议</w:t>
            </w:r>
          </w:p>
        </w:tc>
        <w:tc>
          <w:tcPr>
            <w:tcW w:w="2050" w:type="dxa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楷体" w:hAnsi="楷体" w:eastAsia="楷体" w:cs="楷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</w:tbl>
    <w:p>
      <w:pPr>
        <w:rPr>
          <w:lang w:val="en-US"/>
        </w:rPr>
      </w:pPr>
    </w:p>
    <w:p>
      <w:pPr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Univers Condensed">
    <w:altName w:val="Impact"/>
    <w:panose1 w:val="020B0606020202060204"/>
    <w:charset w:val="00"/>
    <w:family w:val="swiss"/>
    <w:pitch w:val="default"/>
    <w:sig w:usb0="00000000" w:usb1="00000000" w:usb2="00000000" w:usb3="00000000" w:csb0="00000093" w:csb1="00000000"/>
  </w:font>
  <w:font w:name="创艺繁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華康中楷體">
    <w:altName w:val="Microsoft JhengHei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48B5016"/>
    <w:rsid w:val="3E3728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ScaleCrop>false</ScaleCrop>
  <LinksUpToDate>false</LinksUpToDate>
  <CharactersWithSpaces>5345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zwt</cp:lastModifiedBy>
  <dcterms:modified xsi:type="dcterms:W3CDTF">2022-05-18T08:40:11Z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2052-10.1.0.6875</vt:lpwstr>
  </property>
</Properties>
</file>