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Cs/>
                <w:sz w:val="24"/>
                <w:szCs w:val="24"/>
              </w:rPr>
              <w:t>管理层</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 xml:space="preserve">主管领导：王重光、张天昊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陪同人员：李培花 </w:t>
            </w:r>
            <w:r>
              <w:rPr>
                <w:rFonts w:cs="宋体" w:asciiTheme="minorEastAsia" w:hAnsiTheme="minorEastAsia" w:eastAsiaTheme="minorEastAsia"/>
                <w:sz w:val="24"/>
                <w:szCs w:val="24"/>
              </w:rPr>
              <w:t xml:space="preserve"> </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 xml:space="preserve">审核员：汪桂丽                   </w:t>
            </w:r>
            <w:r>
              <w:rPr>
                <w:rFonts w:hint="eastAsia" w:cs="宋体" w:asciiTheme="minorEastAsia" w:hAnsiTheme="minorEastAsia" w:eastAsiaTheme="minorEastAsia"/>
                <w:sz w:val="24"/>
                <w:szCs w:val="24"/>
                <w:lang w:val="en-US" w:eastAsia="zh-CN"/>
              </w:rPr>
              <w:t xml:space="preserve">                    </w:t>
            </w:r>
            <w:bookmarkStart w:id="2" w:name="_GoBack"/>
            <w:bookmarkEnd w:id="2"/>
            <w:r>
              <w:rPr>
                <w:rFonts w:hint="eastAsia" w:cs="宋体" w:asciiTheme="minorEastAsia" w:hAnsiTheme="minorEastAsia" w:eastAsiaTheme="minorEastAsia"/>
                <w:sz w:val="24"/>
                <w:szCs w:val="24"/>
              </w:rPr>
              <w:t>审核时间：202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23</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color w:val="000000"/>
                <w:sz w:val="24"/>
                <w:szCs w:val="24"/>
              </w:rPr>
              <w:t>涉及标准条款：</w:t>
            </w:r>
            <w:r>
              <w:rPr>
                <w:rFonts w:hint="eastAsia" w:cs="宋体" w:asciiTheme="minorEastAsia" w:hAnsiTheme="minorEastAsia" w:eastAsiaTheme="minorEastAsia"/>
                <w:sz w:val="24"/>
                <w:szCs w:val="24"/>
              </w:rPr>
              <w:t>Q/OMS:4.1理解组织及其环境、4.2理解相关方的需求和期望、4.3 确定管理体系的范围、4.4质量/职业健康安全管理体系及其过程、5.1领导作用和承诺、5.2质量/职业健康安全方针、5.3组织的岗位、职责和权限、O5.4协商与参与、6.1应对风险和机遇的措施、6.2质量/职业健康安全目标及其实现的策划、Q6.3变更的策划、7.1.1（O7.1）资源总则、7.4沟通/信息交流、9.3管理评审、10.1改进、10.3持续改进；</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国家/地方监督抽查情况；顾客满意、相关方投诉及处理情况；</w:t>
            </w:r>
            <w:r>
              <w:rPr>
                <w:rFonts w:hint="eastAsia" w:cs="宋体" w:asciiTheme="minorEastAsia" w:hAnsiTheme="minorEastAsia" w:eastAsiaTheme="minorEastAsia"/>
                <w:sz w:val="24"/>
                <w:szCs w:val="24"/>
                <w:lang w:val="en-US" w:eastAsia="zh-CN"/>
              </w:rPr>
              <w:t>前期</w:t>
            </w:r>
            <w:r>
              <w:rPr>
                <w:rFonts w:hint="eastAsia" w:cs="宋体" w:asciiTheme="minorEastAsia" w:hAnsiTheme="minorEastAsia" w:eastAsiaTheme="minorEastAsia"/>
                <w:sz w:val="24"/>
                <w:szCs w:val="24"/>
              </w:rPr>
              <w:t>问题验证，验证企业相关资质证明的有效性；</w:t>
            </w:r>
          </w:p>
        </w:tc>
        <w:tc>
          <w:tcPr>
            <w:tcW w:w="760" w:type="dxa"/>
            <w:vMerge w:val="continue"/>
          </w:tcPr>
          <w:p>
            <w:pPr>
              <w:spacing w:line="32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理解组织及其环境</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4.1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公司高层领导无变化，总经理：王重光</w:t>
            </w:r>
            <w:r>
              <w:rPr>
                <w:rFonts w:hint="eastAsia" w:cs="宋体" w:asciiTheme="minorEastAsia" w:hAnsiTheme="minorEastAsia" w:eastAsiaTheme="minorEastAsia"/>
                <w:color w:val="FF0000"/>
                <w:sz w:val="24"/>
                <w:szCs w:val="24"/>
              </w:rPr>
              <w:t xml:space="preserve"> </w:t>
            </w:r>
            <w:r>
              <w:rPr>
                <w:rFonts w:hint="eastAsia" w:cs="宋体" w:asciiTheme="minorEastAsia" w:hAnsiTheme="minorEastAsia" w:eastAsiaTheme="minorEastAsia"/>
                <w:sz w:val="24"/>
                <w:szCs w:val="24"/>
              </w:rPr>
              <w:t xml:space="preserve"> 管者代表：张天昊。</w:t>
            </w:r>
          </w:p>
          <w:p>
            <w:pPr>
              <w:spacing w:line="28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提供营业执照在有效期内，生产地址与审核计划地址和实际一致，包含认证范围。</w:t>
            </w:r>
            <w:r>
              <w:rPr>
                <w:rFonts w:hint="eastAsia" w:cs="宋体" w:asciiTheme="minorEastAsia" w:hAnsiTheme="minorEastAsia" w:eastAsiaTheme="minorEastAsia"/>
                <w:sz w:val="24"/>
                <w:szCs w:val="24"/>
                <w:lang w:val="en-US" w:eastAsia="zh-CN"/>
              </w:rPr>
              <w:t>与上次相比经营地址变更为：</w:t>
            </w:r>
            <w:bookmarkStart w:id="0" w:name="生产地址"/>
            <w:r>
              <w:rPr>
                <w:rFonts w:hint="eastAsia" w:cs="宋体" w:asciiTheme="minorEastAsia" w:hAnsiTheme="minorEastAsia" w:eastAsiaTheme="minorEastAsia"/>
                <w:sz w:val="24"/>
                <w:szCs w:val="24"/>
              </w:rPr>
              <w:t>青岛市莱西市姜山镇李三路东规划路南青岛茳森工程有限公司莱西分公司</w:t>
            </w:r>
            <w:bookmarkEnd w:id="0"/>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认证范围无变化：</w:t>
            </w:r>
          </w:p>
          <w:p>
            <w:pPr>
              <w:ind w:firstLine="480" w:firstLineChars="200"/>
              <w:rPr>
                <w:rFonts w:cs="宋体" w:asciiTheme="minorEastAsia" w:hAnsiTheme="minorEastAsia" w:eastAsiaTheme="minorEastAsia"/>
                <w:sz w:val="24"/>
                <w:szCs w:val="24"/>
              </w:rPr>
            </w:pPr>
            <w:bookmarkStart w:id="1" w:name="审核范围"/>
            <w:r>
              <w:rPr>
                <w:rFonts w:cs="宋体" w:asciiTheme="minorEastAsia" w:hAnsiTheme="minorEastAsia" w:eastAsiaTheme="minorEastAsia"/>
                <w:sz w:val="24"/>
                <w:szCs w:val="24"/>
              </w:rPr>
              <w:t>Q：许可范围内的防火卷帘门、防火门和挡烟垂壁的研发、生产（分支机构经营）</w:t>
            </w:r>
          </w:p>
          <w:p>
            <w:pPr>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O：许可范围内的防火卷帘门、防火门和挡烟垂壁的研发、生产（分支机构经营）所涉及场所的相关职业健康安全管理活动</w:t>
            </w:r>
            <w:bookmarkEnd w:id="1"/>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管理体系设置了管理层、办公室、生产中心、质检部、采购部。各部门职责已确定并在手册中明确、发布、实施。</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认证主管部门：质检部 </w:t>
            </w:r>
          </w:p>
          <w:p>
            <w:pPr>
              <w:spacing w:line="280" w:lineRule="exact"/>
              <w:ind w:firstLine="480" w:firstLineChars="200"/>
              <w:rPr>
                <w:rFonts w:cs="宋体" w:asciiTheme="minorEastAsia" w:hAnsiTheme="minorEastAsia" w:eastAsiaTheme="minorEastAsia"/>
                <w:color w:val="0000FF"/>
                <w:sz w:val="24"/>
                <w:szCs w:val="24"/>
              </w:rPr>
            </w:pPr>
            <w:r>
              <w:rPr>
                <w:rFonts w:hint="eastAsia" w:cs="宋体" w:asciiTheme="minorEastAsia" w:hAnsiTheme="minorEastAsia" w:eastAsiaTheme="minorEastAsia"/>
                <w:sz w:val="24"/>
                <w:szCs w:val="24"/>
              </w:rPr>
              <w:t>管理者代表：张天昊；安全事务代表：</w:t>
            </w:r>
            <w:r>
              <w:rPr>
                <w:rFonts w:hint="eastAsia" w:asciiTheme="minorEastAsia" w:hAnsiTheme="minorEastAsia" w:eastAsiaTheme="minorEastAsia"/>
                <w:color w:val="0000FF"/>
                <w:sz w:val="24"/>
                <w:szCs w:val="24"/>
              </w:rPr>
              <w:t>纪毓昂</w:t>
            </w:r>
          </w:p>
          <w:p>
            <w:p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总经理确定与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理解相关方的需求和期望</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4.2</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理解相关方的需求和期望，建立了管理方针和目标，并分解落实，以满足相关方的要求并争取做到更高的期望值。公司为此确定了：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确定管理体系的范围</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 4.3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确定管理体系范围时考虑内容：各种内部和外部因素；相关方的要求，包括相关合规义务；组织的活动、产品；其组织单元、职能和物理边界。</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公司管理体系范围：</w:t>
            </w:r>
          </w:p>
          <w:p>
            <w:pPr>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Q：许可范围内的防火卷帘门、防火门和挡烟垂壁的研发、生产（分支机构经营）</w:t>
            </w:r>
          </w:p>
          <w:p>
            <w:pPr>
              <w:spacing w:line="28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O：许可范围内的防火卷帘门、防火门和挡烟垂壁的研发、生产（分支机构经营）所涉及场所的相关职业健康安全管理活动</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条款无不适用情况；</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外包情况：座板加工为外包过程。</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管理体系及其过程</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4.4</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公司确保按照质量、职业健康安全管理体系标准要求建立、实施、保持和持续改进质量、职业健康安全管理体系，包括所需过程及其相互作用。</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公司按照标准建立了文件化的管理体系，编制了新版的管理手册，程序文件、管理制度，形成了相关文件化信息，为过程运行提供了支持，以证实过程按照策划执行。公司确定管理体系及其过程；</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公司确定质量、职业健康安全管理体系所需的过程及其在整个组织中的应用。</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领导作用与承诺</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公司领导主要承诺有：</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对质量、职业健康安全管理体系的有效性承担责任；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确保制定质量、职业健康安全管理体系的质量方针和管理目标,并与组织环境和战略方向相一致；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确保质量、职业健康安全管理体系要求融入与组织的业务过程；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促进使用过程方法和基于风险的思维；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确保获得质量、职业健康安全管理体系所需的资源；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沟通有效的质量管理和符合质量、职业健康安全管理体系要求的重要性；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确保实现质量、职业健康安全管理体系的预期结果；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促使、指导和支持员工努力提高质量、职业健康安全管理体系的有效性；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推动改进； </w:t>
            </w:r>
          </w:p>
          <w:p>
            <w:pPr>
              <w:pStyle w:val="18"/>
              <w:numPr>
                <w:ilvl w:val="0"/>
                <w:numId w:val="1"/>
              </w:numPr>
              <w:spacing w:line="280" w:lineRule="exact"/>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支持其他管理者履行其相关领域的职责。 </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公司对全体员工进行了产品质量以及顾客关注焦点的宣传和培训，制定了管理文件和管理目标并按规定进行了管理评审，该公司的管理体系基本得到了落实。</w:t>
            </w:r>
          </w:p>
          <w:p>
            <w:p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定期检查落实的情况，并有具体要求，承诺基本实现，没有违反的情况发生。</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公司管理体系通过内审、管评及实施不符合纠正、改进措施等方法来完善和持续发展公司的管理体系。</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方针</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5.2</w:t>
            </w:r>
          </w:p>
          <w:p>
            <w:pPr>
              <w:snapToGrid w:val="0"/>
              <w:spacing w:line="280" w:lineRule="exact"/>
              <w:rPr>
                <w:rFonts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提供公司</w:t>
            </w:r>
            <w:r>
              <w:rPr>
                <w:rFonts w:cs="宋体" w:asciiTheme="minorEastAsia" w:hAnsiTheme="minorEastAsia" w:eastAsiaTheme="minorEastAsia"/>
                <w:sz w:val="24"/>
                <w:szCs w:val="24"/>
              </w:rPr>
              <w:t>质量方针</w:t>
            </w:r>
            <w:r>
              <w:rPr>
                <w:rFonts w:hint="eastAsia" w:cs="宋体" w:asciiTheme="minorEastAsia" w:hAnsiTheme="minorEastAsia" w:eastAsiaTheme="minorEastAsia"/>
                <w:sz w:val="24"/>
                <w:szCs w:val="24"/>
              </w:rPr>
              <w:t>及方针含议</w:t>
            </w:r>
            <w:r>
              <w:rPr>
                <w:rFonts w:hint="eastAsia"/>
                <w:sz w:val="24"/>
                <w:szCs w:val="24"/>
              </w:rPr>
              <w:t>、职业健康安全管理方针及释义</w:t>
            </w:r>
            <w:r>
              <w:rPr>
                <w:rFonts w:hint="eastAsia"/>
                <w:sz w:val="24"/>
                <w:szCs w:val="24"/>
                <w:lang w:eastAsia="zh-CN"/>
              </w:rPr>
              <w:t>；</w:t>
            </w:r>
            <w:r>
              <w:rPr>
                <w:rFonts w:hint="eastAsia" w:cs="宋体" w:asciiTheme="minorEastAsia" w:hAnsiTheme="minorEastAsia" w:eastAsiaTheme="minorEastAsia"/>
                <w:sz w:val="24"/>
                <w:szCs w:val="24"/>
              </w:rPr>
              <w:t>与管理层进行交谈，对方针内涵的理解；方针能为制定目标提供框架，方针基本符合标准的要求。</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利用会议、文件、宣传栏或资料等方法确保管理方针传达给所有为公司工作或代表公司的人员或相关方，并理解得到贯彻。</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每年结合管理评审对方针的持续适宜性进行了评审继续保持，有评审记录。</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组织的岗位、职责和权限</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QO 5.3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公司组织结构设置，各部门职责、权限和相互关系文件化，通过会议、培训、文件确保各相关部门及人员明确。</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公司建立、实施和保持公司管理体系所需过程，公司任命张天昊为管理体系管理者代表，与其交谈明确职责和权限：</w:t>
            </w:r>
          </w:p>
          <w:p>
            <w:pPr>
              <w:numPr>
                <w:ilvl w:val="0"/>
                <w:numId w:val="2"/>
              </w:numPr>
              <w:tabs>
                <w:tab w:val="left" w:pos="630"/>
                <w:tab w:val="clear" w:pos="420"/>
              </w:tabs>
              <w:spacing w:line="400" w:lineRule="exact"/>
              <w:ind w:left="845" w:leftChars="0" w:hanging="425"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建立、实施、保持、不断完善和持续改进公司建立的安全管理体系；</w:t>
            </w:r>
          </w:p>
          <w:p>
            <w:pPr>
              <w:numPr>
                <w:ilvl w:val="0"/>
                <w:numId w:val="2"/>
              </w:numPr>
              <w:tabs>
                <w:tab w:val="left" w:pos="630"/>
                <w:tab w:val="clear" w:pos="420"/>
              </w:tabs>
              <w:spacing w:line="400" w:lineRule="exact"/>
              <w:ind w:left="845" w:leftChars="0" w:hanging="425"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分配各职能部门的质量和职业健康安全管理职能。</w:t>
            </w:r>
          </w:p>
          <w:p>
            <w:pPr>
              <w:numPr>
                <w:ilvl w:val="0"/>
                <w:numId w:val="2"/>
              </w:numPr>
              <w:tabs>
                <w:tab w:val="left" w:pos="630"/>
                <w:tab w:val="clear" w:pos="420"/>
              </w:tabs>
              <w:spacing w:line="400" w:lineRule="exact"/>
              <w:ind w:left="845" w:leftChars="0" w:hanging="425"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全面负责公司质量和职业健康安全管理工作，定期对质量和职业健康安全管理目标进行考核，确保质量和职业健康安全目标的实现。</w:t>
            </w:r>
          </w:p>
          <w:p>
            <w:pPr>
              <w:numPr>
                <w:ilvl w:val="0"/>
                <w:numId w:val="2"/>
              </w:numPr>
              <w:tabs>
                <w:tab w:val="left" w:pos="630"/>
                <w:tab w:val="clear" w:pos="420"/>
              </w:tabs>
              <w:spacing w:line="400" w:lineRule="exact"/>
              <w:ind w:left="845" w:leftChars="0" w:hanging="425"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向最高管理者报告公司质量和职业健康安全管理体系业绩，包括业绩改进的需求，以便评审和作为公司质量和职业健康安全管理体系改进的基础。</w:t>
            </w:r>
          </w:p>
          <w:p>
            <w:pPr>
              <w:numPr>
                <w:ilvl w:val="0"/>
                <w:numId w:val="2"/>
              </w:numPr>
              <w:tabs>
                <w:tab w:val="left" w:pos="630"/>
                <w:tab w:val="clear" w:pos="420"/>
              </w:tabs>
              <w:spacing w:line="400" w:lineRule="exact"/>
              <w:ind w:left="845" w:leftChars="0" w:hanging="425"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负责纠正和预防措施的实施及有效性的验证工作。</w:t>
            </w:r>
          </w:p>
          <w:p>
            <w:pPr>
              <w:numPr>
                <w:ilvl w:val="0"/>
                <w:numId w:val="2"/>
              </w:numPr>
              <w:tabs>
                <w:tab w:val="left" w:pos="630"/>
                <w:tab w:val="clear" w:pos="420"/>
              </w:tabs>
              <w:spacing w:line="400" w:lineRule="exact"/>
              <w:ind w:left="845" w:leftChars="0" w:hanging="425"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负责组织实施内部管理体系审核，并对纠正和预防措施的实施和监督负责。</w:t>
            </w:r>
          </w:p>
          <w:p>
            <w:pPr>
              <w:numPr>
                <w:ilvl w:val="0"/>
                <w:numId w:val="2"/>
              </w:numPr>
              <w:tabs>
                <w:tab w:val="left" w:pos="630"/>
                <w:tab w:val="clear" w:pos="420"/>
              </w:tabs>
              <w:spacing w:line="400" w:lineRule="exact"/>
              <w:ind w:left="845" w:leftChars="0" w:hanging="425"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负责本公司质量和职业健康安全体系有关事宜与外部各方的联络工作。</w:t>
            </w:r>
          </w:p>
          <w:p>
            <w:pPr>
              <w:numPr>
                <w:ilvl w:val="0"/>
                <w:numId w:val="2"/>
              </w:numPr>
              <w:tabs>
                <w:tab w:val="left" w:pos="630"/>
                <w:tab w:val="clear" w:pos="420"/>
              </w:tabs>
              <w:spacing w:line="400" w:lineRule="exact"/>
              <w:ind w:left="845" w:leftChars="0" w:hanging="425"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负责监督各生产车间的现场管理实施情况，创造安全的生产环境，做到安全生产，文明生产。</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协商与参与</w:t>
            </w: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O</w:t>
            </w:r>
            <w:r>
              <w:rPr>
                <w:rFonts w:asciiTheme="minorEastAsia" w:hAnsiTheme="minorEastAsia" w:eastAsiaTheme="minorEastAsia"/>
                <w:sz w:val="24"/>
                <w:szCs w:val="24"/>
              </w:rPr>
              <w:t xml:space="preserve"> </w:t>
            </w:r>
            <w:r>
              <w:rPr>
                <w:rFonts w:cs="宋体" w:asciiTheme="minorEastAsia" w:hAnsiTheme="minorEastAsia" w:eastAsiaTheme="minorEastAsia"/>
                <w:sz w:val="24"/>
                <w:szCs w:val="24"/>
              </w:rPr>
              <w:t>5.4</w:t>
            </w: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本公司</w:t>
            </w:r>
            <w:r>
              <w:rPr>
                <w:rFonts w:cs="宋体" w:asciiTheme="minorEastAsia" w:hAnsiTheme="minorEastAsia" w:eastAsiaTheme="minorEastAsia"/>
                <w:sz w:val="24"/>
                <w:szCs w:val="24"/>
              </w:rPr>
              <w:t>建立、实施并保持过程， 用于在职业健康安全管理体系的开发、策划、实施、绩效评价和改进措施中，与所有适用的层次和职能中的员工及员工代表（如有员工代表）的参与和协商，</w:t>
            </w:r>
            <w:r>
              <w:rPr>
                <w:rFonts w:hint="eastAsia" w:cs="宋体" w:asciiTheme="minorEastAsia" w:hAnsiTheme="minorEastAsia" w:eastAsiaTheme="minorEastAsia"/>
                <w:sz w:val="24"/>
                <w:szCs w:val="24"/>
              </w:rPr>
              <w:t>并规定参与协调内容和要求。</w:t>
            </w: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应对风险和机遇的措施</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QO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6.1</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提供了内外因素识别清单、风险及机遇识别评价表，将需要应对的风险和机遇进行风险分析确定风险级别（采用打分法），在管理体系所确定的过程中，整合制定针对性管理措施。</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指定办公室负责组织公司风险和机遇识别和控制措施制定，建立并执行《风险和机遇控制程序》</w:t>
            </w:r>
            <w:r>
              <w:rPr>
                <w:rFonts w:asciiTheme="minorEastAsia" w:hAnsiTheme="minorEastAsia" w:eastAsiaTheme="minorEastAsia"/>
                <w:sz w:val="24"/>
                <w:szCs w:val="24"/>
              </w:rPr>
              <w:t>JSGC-CX-02</w:t>
            </w: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rPr>
              <w:t>建立风险对策及跟进表，明确责任部门负责跟踪风险对策实施和完成时间。</w:t>
            </w:r>
          </w:p>
          <w:p>
            <w:pPr>
              <w:pStyle w:val="18"/>
              <w:numPr>
                <w:ilvl w:val="0"/>
                <w:numId w:val="3"/>
              </w:numPr>
              <w:spacing w:line="28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外部因素主要有：社会和文化、政治、法律、监管、金融、技术、经济、自然环境和市场竞争环境；影响公司管理目标的主要驱动和趋势；与外部利益相关者的价值观的关系。如国家政策、标准、法律法规及其他要求的变动等</w:t>
            </w:r>
          </w:p>
          <w:p>
            <w:pPr>
              <w:pStyle w:val="18"/>
              <w:numPr>
                <w:ilvl w:val="0"/>
                <w:numId w:val="3"/>
              </w:numPr>
              <w:spacing w:line="28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内部因素包括：组织机构，角色和责任；政策、目标、实现目标的战略；能力、资源和知识（资本、时间、人、能力、流程、系统和技术等）；内部利益相关者的价值观与组织文化之间的关系；信息系统、信息流和决策流程；产品销售；产品销售的控制过程。</w:t>
            </w:r>
          </w:p>
          <w:p>
            <w:pPr>
              <w:pStyle w:val="18"/>
              <w:numPr>
                <w:ilvl w:val="0"/>
                <w:numId w:val="3"/>
              </w:numPr>
              <w:spacing w:line="280" w:lineRule="exact"/>
              <w:ind w:firstLineChars="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w:t>
            </w:r>
          </w:p>
          <w:p>
            <w:pPr>
              <w:spacing w:line="280" w:lineRule="exact"/>
              <w:ind w:firstLine="480" w:firstLineChars="200"/>
              <w:rPr>
                <w:rFonts w:cs="宋体" w:asciiTheme="minorEastAsia" w:hAnsiTheme="minorEastAsia" w:eastAsiaTheme="minorEastAsia"/>
                <w:sz w:val="24"/>
                <w:szCs w:val="24"/>
              </w:rPr>
            </w:pPr>
          </w:p>
        </w:tc>
        <w:tc>
          <w:tcPr>
            <w:tcW w:w="760" w:type="dxa"/>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目标及其实现的策划</w:t>
            </w:r>
          </w:p>
          <w:p>
            <w:pPr>
              <w:spacing w:line="280" w:lineRule="exact"/>
              <w:rPr>
                <w:rFonts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6.2</w:t>
            </w:r>
          </w:p>
          <w:p>
            <w:pPr>
              <w:spacing w:line="280" w:lineRule="exact"/>
              <w:rPr>
                <w:rFonts w:asciiTheme="minorEastAsia" w:hAnsiTheme="minorEastAsia" w:eastAsiaTheme="minorEastAsia"/>
                <w:sz w:val="24"/>
                <w:szCs w:val="24"/>
              </w:rPr>
            </w:pPr>
          </w:p>
          <w:p>
            <w:pPr>
              <w:spacing w:line="280" w:lineRule="exact"/>
              <w:rPr>
                <w:rFonts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提供公司管理目标，与公司管理方针一致；可测量。考虑适用的要求；与提供合格产品和服务以及增强相关方满意相关；予以监视；有</w:t>
            </w:r>
            <w:r>
              <w:rPr>
                <w:rFonts w:hint="eastAsia" w:cs="宋体" w:asciiTheme="minorEastAsia" w:hAnsiTheme="minorEastAsia" w:eastAsiaTheme="minorEastAsia"/>
                <w:sz w:val="24"/>
                <w:szCs w:val="24"/>
                <w:lang w:val="en-US" w:eastAsia="zh-CN"/>
              </w:rPr>
              <w:t>公司及</w:t>
            </w:r>
            <w:r>
              <w:rPr>
                <w:rFonts w:hint="eastAsia" w:cs="宋体" w:asciiTheme="minorEastAsia" w:hAnsiTheme="minorEastAsia" w:eastAsiaTheme="minorEastAsia"/>
                <w:sz w:val="24"/>
                <w:szCs w:val="24"/>
              </w:rPr>
              <w:t>各部门管理目标分解文件</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明确计算方法，考核期，责任人</w:t>
            </w:r>
          </w:p>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管理手册明确目标考核办法；办公室组织对管理体系所需的相关职能、层次和过程设定分解管理目标，经管理者代表批准实施，各部门根据本部门分解管理目标组织实施，办公室负责监督。</w:t>
            </w:r>
          </w:p>
          <w:p>
            <w:pPr>
              <w:spacing w:line="280" w:lineRule="exact"/>
              <w:ind w:firstLine="420" w:firstLineChars="200"/>
              <w:rPr>
                <w:rFonts w:hint="eastAsia" w:cs="宋体" w:asciiTheme="minorEastAsia" w:hAnsiTheme="minorEastAsia" w:eastAsiaTheme="minorEastAsia"/>
                <w:sz w:val="24"/>
                <w:szCs w:val="24"/>
              </w:rPr>
            </w:pPr>
            <w:r>
              <w:drawing>
                <wp:anchor distT="0" distB="0" distL="114300" distR="114300" simplePos="0" relativeHeight="251659264" behindDoc="0" locked="0" layoutInCell="1" allowOverlap="1">
                  <wp:simplePos x="0" y="0"/>
                  <wp:positionH relativeFrom="column">
                    <wp:posOffset>356235</wp:posOffset>
                  </wp:positionH>
                  <wp:positionV relativeFrom="paragraph">
                    <wp:posOffset>37465</wp:posOffset>
                  </wp:positionV>
                  <wp:extent cx="5210810" cy="1363980"/>
                  <wp:effectExtent l="0" t="0" r="889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10810" cy="1363980"/>
                          </a:xfrm>
                          <a:prstGeom prst="rect">
                            <a:avLst/>
                          </a:prstGeom>
                          <a:noFill/>
                          <a:ln>
                            <a:noFill/>
                          </a:ln>
                        </pic:spPr>
                      </pic:pic>
                    </a:graphicData>
                  </a:graphic>
                </wp:anchor>
              </w:drawing>
            </w:r>
          </w:p>
          <w:p>
            <w:pPr>
              <w:spacing w:line="280" w:lineRule="exact"/>
              <w:ind w:firstLine="480" w:firstLineChars="200"/>
              <w:rPr>
                <w:rFonts w:hint="eastAsia" w:cs="宋体" w:asciiTheme="minorEastAsia" w:hAnsiTheme="minorEastAsia" w:eastAsiaTheme="minorEastAsia"/>
                <w:sz w:val="24"/>
                <w:szCs w:val="24"/>
              </w:rPr>
            </w:pPr>
          </w:p>
          <w:p>
            <w:pPr>
              <w:spacing w:line="280" w:lineRule="exact"/>
              <w:ind w:firstLine="480" w:firstLineChars="200"/>
              <w:rPr>
                <w:rFonts w:hint="eastAsia" w:cs="宋体" w:asciiTheme="minorEastAsia" w:hAnsiTheme="minorEastAsia" w:eastAsiaTheme="minorEastAsia"/>
                <w:sz w:val="24"/>
                <w:szCs w:val="24"/>
              </w:rPr>
            </w:pPr>
          </w:p>
          <w:p>
            <w:pPr>
              <w:spacing w:line="280" w:lineRule="exact"/>
              <w:ind w:firstLine="480" w:firstLineChars="200"/>
              <w:rPr>
                <w:rFonts w:hint="eastAsia" w:cs="宋体" w:asciiTheme="minorEastAsia" w:hAnsiTheme="minorEastAsia" w:eastAsiaTheme="minorEastAsia"/>
                <w:sz w:val="24"/>
                <w:szCs w:val="24"/>
              </w:rPr>
            </w:pPr>
          </w:p>
          <w:p>
            <w:pPr>
              <w:spacing w:line="280" w:lineRule="exact"/>
              <w:ind w:firstLine="480" w:firstLineChars="200"/>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spacing w:line="280" w:lineRule="exact"/>
              <w:ind w:firstLine="480" w:firstLineChars="200"/>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r>
              <w:drawing>
                <wp:anchor distT="0" distB="0" distL="114300" distR="114300" simplePos="0" relativeHeight="251660288" behindDoc="0" locked="0" layoutInCell="1" allowOverlap="1">
                  <wp:simplePos x="0" y="0"/>
                  <wp:positionH relativeFrom="column">
                    <wp:posOffset>427990</wp:posOffset>
                  </wp:positionH>
                  <wp:positionV relativeFrom="paragraph">
                    <wp:posOffset>37465</wp:posOffset>
                  </wp:positionV>
                  <wp:extent cx="5422265" cy="1536700"/>
                  <wp:effectExtent l="0" t="0" r="6985" b="635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422265" cy="1536700"/>
                          </a:xfrm>
                          <a:prstGeom prst="rect">
                            <a:avLst/>
                          </a:prstGeom>
                          <a:noFill/>
                          <a:ln>
                            <a:noFill/>
                          </a:ln>
                        </pic:spPr>
                      </pic:pic>
                    </a:graphicData>
                  </a:graphic>
                </wp:anchor>
              </w:drawing>
            </w: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spacing w:line="28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提供202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年职业健康安全目标指标及方案，明确目标、指标、措施、责任人和时间；</w:t>
            </w:r>
          </w:p>
          <w:p>
            <w:pPr>
              <w:pStyle w:val="2"/>
              <w:rPr>
                <w:rFonts w:hint="eastAsia" w:cs="宋体" w:asciiTheme="minorEastAsia" w:hAnsiTheme="minorEastAsia" w:eastAsiaTheme="minorEastAsia"/>
                <w:sz w:val="24"/>
                <w:szCs w:val="24"/>
              </w:rPr>
            </w:pPr>
            <w:r>
              <w:drawing>
                <wp:anchor distT="0" distB="0" distL="114300" distR="114300" simplePos="0" relativeHeight="251660288" behindDoc="0" locked="0" layoutInCell="1" allowOverlap="1">
                  <wp:simplePos x="0" y="0"/>
                  <wp:positionH relativeFrom="column">
                    <wp:posOffset>412750</wp:posOffset>
                  </wp:positionH>
                  <wp:positionV relativeFrom="paragraph">
                    <wp:posOffset>181610</wp:posOffset>
                  </wp:positionV>
                  <wp:extent cx="5905500" cy="2517775"/>
                  <wp:effectExtent l="0" t="0" r="0" b="1587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905500" cy="2517775"/>
                          </a:xfrm>
                          <a:prstGeom prst="rect">
                            <a:avLst/>
                          </a:prstGeom>
                          <a:noFill/>
                          <a:ln>
                            <a:noFill/>
                          </a:ln>
                        </pic:spPr>
                      </pic:pic>
                    </a:graphicData>
                  </a:graphic>
                </wp:anchor>
              </w:drawing>
            </w: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r>
              <w:drawing>
                <wp:anchor distT="0" distB="0" distL="114300" distR="114300" simplePos="0" relativeHeight="251661312" behindDoc="0" locked="0" layoutInCell="1" allowOverlap="1">
                  <wp:simplePos x="0" y="0"/>
                  <wp:positionH relativeFrom="column">
                    <wp:posOffset>267335</wp:posOffset>
                  </wp:positionH>
                  <wp:positionV relativeFrom="paragraph">
                    <wp:posOffset>25400</wp:posOffset>
                  </wp:positionV>
                  <wp:extent cx="6146800" cy="2300605"/>
                  <wp:effectExtent l="0" t="0" r="6350" b="444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6146800" cy="2300605"/>
                          </a:xfrm>
                          <a:prstGeom prst="rect">
                            <a:avLst/>
                          </a:prstGeom>
                          <a:noFill/>
                          <a:ln>
                            <a:noFill/>
                          </a:ln>
                        </pic:spPr>
                      </pic:pic>
                    </a:graphicData>
                  </a:graphic>
                </wp:anchor>
              </w:drawing>
            </w: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pStyle w:val="2"/>
              <w:rPr>
                <w:rFonts w:hint="eastAsia" w:cs="宋体" w:asciiTheme="minorEastAsia" w:hAnsiTheme="minorEastAsia" w:eastAsiaTheme="minorEastAsia"/>
                <w:sz w:val="24"/>
                <w:szCs w:val="24"/>
              </w:rPr>
            </w:pPr>
          </w:p>
          <w:p>
            <w:pPr>
              <w:spacing w:line="280" w:lineRule="exact"/>
              <w:ind w:firstLine="420" w:firstLineChars="200"/>
              <w:rPr>
                <w:rFonts w:hint="eastAsia" w:cs="宋体" w:asciiTheme="minorEastAsia" w:hAnsiTheme="minorEastAsia" w:eastAsiaTheme="minorEastAsia"/>
                <w:sz w:val="24"/>
                <w:szCs w:val="24"/>
                <w:lang w:val="en-US" w:eastAsia="zh-CN"/>
              </w:rPr>
            </w:pPr>
            <w:r>
              <w:drawing>
                <wp:anchor distT="0" distB="0" distL="114300" distR="114300" simplePos="0" relativeHeight="251662336" behindDoc="0" locked="0" layoutInCell="1" allowOverlap="1">
                  <wp:simplePos x="0" y="0"/>
                  <wp:positionH relativeFrom="column">
                    <wp:posOffset>370205</wp:posOffset>
                  </wp:positionH>
                  <wp:positionV relativeFrom="paragraph">
                    <wp:posOffset>82550</wp:posOffset>
                  </wp:positionV>
                  <wp:extent cx="6177280" cy="2370455"/>
                  <wp:effectExtent l="0" t="0" r="13970" b="1079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6177280" cy="2370455"/>
                          </a:xfrm>
                          <a:prstGeom prst="rect">
                            <a:avLst/>
                          </a:prstGeom>
                          <a:noFill/>
                          <a:ln>
                            <a:noFill/>
                          </a:ln>
                        </pic:spPr>
                      </pic:pic>
                    </a:graphicData>
                  </a:graphic>
                </wp:anchor>
              </w:drawing>
            </w: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hint="eastAsia" w:cs="宋体" w:asciiTheme="minorEastAsia" w:hAnsiTheme="minorEastAsia" w:eastAsiaTheme="minorEastAsia"/>
                <w:sz w:val="24"/>
                <w:szCs w:val="24"/>
                <w:lang w:val="en-US" w:eastAsia="zh-CN"/>
              </w:rPr>
            </w:pPr>
          </w:p>
          <w:p>
            <w:pPr>
              <w:spacing w:line="2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目标、指标达成，</w:t>
            </w:r>
            <w:r>
              <w:rPr>
                <w:rFonts w:hint="eastAsia" w:cs="宋体" w:asciiTheme="minorEastAsia" w:hAnsiTheme="minorEastAsia" w:eastAsiaTheme="minorEastAsia"/>
                <w:sz w:val="24"/>
                <w:szCs w:val="24"/>
              </w:rPr>
              <w:t xml:space="preserve">方案有效实施中。 </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变更的策划</w:t>
            </w:r>
          </w:p>
          <w:p>
            <w:pPr>
              <w:spacing w:line="280" w:lineRule="exact"/>
              <w:rPr>
                <w:rFonts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6.3</w:t>
            </w:r>
          </w:p>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公司</w:t>
            </w:r>
            <w:r>
              <w:rPr>
                <w:rFonts w:hint="eastAsia" w:asciiTheme="minorEastAsia" w:hAnsiTheme="minorEastAsia" w:eastAsiaTheme="minorEastAsia"/>
                <w:sz w:val="24"/>
                <w:szCs w:val="24"/>
                <w:lang w:val="en-US" w:eastAsia="zh-CN"/>
              </w:rPr>
              <w:t>质量、职业健康安全</w:t>
            </w:r>
            <w:r>
              <w:rPr>
                <w:rFonts w:hint="eastAsia" w:asciiTheme="minorEastAsia" w:hAnsiTheme="minorEastAsia" w:eastAsiaTheme="minorEastAsia"/>
                <w:sz w:val="24"/>
                <w:szCs w:val="24"/>
              </w:rPr>
              <w:t>管理体系，</w:t>
            </w:r>
            <w:r>
              <w:rPr>
                <w:rFonts w:hint="eastAsia" w:asciiTheme="minorEastAsia" w:hAnsiTheme="minorEastAsia" w:eastAsiaTheme="minorEastAsia"/>
                <w:sz w:val="24"/>
                <w:szCs w:val="24"/>
                <w:lang w:val="en-US" w:eastAsia="zh-CN"/>
              </w:rPr>
              <w:t>与认证时比较，经营地址变更，同审核计划</w:t>
            </w:r>
            <w:r>
              <w:rPr>
                <w:rFonts w:hint="eastAsia" w:asciiTheme="minorEastAsia" w:hAnsiTheme="minorEastAsia" w:eastAsiaTheme="minorEastAsia"/>
                <w:sz w:val="24"/>
                <w:szCs w:val="24"/>
              </w:rPr>
              <w:t>。</w:t>
            </w:r>
          </w:p>
          <w:p>
            <w:pPr>
              <w:spacing w:line="28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负责人明确公司确定需要对管理体系进行变更时，应经策划并系统的实施，考虑变更目的及其潜在后果；管理体系的完整性；资源的可获得性；责任和权限的分配与再分配。</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Arial" w:asciiTheme="minorEastAsia" w:hAnsiTheme="minorEastAsia" w:eastAsiaTheme="minorEastAsia"/>
                <w:spacing w:val="-6"/>
                <w:sz w:val="24"/>
                <w:szCs w:val="24"/>
              </w:rPr>
            </w:pPr>
            <w:r>
              <w:rPr>
                <w:rFonts w:hint="eastAsia" w:ascii="宋体" w:hAnsi="宋体" w:cs="Arial"/>
                <w:spacing w:val="-6"/>
                <w:sz w:val="24"/>
                <w:szCs w:val="24"/>
              </w:rPr>
              <w:t>资源总则</w:t>
            </w: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w:t>
            </w:r>
          </w:p>
          <w:p>
            <w:pPr>
              <w:spacing w:line="280" w:lineRule="exact"/>
              <w:rPr>
                <w:rFonts w:cs="Arial" w:asciiTheme="minorEastAsia" w:hAnsiTheme="minorEastAsia" w:eastAsiaTheme="minorEastAsia"/>
                <w:spacing w:val="-6"/>
                <w:sz w:val="24"/>
                <w:szCs w:val="24"/>
              </w:rPr>
            </w:pPr>
            <w:r>
              <w:rPr>
                <w:rFonts w:hint="eastAsia" w:asciiTheme="minorEastAsia" w:hAnsiTheme="minorEastAsia" w:eastAsiaTheme="minorEastAsia"/>
                <w:sz w:val="24"/>
                <w:szCs w:val="24"/>
              </w:rPr>
              <w:t>7.1.1（O7.1）</w:t>
            </w:r>
          </w:p>
        </w:tc>
        <w:tc>
          <w:tcPr>
            <w:tcW w:w="11223" w:type="dxa"/>
            <w:vAlign w:val="center"/>
          </w:tcPr>
          <w:p>
            <w:pPr>
              <w:spacing w:line="2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本公司确定并提供为建立、实施、保持和持续改进质量、职业健康安全管理体系所需的资源，考虑本公司现有内部资源的能力和约束；需要从外部供方获得的资源。</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7" w:type="dxa"/>
          </w:tcPr>
          <w:p>
            <w:pPr>
              <w:spacing w:line="280" w:lineRule="exact"/>
              <w:rPr>
                <w:rFonts w:asciiTheme="minorEastAsia" w:hAnsiTheme="minorEastAsia" w:eastAsiaTheme="minorEastAsia"/>
                <w:sz w:val="24"/>
                <w:szCs w:val="24"/>
              </w:rPr>
            </w:pPr>
            <w:r>
              <w:rPr>
                <w:rFonts w:hint="eastAsia" w:ascii="宋体" w:hAnsi="宋体" w:cs="Arial"/>
                <w:spacing w:val="-6"/>
                <w:sz w:val="24"/>
                <w:szCs w:val="24"/>
              </w:rPr>
              <w:t>沟通/信息交流</w:t>
            </w:r>
          </w:p>
        </w:tc>
        <w:tc>
          <w:tcPr>
            <w:tcW w:w="1019" w:type="dxa"/>
          </w:tcPr>
          <w:p>
            <w:pPr>
              <w:spacing w:line="280" w:lineRule="exact"/>
              <w:rPr>
                <w:rFonts w:asciiTheme="minorEastAsia" w:hAnsiTheme="minorEastAsia" w:eastAsiaTheme="minorEastAsia"/>
                <w:sz w:val="24"/>
                <w:szCs w:val="24"/>
              </w:rPr>
            </w:pPr>
            <w:r>
              <w:rPr>
                <w:rFonts w:hint="eastAsia" w:cs="Arial" w:asciiTheme="minorEastAsia" w:hAnsiTheme="minorEastAsia" w:eastAsiaTheme="minorEastAsia"/>
                <w:spacing w:val="-6"/>
                <w:sz w:val="24"/>
                <w:szCs w:val="24"/>
              </w:rPr>
              <w:t>QO</w:t>
            </w:r>
            <w:r>
              <w:rPr>
                <w:rFonts w:cs="Arial" w:asciiTheme="minorEastAsia" w:hAnsiTheme="minorEastAsia" w:eastAsiaTheme="minorEastAsia"/>
                <w:spacing w:val="-6"/>
                <w:sz w:val="24"/>
                <w:szCs w:val="24"/>
              </w:rPr>
              <w:t xml:space="preserve"> 7.4</w:t>
            </w:r>
          </w:p>
        </w:tc>
        <w:tc>
          <w:tcPr>
            <w:tcW w:w="11223" w:type="dxa"/>
            <w:vAlign w:val="center"/>
          </w:tcPr>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公司建立并实施沟通管理程序，规定了职责、工作流程，包括内部沟通的方法和要求。</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司确定了质量、职业健康安全管理体系相关的内部和外部沟通，包括：沟通什么；何时沟通；与谁沟通；如何沟通；由谁负责，内外部沟通具体体现在公司内部工作会议、质量、职业健康安全会议、员工的培训、公司宣传栏等，与外部的沟通具体体现在合同签订、满意度调查。与质检、安监及顾客和供方等进行沟通。</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现场查阅内部交流：方针、目标完成情况、内审和管理评审报告、不符合信息等。</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外部交流：通过发放《告相关方书》与相关方就相关职业健康安全信息进行相互沟通，建立相关方安全管理文件发放清单。</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管理评审</w:t>
            </w:r>
          </w:p>
          <w:p>
            <w:pPr>
              <w:spacing w:line="280" w:lineRule="exact"/>
              <w:rPr>
                <w:rFonts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9.3</w:t>
            </w:r>
          </w:p>
          <w:p>
            <w:pPr>
              <w:spacing w:line="280" w:lineRule="exact"/>
              <w:rPr>
                <w:rFonts w:asciiTheme="minorEastAsia" w:hAnsiTheme="minorEastAsia" w:eastAsiaTheme="minorEastAsia"/>
                <w:sz w:val="24"/>
                <w:szCs w:val="24"/>
              </w:rPr>
            </w:pPr>
          </w:p>
          <w:p>
            <w:pPr>
              <w:spacing w:line="280" w:lineRule="exact"/>
              <w:rPr>
                <w:rFonts w:asciiTheme="minorEastAsia" w:hAnsiTheme="minorEastAsia" w:eastAsiaTheme="minorEastAsia"/>
                <w:sz w:val="24"/>
                <w:szCs w:val="24"/>
              </w:rPr>
            </w:pPr>
          </w:p>
        </w:tc>
        <w:tc>
          <w:tcPr>
            <w:tcW w:w="11223" w:type="dxa"/>
            <w:vAlign w:val="center"/>
          </w:tcPr>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w:t>
            </w:r>
            <w:r>
              <w:rPr>
                <w:rFonts w:hint="eastAsia" w:asciiTheme="minorEastAsia" w:hAnsiTheme="minorEastAsia" w:eastAsiaTheme="minorEastAsia"/>
                <w:sz w:val="24"/>
                <w:szCs w:val="24"/>
                <w:lang w:val="en-US" w:eastAsia="zh-CN"/>
              </w:rPr>
              <w:t>司按</w:t>
            </w:r>
            <w:r>
              <w:rPr>
                <w:rFonts w:hint="eastAsia" w:asciiTheme="minorEastAsia" w:hAnsiTheme="minorEastAsia" w:eastAsiaTheme="minorEastAsia"/>
                <w:sz w:val="24"/>
                <w:szCs w:val="24"/>
              </w:rPr>
              <w:t>《管理评审控制程序》</w:t>
            </w:r>
            <w:r>
              <w:rPr>
                <w:rFonts w:hint="eastAsia" w:asciiTheme="minorEastAsia" w:hAnsiTheme="minorEastAsia" w:eastAsiaTheme="minorEastAsia"/>
                <w:sz w:val="24"/>
                <w:szCs w:val="24"/>
                <w:lang w:val="en-US" w:eastAsia="zh-CN"/>
              </w:rPr>
              <w:t>执行</w:t>
            </w:r>
            <w:r>
              <w:rPr>
                <w:rFonts w:hint="eastAsia" w:asciiTheme="minorEastAsia" w:hAnsiTheme="minorEastAsia" w:eastAsiaTheme="minorEastAsia"/>
                <w:sz w:val="24"/>
                <w:szCs w:val="24"/>
              </w:rPr>
              <w:t>，规定管理评审每年进行一次，由总经理决定是否增加管理评审的频次，间隔不超过12个月。</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查</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管理评审计划：目的、依据、内容、评审的准备工作内容等</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年4月</w:t>
            </w:r>
            <w:r>
              <w:rPr>
                <w:rFonts w:hint="eastAsia" w:asciiTheme="minorEastAsia" w:hAnsiTheme="minorEastAsia" w:eastAsiaTheme="minorEastAsia"/>
                <w:sz w:val="24"/>
                <w:szCs w:val="24"/>
                <w:lang w:val="en-US" w:eastAsia="zh-CN"/>
              </w:rPr>
              <w:t>7-8</w:t>
            </w:r>
            <w:r>
              <w:rPr>
                <w:rFonts w:hint="eastAsia" w:asciiTheme="minorEastAsia" w:hAnsiTheme="minorEastAsia" w:eastAsiaTheme="minorEastAsia"/>
                <w:sz w:val="24"/>
                <w:szCs w:val="24"/>
              </w:rPr>
              <w:t>日进行， 评审方式：会议评审，编制：李培花、</w:t>
            </w:r>
            <w:r>
              <w:rPr>
                <w:rFonts w:hint="eastAsia" w:asciiTheme="minorEastAsia" w:hAnsiTheme="minorEastAsia" w:eastAsiaTheme="minorEastAsia"/>
                <w:sz w:val="24"/>
                <w:szCs w:val="24"/>
                <w:lang w:val="en-US" w:eastAsia="zh-CN"/>
              </w:rPr>
              <w:t>审核：张天昊、</w:t>
            </w:r>
            <w:r>
              <w:rPr>
                <w:rFonts w:hint="eastAsia" w:asciiTheme="minorEastAsia" w:hAnsiTheme="minorEastAsia" w:eastAsiaTheme="minorEastAsia"/>
                <w:sz w:val="24"/>
                <w:szCs w:val="24"/>
              </w:rPr>
              <w:t>批准：王重光， 参加人员包括公司总经理、管理者代表、各部门负责人及相关人员，计划中明确了评审内容和资料准备要求。</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2.管理评审会议实施：有签到、记录、评审资料</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计划的时间实施了管理评审，管理评审输入管理者代表、各部门汇报材料，包含：管理方针、目标的适宜行和实现情况；管理体系的符合性；内审结果；内外部环境分析及风险应对措施的落实情况；纠正预防措施及持续改进能力；重大危险源控制及效果；合规性评价；可能影响管理体系的变更；质量、职业健康安全事故、顾客满意度及改进建议，变更管理要求、以往管理评审情况等；</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3.管理评审报告：评审目的、</w:t>
            </w:r>
            <w:r>
              <w:rPr>
                <w:rFonts w:hint="eastAsia" w:asciiTheme="minorEastAsia" w:hAnsiTheme="minorEastAsia" w:eastAsiaTheme="minorEastAsia"/>
                <w:sz w:val="24"/>
                <w:szCs w:val="24"/>
                <w:lang w:val="en-US" w:eastAsia="zh-CN"/>
              </w:rPr>
              <w:t>范围、</w:t>
            </w:r>
            <w:r>
              <w:rPr>
                <w:rFonts w:hint="eastAsia" w:asciiTheme="minorEastAsia" w:hAnsiTheme="minorEastAsia" w:eastAsiaTheme="minorEastAsia"/>
                <w:sz w:val="24"/>
                <w:szCs w:val="24"/>
              </w:rPr>
              <w:t>依据、评审</w:t>
            </w:r>
            <w:r>
              <w:rPr>
                <w:rFonts w:hint="eastAsia" w:asciiTheme="minorEastAsia" w:hAnsiTheme="minorEastAsia" w:eastAsiaTheme="minorEastAsia"/>
                <w:sz w:val="24"/>
                <w:szCs w:val="24"/>
                <w:lang w:val="en-US" w:eastAsia="zh-CN"/>
              </w:rPr>
              <w:t>综述，</w:t>
            </w:r>
            <w:r>
              <w:rPr>
                <w:rFonts w:hint="eastAsia" w:asciiTheme="minorEastAsia" w:hAnsiTheme="minorEastAsia" w:eastAsiaTheme="minorEastAsia"/>
                <w:sz w:val="24"/>
                <w:szCs w:val="24"/>
              </w:rPr>
              <w:t>管理评审结论：</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本公司质量/职业健康安</w:t>
            </w:r>
            <w:r>
              <w:rPr>
                <w:rFonts w:hint="eastAsia" w:asciiTheme="minorEastAsia" w:hAnsiTheme="minorEastAsia" w:eastAsiaTheme="minorEastAsia"/>
                <w:sz w:val="24"/>
                <w:szCs w:val="24"/>
                <w:lang w:val="en-US" w:eastAsia="zh-CN"/>
              </w:rPr>
              <w:t>全</w:t>
            </w:r>
            <w:r>
              <w:rPr>
                <w:rFonts w:hint="eastAsia" w:asciiTheme="minorEastAsia" w:hAnsiTheme="minorEastAsia" w:eastAsiaTheme="minorEastAsia"/>
                <w:sz w:val="24"/>
                <w:szCs w:val="24"/>
              </w:rPr>
              <w:t>管理体系符合公司管理手册、程序性文件、ISO9001:2015、ISO45001:2018的要求，本公司质量/职业健康安全管理体系依然得到了有效实施，运行实施依然保持了适宜性。</w:t>
            </w:r>
            <w:r>
              <w:rPr>
                <w:rFonts w:asciiTheme="minorEastAsia" w:hAnsiTheme="minorEastAsia" w:eastAsiaTheme="minorEastAsia"/>
                <w:sz w:val="24"/>
                <w:szCs w:val="24"/>
              </w:rPr>
              <w:t> </w:t>
            </w:r>
          </w:p>
          <w:p>
            <w:pPr>
              <w:spacing w:line="2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rPr>
              <w:t>条改进建议，</w:t>
            </w:r>
            <w:r>
              <w:rPr>
                <w:rFonts w:hint="eastAsia" w:asciiTheme="minorEastAsia" w:hAnsiTheme="minorEastAsia" w:eastAsiaTheme="minorEastAsia"/>
                <w:sz w:val="24"/>
                <w:szCs w:val="24"/>
                <w:lang w:val="en-US" w:eastAsia="zh-CN"/>
              </w:rPr>
              <w:t>四月已完成改进，并进行举一反三排查</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改进总则</w:t>
            </w:r>
          </w:p>
          <w:p>
            <w:pPr>
              <w:spacing w:line="280" w:lineRule="exact"/>
              <w:rPr>
                <w:rFonts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 10.1</w:t>
            </w:r>
          </w:p>
          <w:p>
            <w:pPr>
              <w:spacing w:line="280" w:lineRule="exact"/>
              <w:rPr>
                <w:rFonts w:asciiTheme="minorEastAsia" w:hAnsiTheme="minorEastAsia" w:eastAsiaTheme="minorEastAsia"/>
                <w:sz w:val="24"/>
                <w:szCs w:val="24"/>
              </w:rPr>
            </w:pPr>
          </w:p>
        </w:tc>
        <w:tc>
          <w:tcPr>
            <w:tcW w:w="11223" w:type="dxa"/>
            <w:vAlign w:val="center"/>
          </w:tcPr>
          <w:p>
            <w:pPr>
              <w:spacing w:line="2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包括改进产品和服务，纠正、预防或减少不利影响，改进体系绩效和有效性。</w:t>
            </w:r>
          </w:p>
        </w:tc>
        <w:tc>
          <w:tcPr>
            <w:tcW w:w="760" w:type="dxa"/>
          </w:tcPr>
          <w:p>
            <w:pPr>
              <w:spacing w:line="3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7" w:type="dxa"/>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持续改进</w:t>
            </w:r>
          </w:p>
        </w:tc>
        <w:tc>
          <w:tcPr>
            <w:tcW w:w="1019" w:type="dxa"/>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QO 10.3</w:t>
            </w:r>
          </w:p>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公司开展检查和考核工作、自查自纠及外部检查等形式，不断持续改进，提高顾客满意和环保绩效，持续改进管理体系的适宜性、充分性和有效性。</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资质有效性</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提供营业执照在有效期内，包含申请产品范围</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事故</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公司管理体系自运行以来，未发生质量、职业健康安全事故</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顾客满意、相关方投诉处理</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管理体系运行期间未发生顾客及相关方重大投诉情况，日常顾客反馈意见或建议已及时处理</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国家/地方抽查情况</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本阶段无严重不合格发生</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遵纪守法</w:t>
            </w:r>
          </w:p>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情况</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近年来</w:t>
            </w:r>
            <w:r>
              <w:rPr>
                <w:rFonts w:hint="eastAsia" w:cs="宋体" w:asciiTheme="minorEastAsia" w:hAnsiTheme="minorEastAsia" w:eastAsiaTheme="minorEastAsia"/>
                <w:sz w:val="24"/>
                <w:szCs w:val="24"/>
              </w:rPr>
              <w:t>公司经营过程中没有发生违反相关法律法规及其他要求的情况</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asciiTheme="minorEastAsia" w:hAnsiTheme="minorEastAsia" w:eastAsiaTheme="minorEastAsia"/>
                <w:sz w:val="24"/>
                <w:szCs w:val="24"/>
              </w:rPr>
            </w:pPr>
            <w:r>
              <w:rPr>
                <w:rFonts w:hint="eastAsia" w:cs="Arial" w:asciiTheme="minorEastAsia" w:hAnsiTheme="minorEastAsia" w:eastAsiaTheme="minorEastAsia"/>
                <w:spacing w:val="-6"/>
                <w:sz w:val="24"/>
                <w:szCs w:val="24"/>
              </w:rPr>
              <w:t>上次审核不符合项的验证</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上次提出问题已有效整改，未再发现类似问题</w:t>
            </w:r>
          </w:p>
        </w:tc>
        <w:tc>
          <w:tcPr>
            <w:tcW w:w="760" w:type="dxa"/>
          </w:tcPr>
          <w:p>
            <w:r>
              <w:rPr>
                <w:rFonts w:hint="eastAsia" w:cs="宋体"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cs="Arial" w:asciiTheme="minorEastAsia" w:hAnsiTheme="minorEastAsia" w:eastAsiaTheme="minorEastAsia"/>
                <w:spacing w:val="-6"/>
                <w:sz w:val="24"/>
                <w:szCs w:val="24"/>
              </w:rPr>
            </w:pPr>
            <w:r>
              <w:rPr>
                <w:rFonts w:hint="eastAsia" w:cs="Arial" w:asciiTheme="minorEastAsia" w:hAnsiTheme="minorEastAsia" w:eastAsiaTheme="minorEastAsia"/>
                <w:spacing w:val="-6"/>
                <w:sz w:val="24"/>
                <w:szCs w:val="24"/>
              </w:rPr>
              <w:t>变更</w:t>
            </w:r>
          </w:p>
        </w:tc>
        <w:tc>
          <w:tcPr>
            <w:tcW w:w="1019" w:type="dxa"/>
          </w:tcPr>
          <w:p>
            <w:pPr>
              <w:spacing w:line="280" w:lineRule="exact"/>
              <w:rPr>
                <w:rFonts w:asciiTheme="minorEastAsia" w:hAnsiTheme="minorEastAsia" w:eastAsiaTheme="minorEastAsia"/>
                <w:sz w:val="24"/>
                <w:szCs w:val="24"/>
              </w:rPr>
            </w:pPr>
          </w:p>
        </w:tc>
        <w:tc>
          <w:tcPr>
            <w:tcW w:w="11223"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无</w:t>
            </w:r>
          </w:p>
        </w:tc>
        <w:tc>
          <w:tcPr>
            <w:tcW w:w="760" w:type="dxa"/>
          </w:tcPr>
          <w:p>
            <w:pPr>
              <w:spacing w:line="320" w:lineRule="exact"/>
              <w:rPr>
                <w:rFonts w:asciiTheme="minorEastAsia" w:hAnsiTheme="minorEastAsia" w:eastAsiaTheme="minorEastAsia"/>
                <w:sz w:val="24"/>
                <w:szCs w:val="24"/>
              </w:rPr>
            </w:pPr>
          </w:p>
        </w:tc>
      </w:tr>
    </w:tbl>
    <w:p>
      <w:pPr>
        <w:rPr>
          <w:rFonts w:asciiTheme="minorEastAsia" w:hAnsiTheme="minorEastAsia" w:eastAsiaTheme="minorEastAsia"/>
          <w:sz w:val="24"/>
          <w:szCs w:val="24"/>
        </w:rPr>
      </w:pPr>
      <w:r>
        <w:rPr>
          <w:rFonts w:asciiTheme="minorEastAsia" w:hAnsiTheme="minorEastAsia" w:eastAsiaTheme="minorEastAsia"/>
          <w:sz w:val="24"/>
          <w:szCs w:val="24"/>
        </w:rPr>
        <w:ptab w:relativeTo="margin" w:alignment="center" w:leader="none"/>
      </w: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spacing w:line="480" w:lineRule="exact"/>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96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071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w:t>
            </w:r>
            <w:r>
              <w:rPr>
                <w:rFonts w:hint="eastAsia" w:asciiTheme="minorEastAsia" w:hAnsiTheme="minorEastAsia" w:eastAsiaTheme="minorEastAsia"/>
                <w:bCs/>
                <w:sz w:val="24"/>
                <w:szCs w:val="24"/>
              </w:rPr>
              <w:t>职业健康安全事务代表</w:t>
            </w:r>
            <w:r>
              <w:rPr>
                <w:rFonts w:hint="eastAsia" w:asciiTheme="minorEastAsia" w:hAnsiTheme="minorEastAsia" w:eastAsiaTheme="minorEastAsia"/>
                <w:sz w:val="24"/>
                <w:szCs w:val="24"/>
              </w:rPr>
              <w:t xml:space="preserve">      代表姓名：纪毓昂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陪同人员：李培花</w:t>
            </w:r>
          </w:p>
        </w:tc>
        <w:tc>
          <w:tcPr>
            <w:tcW w:w="879"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 w:val="24"/>
                <w:szCs w:val="24"/>
              </w:rPr>
            </w:pPr>
          </w:p>
        </w:tc>
        <w:tc>
          <w:tcPr>
            <w:tcW w:w="960" w:type="dxa"/>
            <w:vMerge w:val="continue"/>
            <w:vAlign w:val="center"/>
          </w:tcPr>
          <w:p>
            <w:pPr>
              <w:rPr>
                <w:rFonts w:asciiTheme="minorEastAsia" w:hAnsiTheme="minorEastAsia" w:eastAsiaTheme="minorEastAsia"/>
                <w:sz w:val="24"/>
                <w:szCs w:val="24"/>
              </w:rPr>
            </w:pPr>
          </w:p>
        </w:tc>
        <w:tc>
          <w:tcPr>
            <w:tcW w:w="10710" w:type="dxa"/>
            <w:vAlign w:val="center"/>
          </w:tcPr>
          <w:p>
            <w:pPr>
              <w:spacing w:before="120"/>
              <w:rPr>
                <w:rFonts w:asciiTheme="minorEastAsia" w:hAnsiTheme="minorEastAsia" w:eastAsiaTheme="minorEastAsia"/>
                <w:sz w:val="24"/>
                <w:szCs w:val="24"/>
              </w:rPr>
            </w:pPr>
            <w:r>
              <w:rPr>
                <w:rFonts w:hint="eastAsia" w:asciiTheme="minorEastAsia" w:hAnsiTheme="minorEastAsia" w:eastAsiaTheme="minorEastAsia"/>
                <w:sz w:val="24"/>
                <w:szCs w:val="24"/>
              </w:rPr>
              <w:t>审核员：汪桂丽、</w:t>
            </w:r>
            <w:r>
              <w:rPr>
                <w:rFonts w:asciiTheme="minorEastAsia" w:hAnsiTheme="minorEastAsia" w:eastAsiaTheme="minorEastAsia"/>
                <w:sz w:val="24"/>
                <w:szCs w:val="24"/>
              </w:rPr>
              <w:t>周日垚</w:t>
            </w:r>
            <w:r>
              <w:rPr>
                <w:rFonts w:hint="eastAsia" w:asciiTheme="minorEastAsia" w:hAnsiTheme="minorEastAsia" w:eastAsiaTheme="minorEastAsia"/>
                <w:sz w:val="24"/>
                <w:szCs w:val="24"/>
              </w:rPr>
              <w:t xml:space="preserve">                审核时间：2021.7.11</w:t>
            </w:r>
          </w:p>
        </w:tc>
        <w:tc>
          <w:tcPr>
            <w:tcW w:w="879" w:type="dxa"/>
            <w:vMerge w:val="continue"/>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 w:val="24"/>
                <w:szCs w:val="24"/>
              </w:rPr>
            </w:pPr>
          </w:p>
        </w:tc>
        <w:tc>
          <w:tcPr>
            <w:tcW w:w="960" w:type="dxa"/>
            <w:vMerge w:val="continue"/>
            <w:vAlign w:val="center"/>
          </w:tcPr>
          <w:p>
            <w:pPr>
              <w:rPr>
                <w:rFonts w:asciiTheme="minorEastAsia" w:hAnsiTheme="minorEastAsia" w:eastAsiaTheme="minorEastAsia"/>
                <w:sz w:val="24"/>
                <w:szCs w:val="24"/>
              </w:rPr>
            </w:pPr>
          </w:p>
        </w:tc>
        <w:tc>
          <w:tcPr>
            <w:tcW w:w="10710" w:type="dxa"/>
            <w:vAlign w:val="center"/>
          </w:tcPr>
          <w:p>
            <w:pPr>
              <w:snapToGrid w:val="0"/>
              <w:spacing w:line="26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涉及标准条款：O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5.3  O</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5.4</w:t>
            </w:r>
          </w:p>
        </w:tc>
        <w:tc>
          <w:tcPr>
            <w:tcW w:w="879" w:type="dxa"/>
            <w:vMerge w:val="continue"/>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160" w:type="dxa"/>
          </w:tcPr>
          <w:p>
            <w:pPr>
              <w:spacing w:line="280" w:lineRule="exact"/>
              <w:rPr>
                <w:rFonts w:cs="Arial" w:asciiTheme="minorEastAsia" w:hAnsiTheme="minorEastAsia" w:eastAsiaTheme="minorEastAsia"/>
                <w:spacing w:val="-6"/>
                <w:sz w:val="24"/>
                <w:szCs w:val="24"/>
              </w:rPr>
            </w:pPr>
            <w:r>
              <w:rPr>
                <w:rFonts w:hint="eastAsia" w:cs="Arial" w:asciiTheme="minorEastAsia" w:hAnsiTheme="minorEastAsia" w:eastAsiaTheme="minorEastAsia"/>
                <w:spacing w:val="-6"/>
                <w:sz w:val="24"/>
                <w:szCs w:val="24"/>
              </w:rPr>
              <w:t>职责权限</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960" w:type="dxa"/>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O</w:t>
            </w:r>
            <w:r>
              <w:rPr>
                <w:rFonts w:cs="宋体" w:asciiTheme="minorEastAsia" w:hAnsiTheme="minorEastAsia" w:eastAsiaTheme="minorEastAsia"/>
                <w:sz w:val="24"/>
                <w:szCs w:val="24"/>
              </w:rPr>
              <w:t xml:space="preserve"> 5.3</w:t>
            </w:r>
          </w:p>
          <w:p>
            <w:pPr>
              <w:spacing w:line="360" w:lineRule="auto"/>
              <w:rPr>
                <w:rFonts w:cs="宋体" w:asciiTheme="minorEastAsia" w:hAnsiTheme="minorEastAsia" w:eastAsiaTheme="minorEastAsia"/>
                <w:sz w:val="24"/>
                <w:szCs w:val="24"/>
              </w:rPr>
            </w:pPr>
          </w:p>
        </w:tc>
        <w:tc>
          <w:tcPr>
            <w:tcW w:w="10710" w:type="dxa"/>
            <w:vAlign w:val="center"/>
          </w:tcPr>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查该公司通过员工选举</w:t>
            </w:r>
            <w:r>
              <w:rPr>
                <w:rFonts w:hint="eastAsia" w:asciiTheme="minorEastAsia" w:hAnsiTheme="minorEastAsia" w:eastAsiaTheme="minorEastAsia"/>
                <w:sz w:val="24"/>
                <w:szCs w:val="24"/>
              </w:rPr>
              <w:t>纪毓昂</w:t>
            </w:r>
            <w:r>
              <w:rPr>
                <w:rFonts w:hint="eastAsia" w:cs="宋体" w:asciiTheme="minorEastAsia" w:hAnsiTheme="minorEastAsia" w:eastAsiaTheme="minorEastAsia"/>
                <w:sz w:val="24"/>
                <w:szCs w:val="24"/>
              </w:rPr>
              <w:t>为公司的职业健康安全事务代表。询问</w:t>
            </w:r>
            <w:r>
              <w:rPr>
                <w:rFonts w:hint="eastAsia" w:asciiTheme="minorEastAsia" w:hAnsiTheme="minorEastAsia" w:eastAsiaTheme="minorEastAsia"/>
                <w:sz w:val="24"/>
                <w:szCs w:val="24"/>
              </w:rPr>
              <w:t>纪毓昂</w:t>
            </w:r>
            <w:r>
              <w:rPr>
                <w:rFonts w:hint="eastAsia" w:cs="宋体" w:asciiTheme="minorEastAsia" w:hAnsiTheme="minorEastAsia" w:eastAsiaTheme="minorEastAsia"/>
                <w:sz w:val="24"/>
                <w:szCs w:val="24"/>
              </w:rPr>
              <w:t>了解为该公司职业健康安全事务代表的职责，主要</w:t>
            </w:r>
            <w:r>
              <w:rPr>
                <w:rFonts w:cs="宋体" w:asciiTheme="minorEastAsia" w:hAnsiTheme="minorEastAsia" w:eastAsiaTheme="minorEastAsia"/>
                <w:sz w:val="24"/>
                <w:szCs w:val="24"/>
              </w:rPr>
              <w:t>负责参与公司职业健康安全管理体系目标的制定、负责参与管理评审的议题讨论和监督执行、负责参与合理化建议的提案和监督实施</w:t>
            </w:r>
            <w:r>
              <w:rPr>
                <w:rFonts w:hint="eastAsia" w:cs="宋体" w:asciiTheme="minorEastAsia" w:hAnsiTheme="minorEastAsia" w:eastAsiaTheme="minorEastAsia"/>
                <w:sz w:val="24"/>
                <w:szCs w:val="24"/>
              </w:rPr>
              <w:t>等。</w:t>
            </w:r>
          </w:p>
        </w:tc>
        <w:tc>
          <w:tcPr>
            <w:tcW w:w="879"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160" w:type="dxa"/>
          </w:tcPr>
          <w:p>
            <w:pPr>
              <w:spacing w:line="280" w:lineRule="exact"/>
              <w:rPr>
                <w:rFonts w:cs="宋体" w:asciiTheme="minorEastAsia" w:hAnsiTheme="minorEastAsia" w:eastAsiaTheme="minorEastAsia"/>
                <w:sz w:val="24"/>
                <w:szCs w:val="24"/>
              </w:rPr>
            </w:pPr>
            <w:r>
              <w:rPr>
                <w:rFonts w:hint="eastAsia" w:cs="Arial" w:asciiTheme="minorEastAsia" w:hAnsiTheme="minorEastAsia" w:eastAsiaTheme="minorEastAsia"/>
                <w:spacing w:val="-6"/>
                <w:sz w:val="24"/>
                <w:szCs w:val="24"/>
              </w:rPr>
              <w:t>协商和沟通</w:t>
            </w:r>
          </w:p>
        </w:tc>
        <w:tc>
          <w:tcPr>
            <w:tcW w:w="960" w:type="dxa"/>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 w:val="24"/>
                <w:szCs w:val="24"/>
              </w:rPr>
              <w:t>O</w:t>
            </w:r>
            <w:r>
              <w:rPr>
                <w:rFonts w:asciiTheme="minorEastAsia" w:hAnsiTheme="minorEastAsia" w:eastAsiaTheme="minorEastAsia"/>
                <w:sz w:val="24"/>
                <w:szCs w:val="24"/>
              </w:rPr>
              <w:t xml:space="preserve"> </w:t>
            </w:r>
            <w:r>
              <w:rPr>
                <w:rFonts w:cs="宋体" w:asciiTheme="minorEastAsia" w:hAnsiTheme="minorEastAsia" w:eastAsiaTheme="minorEastAsia"/>
                <w:sz w:val="24"/>
                <w:szCs w:val="24"/>
              </w:rPr>
              <w:t>5.4</w:t>
            </w:r>
          </w:p>
        </w:tc>
        <w:tc>
          <w:tcPr>
            <w:tcW w:w="10710" w:type="dxa"/>
            <w:vAlign w:val="center"/>
          </w:tcPr>
          <w:p>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与了公司职业健康安全管理体系文件等相关职业健康安全活动的策划工作，参加员工交流协商会议；公司沟通畅通，管理体系运行至今无员工及其他相关方投诉，提出的改进的建议已及时处理完成；，员工代表日常收集员工意见，并参与讨论、评议重要措施制定和决定。</w:t>
            </w:r>
          </w:p>
          <w:p>
            <w:pPr>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公司为长期稳定员工缴纳了社保和意外险。</w:t>
            </w:r>
          </w:p>
        </w:tc>
        <w:tc>
          <w:tcPr>
            <w:tcW w:w="879"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bl>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p>
      <w:pPr>
        <w:pStyle w:val="8"/>
        <w:rPr>
          <w:rFonts w:asciiTheme="minorEastAsia" w:hAnsiTheme="minorEastAsia" w:eastAsiaTheme="minorEastAsia"/>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 xml:space="preserve">Beijing International Standard united Certification Co.,Ltd.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D5D6"/>
    <w:multiLevelType w:val="singleLevel"/>
    <w:tmpl w:val="F7E6D5D6"/>
    <w:lvl w:ilvl="0" w:tentative="0">
      <w:start w:val="1"/>
      <w:numFmt w:val="decimal"/>
      <w:lvlText w:val="%1."/>
      <w:lvlJc w:val="left"/>
      <w:pPr>
        <w:tabs>
          <w:tab w:val="left" w:pos="420"/>
        </w:tabs>
        <w:ind w:left="845" w:hanging="425"/>
      </w:pPr>
      <w:rPr>
        <w:rFonts w:hint="default"/>
      </w:rPr>
    </w:lvl>
  </w:abstractNum>
  <w:abstractNum w:abstractNumId="1">
    <w:nsid w:val="0EA053F8"/>
    <w:multiLevelType w:val="multilevel"/>
    <w:tmpl w:val="0EA053F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OWY5MmIxZGI2NTJmOGI5Yzg2MzEwNzA4OWE1NDUifQ=="/>
  </w:docVars>
  <w:rsids>
    <w:rsidRoot w:val="009973B4"/>
    <w:rsid w:val="000237F6"/>
    <w:rsid w:val="000242D4"/>
    <w:rsid w:val="00024F5B"/>
    <w:rsid w:val="00027F84"/>
    <w:rsid w:val="00033336"/>
    <w:rsid w:val="000333A2"/>
    <w:rsid w:val="0003373A"/>
    <w:rsid w:val="00043C09"/>
    <w:rsid w:val="00046911"/>
    <w:rsid w:val="00046C5E"/>
    <w:rsid w:val="00051DBB"/>
    <w:rsid w:val="000545F3"/>
    <w:rsid w:val="00066794"/>
    <w:rsid w:val="00075039"/>
    <w:rsid w:val="000753A8"/>
    <w:rsid w:val="00077C91"/>
    <w:rsid w:val="0008521E"/>
    <w:rsid w:val="00096B85"/>
    <w:rsid w:val="00097899"/>
    <w:rsid w:val="000A0B92"/>
    <w:rsid w:val="000A7979"/>
    <w:rsid w:val="000A7C66"/>
    <w:rsid w:val="000B731C"/>
    <w:rsid w:val="000B7933"/>
    <w:rsid w:val="000C2C4B"/>
    <w:rsid w:val="000D19F5"/>
    <w:rsid w:val="000D311D"/>
    <w:rsid w:val="000D3FA8"/>
    <w:rsid w:val="000D67A5"/>
    <w:rsid w:val="000E231C"/>
    <w:rsid w:val="000E4D68"/>
    <w:rsid w:val="000F5D61"/>
    <w:rsid w:val="00100DCD"/>
    <w:rsid w:val="00103E45"/>
    <w:rsid w:val="001127A2"/>
    <w:rsid w:val="00115E95"/>
    <w:rsid w:val="001338F5"/>
    <w:rsid w:val="001340D0"/>
    <w:rsid w:val="001359C9"/>
    <w:rsid w:val="00136C31"/>
    <w:rsid w:val="00140386"/>
    <w:rsid w:val="00142E83"/>
    <w:rsid w:val="0014723E"/>
    <w:rsid w:val="001528E3"/>
    <w:rsid w:val="0015730C"/>
    <w:rsid w:val="00164D22"/>
    <w:rsid w:val="00164FDD"/>
    <w:rsid w:val="00170A8A"/>
    <w:rsid w:val="0017683D"/>
    <w:rsid w:val="00183DC1"/>
    <w:rsid w:val="0019177B"/>
    <w:rsid w:val="001919D5"/>
    <w:rsid w:val="00192F07"/>
    <w:rsid w:val="00194234"/>
    <w:rsid w:val="001A2D7F"/>
    <w:rsid w:val="001A318C"/>
    <w:rsid w:val="001A7935"/>
    <w:rsid w:val="001B15F1"/>
    <w:rsid w:val="001B78C4"/>
    <w:rsid w:val="001D660E"/>
    <w:rsid w:val="001E1513"/>
    <w:rsid w:val="001E4832"/>
    <w:rsid w:val="001E797C"/>
    <w:rsid w:val="001F346F"/>
    <w:rsid w:val="001F5605"/>
    <w:rsid w:val="00203613"/>
    <w:rsid w:val="00231B66"/>
    <w:rsid w:val="00252D43"/>
    <w:rsid w:val="00264460"/>
    <w:rsid w:val="00285D7E"/>
    <w:rsid w:val="00287C9F"/>
    <w:rsid w:val="00292B15"/>
    <w:rsid w:val="002B435B"/>
    <w:rsid w:val="002B6C2A"/>
    <w:rsid w:val="002B7B83"/>
    <w:rsid w:val="002E6CA1"/>
    <w:rsid w:val="002E7040"/>
    <w:rsid w:val="002E76FB"/>
    <w:rsid w:val="002F61D2"/>
    <w:rsid w:val="002F7C6D"/>
    <w:rsid w:val="00306E61"/>
    <w:rsid w:val="00314580"/>
    <w:rsid w:val="00322EA7"/>
    <w:rsid w:val="00334A10"/>
    <w:rsid w:val="00334C0C"/>
    <w:rsid w:val="00337922"/>
    <w:rsid w:val="00340867"/>
    <w:rsid w:val="00346079"/>
    <w:rsid w:val="00380837"/>
    <w:rsid w:val="003817EB"/>
    <w:rsid w:val="00383CCB"/>
    <w:rsid w:val="00385E5E"/>
    <w:rsid w:val="003A198A"/>
    <w:rsid w:val="003A1EE9"/>
    <w:rsid w:val="003A54D3"/>
    <w:rsid w:val="003A59CF"/>
    <w:rsid w:val="003A7FBC"/>
    <w:rsid w:val="003B2D20"/>
    <w:rsid w:val="003B56DA"/>
    <w:rsid w:val="003C0A70"/>
    <w:rsid w:val="003C6BAD"/>
    <w:rsid w:val="003D2C37"/>
    <w:rsid w:val="003E5236"/>
    <w:rsid w:val="003E6AF2"/>
    <w:rsid w:val="003E7888"/>
    <w:rsid w:val="003F6DBA"/>
    <w:rsid w:val="004028A5"/>
    <w:rsid w:val="00403E03"/>
    <w:rsid w:val="00404142"/>
    <w:rsid w:val="00410914"/>
    <w:rsid w:val="00415B72"/>
    <w:rsid w:val="004336AB"/>
    <w:rsid w:val="00435BD2"/>
    <w:rsid w:val="00436B72"/>
    <w:rsid w:val="0043778E"/>
    <w:rsid w:val="00443A06"/>
    <w:rsid w:val="00444438"/>
    <w:rsid w:val="004448A8"/>
    <w:rsid w:val="004454CD"/>
    <w:rsid w:val="004807FE"/>
    <w:rsid w:val="004831AC"/>
    <w:rsid w:val="00491F9E"/>
    <w:rsid w:val="004954DA"/>
    <w:rsid w:val="004A681B"/>
    <w:rsid w:val="004B095E"/>
    <w:rsid w:val="004B10FD"/>
    <w:rsid w:val="004B20B0"/>
    <w:rsid w:val="004B259E"/>
    <w:rsid w:val="004C28F0"/>
    <w:rsid w:val="004C3DBA"/>
    <w:rsid w:val="004C5CE9"/>
    <w:rsid w:val="004D05B0"/>
    <w:rsid w:val="004D3389"/>
    <w:rsid w:val="004D532C"/>
    <w:rsid w:val="004D6ADA"/>
    <w:rsid w:val="004F18F5"/>
    <w:rsid w:val="004F4C01"/>
    <w:rsid w:val="004F7428"/>
    <w:rsid w:val="00502083"/>
    <w:rsid w:val="00506C94"/>
    <w:rsid w:val="005119B3"/>
    <w:rsid w:val="005211D0"/>
    <w:rsid w:val="00527E26"/>
    <w:rsid w:val="00533AAC"/>
    <w:rsid w:val="00536930"/>
    <w:rsid w:val="00540918"/>
    <w:rsid w:val="00542737"/>
    <w:rsid w:val="005441E5"/>
    <w:rsid w:val="00544FBF"/>
    <w:rsid w:val="00545EBD"/>
    <w:rsid w:val="005545AC"/>
    <w:rsid w:val="00564E53"/>
    <w:rsid w:val="00567E81"/>
    <w:rsid w:val="00582990"/>
    <w:rsid w:val="00582F4D"/>
    <w:rsid w:val="00583DB5"/>
    <w:rsid w:val="005903A3"/>
    <w:rsid w:val="00595E10"/>
    <w:rsid w:val="00597C8D"/>
    <w:rsid w:val="005A34BB"/>
    <w:rsid w:val="005B3251"/>
    <w:rsid w:val="005B3A25"/>
    <w:rsid w:val="005B416A"/>
    <w:rsid w:val="005D488A"/>
    <w:rsid w:val="005E0B11"/>
    <w:rsid w:val="005E39EA"/>
    <w:rsid w:val="005E486D"/>
    <w:rsid w:val="005E4BB2"/>
    <w:rsid w:val="005F3BF4"/>
    <w:rsid w:val="006017B5"/>
    <w:rsid w:val="0060453B"/>
    <w:rsid w:val="00604F59"/>
    <w:rsid w:val="00610889"/>
    <w:rsid w:val="00624B70"/>
    <w:rsid w:val="00627710"/>
    <w:rsid w:val="00633C40"/>
    <w:rsid w:val="006344F4"/>
    <w:rsid w:val="00636CCC"/>
    <w:rsid w:val="00642669"/>
    <w:rsid w:val="00644FE2"/>
    <w:rsid w:val="00645136"/>
    <w:rsid w:val="00653D06"/>
    <w:rsid w:val="00656362"/>
    <w:rsid w:val="00665260"/>
    <w:rsid w:val="00667508"/>
    <w:rsid w:val="0067640C"/>
    <w:rsid w:val="00680F5C"/>
    <w:rsid w:val="0069467C"/>
    <w:rsid w:val="006A3A16"/>
    <w:rsid w:val="006B02A5"/>
    <w:rsid w:val="006B55F5"/>
    <w:rsid w:val="006B6877"/>
    <w:rsid w:val="006C04AD"/>
    <w:rsid w:val="006C431B"/>
    <w:rsid w:val="006C5F17"/>
    <w:rsid w:val="006C67E9"/>
    <w:rsid w:val="006C7B47"/>
    <w:rsid w:val="006D7BAD"/>
    <w:rsid w:val="006E1DF1"/>
    <w:rsid w:val="006E2FE5"/>
    <w:rsid w:val="006E454A"/>
    <w:rsid w:val="006E63E5"/>
    <w:rsid w:val="006E678B"/>
    <w:rsid w:val="006F6A43"/>
    <w:rsid w:val="00705795"/>
    <w:rsid w:val="00706933"/>
    <w:rsid w:val="00713ECA"/>
    <w:rsid w:val="007318FB"/>
    <w:rsid w:val="0073317D"/>
    <w:rsid w:val="0073498A"/>
    <w:rsid w:val="0073640D"/>
    <w:rsid w:val="00751E25"/>
    <w:rsid w:val="007552F3"/>
    <w:rsid w:val="00770AC4"/>
    <w:rsid w:val="007757F3"/>
    <w:rsid w:val="00776552"/>
    <w:rsid w:val="00776C57"/>
    <w:rsid w:val="007D1134"/>
    <w:rsid w:val="007D2F49"/>
    <w:rsid w:val="007D7047"/>
    <w:rsid w:val="007E4C55"/>
    <w:rsid w:val="007E6AEB"/>
    <w:rsid w:val="00803C8E"/>
    <w:rsid w:val="00815C49"/>
    <w:rsid w:val="0084257F"/>
    <w:rsid w:val="00854914"/>
    <w:rsid w:val="00862ED1"/>
    <w:rsid w:val="00872FEE"/>
    <w:rsid w:val="00873115"/>
    <w:rsid w:val="008755DA"/>
    <w:rsid w:val="0088562A"/>
    <w:rsid w:val="00885A7A"/>
    <w:rsid w:val="0089324A"/>
    <w:rsid w:val="008973EE"/>
    <w:rsid w:val="008A7493"/>
    <w:rsid w:val="008A7789"/>
    <w:rsid w:val="008B367B"/>
    <w:rsid w:val="008B45A9"/>
    <w:rsid w:val="008C0FA5"/>
    <w:rsid w:val="008D175F"/>
    <w:rsid w:val="008E54C3"/>
    <w:rsid w:val="008F640C"/>
    <w:rsid w:val="009068A5"/>
    <w:rsid w:val="00941C88"/>
    <w:rsid w:val="00946314"/>
    <w:rsid w:val="00966CD7"/>
    <w:rsid w:val="00967DEB"/>
    <w:rsid w:val="00971600"/>
    <w:rsid w:val="009760A8"/>
    <w:rsid w:val="00976938"/>
    <w:rsid w:val="00981521"/>
    <w:rsid w:val="00990AF0"/>
    <w:rsid w:val="009973B4"/>
    <w:rsid w:val="009A0D5B"/>
    <w:rsid w:val="009A457A"/>
    <w:rsid w:val="009A6B35"/>
    <w:rsid w:val="009C28C1"/>
    <w:rsid w:val="009D1ADB"/>
    <w:rsid w:val="009D20CD"/>
    <w:rsid w:val="009D5430"/>
    <w:rsid w:val="009E0E6E"/>
    <w:rsid w:val="009E1A2C"/>
    <w:rsid w:val="009E2EC5"/>
    <w:rsid w:val="009F0EDA"/>
    <w:rsid w:val="009F18AF"/>
    <w:rsid w:val="009F1D17"/>
    <w:rsid w:val="009F4A90"/>
    <w:rsid w:val="009F7EED"/>
    <w:rsid w:val="00A0100F"/>
    <w:rsid w:val="00A0419F"/>
    <w:rsid w:val="00A1110F"/>
    <w:rsid w:val="00A2734C"/>
    <w:rsid w:val="00A30DDE"/>
    <w:rsid w:val="00A335ED"/>
    <w:rsid w:val="00A513EC"/>
    <w:rsid w:val="00A54304"/>
    <w:rsid w:val="00A579A7"/>
    <w:rsid w:val="00A6146F"/>
    <w:rsid w:val="00A63CE3"/>
    <w:rsid w:val="00A71DDA"/>
    <w:rsid w:val="00A73181"/>
    <w:rsid w:val="00A806C1"/>
    <w:rsid w:val="00A84FD3"/>
    <w:rsid w:val="00A85021"/>
    <w:rsid w:val="00A86F91"/>
    <w:rsid w:val="00AA2D3F"/>
    <w:rsid w:val="00AA543E"/>
    <w:rsid w:val="00AB0334"/>
    <w:rsid w:val="00AB45AC"/>
    <w:rsid w:val="00AB6F50"/>
    <w:rsid w:val="00AC5E68"/>
    <w:rsid w:val="00AF0AAB"/>
    <w:rsid w:val="00B1235B"/>
    <w:rsid w:val="00B174FF"/>
    <w:rsid w:val="00B215FF"/>
    <w:rsid w:val="00B33C9F"/>
    <w:rsid w:val="00B341C5"/>
    <w:rsid w:val="00B5539F"/>
    <w:rsid w:val="00B61FC2"/>
    <w:rsid w:val="00B87A07"/>
    <w:rsid w:val="00B90A0E"/>
    <w:rsid w:val="00B90C2C"/>
    <w:rsid w:val="00B96207"/>
    <w:rsid w:val="00B9798D"/>
    <w:rsid w:val="00BA2032"/>
    <w:rsid w:val="00BB2AFA"/>
    <w:rsid w:val="00BB6A1B"/>
    <w:rsid w:val="00BD23EC"/>
    <w:rsid w:val="00BE4239"/>
    <w:rsid w:val="00BE4BA8"/>
    <w:rsid w:val="00BF597E"/>
    <w:rsid w:val="00C07AA1"/>
    <w:rsid w:val="00C07EB2"/>
    <w:rsid w:val="00C33C0B"/>
    <w:rsid w:val="00C453D5"/>
    <w:rsid w:val="00C45693"/>
    <w:rsid w:val="00C45A0A"/>
    <w:rsid w:val="00C50E55"/>
    <w:rsid w:val="00C51A36"/>
    <w:rsid w:val="00C55228"/>
    <w:rsid w:val="00C73A1A"/>
    <w:rsid w:val="00C74DF3"/>
    <w:rsid w:val="00C80D84"/>
    <w:rsid w:val="00C86445"/>
    <w:rsid w:val="00C900D1"/>
    <w:rsid w:val="00C926D4"/>
    <w:rsid w:val="00C96ECF"/>
    <w:rsid w:val="00CA17E5"/>
    <w:rsid w:val="00CA6325"/>
    <w:rsid w:val="00CB63E7"/>
    <w:rsid w:val="00CC782B"/>
    <w:rsid w:val="00CD391A"/>
    <w:rsid w:val="00CD4BD0"/>
    <w:rsid w:val="00CE315A"/>
    <w:rsid w:val="00CE6D44"/>
    <w:rsid w:val="00CF02A1"/>
    <w:rsid w:val="00D06F59"/>
    <w:rsid w:val="00D17304"/>
    <w:rsid w:val="00D222CA"/>
    <w:rsid w:val="00D31BC2"/>
    <w:rsid w:val="00D339B3"/>
    <w:rsid w:val="00D3523F"/>
    <w:rsid w:val="00D4304E"/>
    <w:rsid w:val="00D578C7"/>
    <w:rsid w:val="00D60DBD"/>
    <w:rsid w:val="00D77628"/>
    <w:rsid w:val="00D8388C"/>
    <w:rsid w:val="00D91E07"/>
    <w:rsid w:val="00D922F0"/>
    <w:rsid w:val="00D94D50"/>
    <w:rsid w:val="00DA6D75"/>
    <w:rsid w:val="00DA6EE2"/>
    <w:rsid w:val="00DB131E"/>
    <w:rsid w:val="00DC67BD"/>
    <w:rsid w:val="00DC6B31"/>
    <w:rsid w:val="00DD0CD8"/>
    <w:rsid w:val="00DD4397"/>
    <w:rsid w:val="00DD44CD"/>
    <w:rsid w:val="00DD73A5"/>
    <w:rsid w:val="00DD7CF8"/>
    <w:rsid w:val="00DE150E"/>
    <w:rsid w:val="00DE60CF"/>
    <w:rsid w:val="00DF3DE3"/>
    <w:rsid w:val="00E04D26"/>
    <w:rsid w:val="00E057B5"/>
    <w:rsid w:val="00E11FF1"/>
    <w:rsid w:val="00E1555A"/>
    <w:rsid w:val="00E172D1"/>
    <w:rsid w:val="00E212F9"/>
    <w:rsid w:val="00E23D5B"/>
    <w:rsid w:val="00E30F8C"/>
    <w:rsid w:val="00E51074"/>
    <w:rsid w:val="00E66F8E"/>
    <w:rsid w:val="00E70666"/>
    <w:rsid w:val="00E82C8A"/>
    <w:rsid w:val="00E84CDF"/>
    <w:rsid w:val="00E84E7A"/>
    <w:rsid w:val="00E944C8"/>
    <w:rsid w:val="00E96F99"/>
    <w:rsid w:val="00EB0164"/>
    <w:rsid w:val="00EB17F3"/>
    <w:rsid w:val="00ED0F62"/>
    <w:rsid w:val="00F024F5"/>
    <w:rsid w:val="00F04412"/>
    <w:rsid w:val="00F128EF"/>
    <w:rsid w:val="00F25A3E"/>
    <w:rsid w:val="00F31F44"/>
    <w:rsid w:val="00F41512"/>
    <w:rsid w:val="00F44F05"/>
    <w:rsid w:val="00F74505"/>
    <w:rsid w:val="00F77D93"/>
    <w:rsid w:val="00F8212E"/>
    <w:rsid w:val="00F836F3"/>
    <w:rsid w:val="00F83F61"/>
    <w:rsid w:val="00F8527E"/>
    <w:rsid w:val="00F95B49"/>
    <w:rsid w:val="00FA2C55"/>
    <w:rsid w:val="00FA3D3B"/>
    <w:rsid w:val="00FA4B73"/>
    <w:rsid w:val="00FA6F4E"/>
    <w:rsid w:val="00FA760B"/>
    <w:rsid w:val="00FB27A9"/>
    <w:rsid w:val="00FB2E5A"/>
    <w:rsid w:val="00FC0FE8"/>
    <w:rsid w:val="00FC12B9"/>
    <w:rsid w:val="00FC2272"/>
    <w:rsid w:val="00FC3688"/>
    <w:rsid w:val="00FE3BB9"/>
    <w:rsid w:val="00FF04EE"/>
    <w:rsid w:val="00FF2314"/>
    <w:rsid w:val="00FF3C3A"/>
    <w:rsid w:val="03011590"/>
    <w:rsid w:val="0320505F"/>
    <w:rsid w:val="03785235"/>
    <w:rsid w:val="04510B7D"/>
    <w:rsid w:val="04754611"/>
    <w:rsid w:val="04CF76AA"/>
    <w:rsid w:val="059A3C03"/>
    <w:rsid w:val="05EC10D9"/>
    <w:rsid w:val="078172FC"/>
    <w:rsid w:val="07943000"/>
    <w:rsid w:val="08BF0232"/>
    <w:rsid w:val="08E60B71"/>
    <w:rsid w:val="0A4E07CC"/>
    <w:rsid w:val="0A8D103E"/>
    <w:rsid w:val="0ACE1CBC"/>
    <w:rsid w:val="0B0F299D"/>
    <w:rsid w:val="0B451C47"/>
    <w:rsid w:val="0B4E6612"/>
    <w:rsid w:val="0C0601A5"/>
    <w:rsid w:val="0D885520"/>
    <w:rsid w:val="0E3E43E5"/>
    <w:rsid w:val="0E673B3C"/>
    <w:rsid w:val="0E891764"/>
    <w:rsid w:val="0F0A004B"/>
    <w:rsid w:val="0F413AC7"/>
    <w:rsid w:val="0F9A7B1E"/>
    <w:rsid w:val="108219C2"/>
    <w:rsid w:val="108A0D67"/>
    <w:rsid w:val="112D1D65"/>
    <w:rsid w:val="117E71EC"/>
    <w:rsid w:val="11D96B76"/>
    <w:rsid w:val="12245DB8"/>
    <w:rsid w:val="13236707"/>
    <w:rsid w:val="136314F4"/>
    <w:rsid w:val="13CA12D3"/>
    <w:rsid w:val="13CE6575"/>
    <w:rsid w:val="141304FE"/>
    <w:rsid w:val="14257908"/>
    <w:rsid w:val="14D454BA"/>
    <w:rsid w:val="14FD6176"/>
    <w:rsid w:val="15D53416"/>
    <w:rsid w:val="162B5F34"/>
    <w:rsid w:val="179470C0"/>
    <w:rsid w:val="17BB45DD"/>
    <w:rsid w:val="188C6160"/>
    <w:rsid w:val="19BD6015"/>
    <w:rsid w:val="1A5C1BE8"/>
    <w:rsid w:val="1B154D2B"/>
    <w:rsid w:val="1B3E39A3"/>
    <w:rsid w:val="1B71487F"/>
    <w:rsid w:val="1B9E43FA"/>
    <w:rsid w:val="1BD854B1"/>
    <w:rsid w:val="1BEC3BF1"/>
    <w:rsid w:val="1C2F2E9F"/>
    <w:rsid w:val="1D85741F"/>
    <w:rsid w:val="1DE60924"/>
    <w:rsid w:val="1E063D7C"/>
    <w:rsid w:val="1E847499"/>
    <w:rsid w:val="1F063599"/>
    <w:rsid w:val="1F1F7BA7"/>
    <w:rsid w:val="1FD7676E"/>
    <w:rsid w:val="216E4EBF"/>
    <w:rsid w:val="21F6573C"/>
    <w:rsid w:val="23557E88"/>
    <w:rsid w:val="245711E5"/>
    <w:rsid w:val="274E61F5"/>
    <w:rsid w:val="2767752B"/>
    <w:rsid w:val="277718FC"/>
    <w:rsid w:val="27DF7CD6"/>
    <w:rsid w:val="28563B5D"/>
    <w:rsid w:val="2C703113"/>
    <w:rsid w:val="2D004A1A"/>
    <w:rsid w:val="2EE93C61"/>
    <w:rsid w:val="2FEB299B"/>
    <w:rsid w:val="2FEB7984"/>
    <w:rsid w:val="3122336F"/>
    <w:rsid w:val="31ED65C0"/>
    <w:rsid w:val="32691255"/>
    <w:rsid w:val="32C11AD5"/>
    <w:rsid w:val="32DD31FD"/>
    <w:rsid w:val="33112A7D"/>
    <w:rsid w:val="34041CDB"/>
    <w:rsid w:val="3438524B"/>
    <w:rsid w:val="34B32935"/>
    <w:rsid w:val="375F34D7"/>
    <w:rsid w:val="37FB7F90"/>
    <w:rsid w:val="39952144"/>
    <w:rsid w:val="39AA3ECD"/>
    <w:rsid w:val="3AD826FA"/>
    <w:rsid w:val="3B1925BB"/>
    <w:rsid w:val="3BCC3CED"/>
    <w:rsid w:val="3BD4497A"/>
    <w:rsid w:val="3C9E5B10"/>
    <w:rsid w:val="3DAD6D4F"/>
    <w:rsid w:val="3F0F3C1B"/>
    <w:rsid w:val="40285D69"/>
    <w:rsid w:val="40843B22"/>
    <w:rsid w:val="414D774F"/>
    <w:rsid w:val="41842DAE"/>
    <w:rsid w:val="418A49D1"/>
    <w:rsid w:val="440643B1"/>
    <w:rsid w:val="44D10776"/>
    <w:rsid w:val="466F33FE"/>
    <w:rsid w:val="46B97919"/>
    <w:rsid w:val="48800E04"/>
    <w:rsid w:val="489C542B"/>
    <w:rsid w:val="494C5676"/>
    <w:rsid w:val="4ABE4B71"/>
    <w:rsid w:val="4BAD77B9"/>
    <w:rsid w:val="4BF6245C"/>
    <w:rsid w:val="4BFF3076"/>
    <w:rsid w:val="4D2804E2"/>
    <w:rsid w:val="4D943D2E"/>
    <w:rsid w:val="4E95570D"/>
    <w:rsid w:val="4EC64F08"/>
    <w:rsid w:val="4FF9693C"/>
    <w:rsid w:val="50886C2D"/>
    <w:rsid w:val="51543C71"/>
    <w:rsid w:val="52390AC9"/>
    <w:rsid w:val="52B03713"/>
    <w:rsid w:val="56135BAC"/>
    <w:rsid w:val="56390FCA"/>
    <w:rsid w:val="58322D49"/>
    <w:rsid w:val="592F0962"/>
    <w:rsid w:val="59C52172"/>
    <w:rsid w:val="59D5213B"/>
    <w:rsid w:val="5A526EF4"/>
    <w:rsid w:val="5AAA27E4"/>
    <w:rsid w:val="5AF07826"/>
    <w:rsid w:val="5B09672D"/>
    <w:rsid w:val="5BCC76FD"/>
    <w:rsid w:val="5BE53841"/>
    <w:rsid w:val="5CAB10AC"/>
    <w:rsid w:val="5CB37300"/>
    <w:rsid w:val="5DAB4DE2"/>
    <w:rsid w:val="5DE6570D"/>
    <w:rsid w:val="5EA12B9A"/>
    <w:rsid w:val="5ED74E33"/>
    <w:rsid w:val="5FF65830"/>
    <w:rsid w:val="612E1E3C"/>
    <w:rsid w:val="61823FB4"/>
    <w:rsid w:val="620A3570"/>
    <w:rsid w:val="628F0BD1"/>
    <w:rsid w:val="63606581"/>
    <w:rsid w:val="64181A64"/>
    <w:rsid w:val="65B47E80"/>
    <w:rsid w:val="661149EF"/>
    <w:rsid w:val="6612664F"/>
    <w:rsid w:val="66B7462A"/>
    <w:rsid w:val="66C814F3"/>
    <w:rsid w:val="682A1D36"/>
    <w:rsid w:val="68AC04FF"/>
    <w:rsid w:val="69053464"/>
    <w:rsid w:val="69222B6F"/>
    <w:rsid w:val="69EA7EC1"/>
    <w:rsid w:val="6A23146B"/>
    <w:rsid w:val="6AEA5FF4"/>
    <w:rsid w:val="6BAC184E"/>
    <w:rsid w:val="6CA45EE1"/>
    <w:rsid w:val="6CCE55B8"/>
    <w:rsid w:val="6D53402F"/>
    <w:rsid w:val="6FEC0326"/>
    <w:rsid w:val="70205029"/>
    <w:rsid w:val="702D7970"/>
    <w:rsid w:val="71065FD8"/>
    <w:rsid w:val="715B3690"/>
    <w:rsid w:val="72AB41A3"/>
    <w:rsid w:val="7333596B"/>
    <w:rsid w:val="73A00EA2"/>
    <w:rsid w:val="742E5215"/>
    <w:rsid w:val="75A8368A"/>
    <w:rsid w:val="761F43CB"/>
    <w:rsid w:val="76373F2B"/>
    <w:rsid w:val="76E27F87"/>
    <w:rsid w:val="77310DBF"/>
    <w:rsid w:val="78741EB2"/>
    <w:rsid w:val="788573B2"/>
    <w:rsid w:val="79741E15"/>
    <w:rsid w:val="79C04904"/>
    <w:rsid w:val="79E2643B"/>
    <w:rsid w:val="7A3A268E"/>
    <w:rsid w:val="7A937255"/>
    <w:rsid w:val="7B5C61FD"/>
    <w:rsid w:val="7BA14395"/>
    <w:rsid w:val="7C4566E1"/>
    <w:rsid w:val="7C933235"/>
    <w:rsid w:val="7FEF2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4">
    <w:name w:val="Body Text Indent"/>
    <w:basedOn w:val="1"/>
    <w:qFormat/>
    <w:uiPriority w:val="0"/>
    <w:pPr>
      <w:ind w:firstLine="480" w:firstLineChars="200"/>
    </w:pPr>
    <w:rPr>
      <w:sz w:val="24"/>
    </w:rPr>
  </w:style>
  <w:style w:type="paragraph" w:styleId="5">
    <w:name w:val="Plain Text"/>
    <w:basedOn w:val="1"/>
    <w:link w:val="19"/>
    <w:unhideWhenUsed/>
    <w:qFormat/>
    <w:uiPriority w:val="0"/>
    <w:rPr>
      <w:rFonts w:ascii="宋体" w:hAnsi="Courier New"/>
    </w:rPr>
  </w:style>
  <w:style w:type="paragraph" w:styleId="6">
    <w:name w:val="Body Text Indent 2"/>
    <w:basedOn w:val="1"/>
    <w:link w:val="20"/>
    <w:unhideWhenUsed/>
    <w:qFormat/>
    <w:uiPriority w:val="99"/>
    <w:pPr>
      <w:spacing w:after="120" w:line="480" w:lineRule="auto"/>
      <w:ind w:left="420" w:leftChars="200"/>
    </w:pPr>
  </w:style>
  <w:style w:type="paragraph" w:styleId="7">
    <w:name w:val="Balloon Text"/>
    <w:basedOn w:val="1"/>
    <w:link w:val="15"/>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List Paragraph"/>
    <w:basedOn w:val="1"/>
    <w:qFormat/>
    <w:uiPriority w:val="99"/>
    <w:pPr>
      <w:ind w:firstLine="420" w:firstLineChars="200"/>
    </w:pPr>
  </w:style>
  <w:style w:type="character" w:customStyle="1" w:styleId="19">
    <w:name w:val="纯文本 Char"/>
    <w:link w:val="5"/>
    <w:qFormat/>
    <w:uiPriority w:val="0"/>
    <w:rPr>
      <w:rFonts w:ascii="宋体" w:hAnsi="Courier New"/>
      <w:kern w:val="2"/>
      <w:sz w:val="21"/>
    </w:rPr>
  </w:style>
  <w:style w:type="character" w:customStyle="1" w:styleId="20">
    <w:name w:val="正文文本缩进 2 Char"/>
    <w:basedOn w:val="12"/>
    <w:link w:val="6"/>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5082</Words>
  <Characters>5273</Characters>
  <Lines>41</Lines>
  <Paragraphs>11</Paragraphs>
  <TotalTime>5</TotalTime>
  <ScaleCrop>false</ScaleCrop>
  <LinksUpToDate>false</LinksUpToDate>
  <CharactersWithSpaces>5381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2022-06-06T06:38:44Z</dcterms:modified>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8E0D1C49EA504C2DB541DC238E4BA4DA</vt:lpwstr>
  </property>
</Properties>
</file>