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员工代表魏美娇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何朋轩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肖新龙（远程）【微信/腾讯会议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】 </w:t>
            </w:r>
            <w:r>
              <w:rPr>
                <w:rFonts w:hint="eastAsia"/>
                <w:sz w:val="24"/>
                <w:szCs w:val="24"/>
              </w:rPr>
              <w:t xml:space="preserve">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2022-05-30下午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lang w:eastAsia="zh-CN"/>
              </w:rPr>
              <w:t>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O7.4.2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管理手册第5.4章、《</w:t>
            </w:r>
            <w:r>
              <w:rPr>
                <w:rFonts w:hint="eastAsia" w:ascii="Arial" w:hAnsi="Arial"/>
              </w:rPr>
              <w:t>协商和参与</w:t>
            </w:r>
            <w:r>
              <w:rPr>
                <w:rFonts w:hint="eastAsia" w:ascii="Arial" w:hAnsi="Arial"/>
                <w:lang w:val="en-US" w:eastAsia="zh-CN"/>
              </w:rPr>
              <w:t>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员工代表：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en-US" w:eastAsia="zh-CN"/>
              </w:rPr>
              <w:t>魏美娇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</w:t>
            </w:r>
            <w:r>
              <w:rPr>
                <w:rFonts w:hint="eastAsia"/>
                <w:u w:val="single"/>
                <w:lang w:val="en-US" w:eastAsia="zh-CN"/>
              </w:rPr>
              <w:t xml:space="preserve"> 1 名</w:t>
            </w:r>
          </w:p>
          <w:tbl>
            <w:tblPr>
              <w:tblStyle w:val="8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1316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每年有职代会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审核周期内没有重大的变化；没有协商的内容</w:t>
            </w:r>
          </w:p>
          <w:p>
            <w:pPr>
              <w:rPr>
                <w:rFonts w:hint="default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经询问了解，未发生事故、工伤等不符合情况。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与非管理类工作人员在如下方面的协商：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审核周期内没有发生劳资纠纷；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 xml:space="preserve">口头询问工人薪资、福利、工作强度、工作时间等内容，未形成问卷，已沟通建议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见“中央厨房审核记录”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——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《纠正和纠正措施措施控制程序》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审核周期内未发生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3FA6683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905B44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1423</Characters>
  <Lines>1</Lines>
  <Paragraphs>1</Paragraphs>
  <TotalTime>1</TotalTime>
  <ScaleCrop>false</ScaleCrop>
  <LinksUpToDate>false</LinksUpToDate>
  <CharactersWithSpaces>1533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2022-06-05T02:01:26Z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341B1BB5670447BE826ACE09122DF92E</vt:lpwstr>
  </property>
</Properties>
</file>