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86"/>
        <w:gridCol w:w="532"/>
        <w:gridCol w:w="294"/>
        <w:gridCol w:w="592"/>
        <w:gridCol w:w="8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天津可佳餐饮管理有限公司开发区分公司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天津经济技术开发区海云街40号增1号厂房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天津经济技术开发区海云街40号增1号厂房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何翔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15222270777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何翔</w:t>
            </w:r>
            <w:r>
              <w:rPr>
                <w:rFonts w:hint="eastAsia"/>
                <w:sz w:val="21"/>
                <w:szCs w:val="21"/>
              </w:rPr>
              <w:t>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15222270777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gengyuping9188@163.com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0417-2022-QEOFH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Q：集体用餐配送（热食类食品制售）</w:t>
            </w:r>
          </w:p>
          <w:bookmarkEnd w:id="24"/>
          <w:p>
            <w:pPr>
              <w:rPr>
                <w:sz w:val="20"/>
              </w:rPr>
            </w:pPr>
            <w:r>
              <w:rPr>
                <w:sz w:val="20"/>
              </w:rPr>
              <w:t>E：集体用餐配送（热食类食品制售）所涉及场所的相关环境管理活动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O：集体用餐配送（热食类食品制售）所涉及场所的相关职业健康安全管理活动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H：位于天津经济技术开发区海云街40号增1号厂房天津可佳餐饮管理有限公司开发区分公司</w:t>
            </w:r>
            <w:r>
              <w:rPr>
                <w:rFonts w:hint="eastAsia"/>
                <w:sz w:val="20"/>
              </w:rPr>
              <w:t>车间的</w:t>
            </w:r>
            <w:r>
              <w:rPr>
                <w:sz w:val="20"/>
              </w:rPr>
              <w:t>集体用餐配送（热食类食品制售）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F：位于天津经济技术开发区海云街40号增1号厂房天津可佳餐饮管理有限公司开发区分公司</w:t>
            </w:r>
            <w:r>
              <w:rPr>
                <w:rFonts w:hint="eastAsia"/>
                <w:sz w:val="20"/>
              </w:rPr>
              <w:t>车间的</w:t>
            </w:r>
            <w:r>
              <w:rPr>
                <w:sz w:val="20"/>
              </w:rPr>
              <w:t>集体用餐配送（热食类食品制售）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2022年05月30日 下午13：30至2022年06月0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中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:00(共</w:t>
            </w:r>
            <w:r>
              <w:rPr>
                <w:rFonts w:hint="eastAsia"/>
                <w:b/>
                <w:sz w:val="20"/>
                <w:lang w:val="en-US" w:eastAsia="zh-CN"/>
              </w:rPr>
              <w:t>3.0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240" w:lineRule="atLea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E:组长</w:t>
            </w:r>
            <w:r>
              <w:rPr>
                <w:rFonts w:hint="eastAsia"/>
                <w:sz w:val="20"/>
                <w:lang w:val="de-DE"/>
              </w:rPr>
              <w:t>被</w:t>
            </w:r>
            <w:r>
              <w:rPr>
                <w:sz w:val="20"/>
                <w:lang w:val="de-DE"/>
              </w:rPr>
              <w:t>见证，</w:t>
            </w:r>
          </w:p>
          <w:p>
            <w:pPr>
              <w:spacing w:line="240" w:lineRule="atLea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O:组长</w:t>
            </w:r>
            <w:r>
              <w:rPr>
                <w:rFonts w:hint="eastAsia"/>
                <w:sz w:val="20"/>
                <w:lang w:val="de-DE"/>
              </w:rPr>
              <w:t>被</w:t>
            </w:r>
            <w:r>
              <w:rPr>
                <w:sz w:val="20"/>
                <w:lang w:val="de-DE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  <w:r>
              <w:rPr>
                <w:rFonts w:hint="eastAsia"/>
                <w:sz w:val="20"/>
                <w:lang w:val="de-DE"/>
              </w:rPr>
              <w:t>-</w:t>
            </w:r>
            <w:r>
              <w:rPr>
                <w:sz w:val="20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240" w:lineRule="atLea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E:组长见证，</w:t>
            </w:r>
          </w:p>
          <w:p>
            <w:pPr>
              <w:spacing w:line="240" w:lineRule="atLea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任学礼</w:t>
            </w: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2020-N1QMS-1232990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2019-N0EMS-1232990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2021-N1HACCP-1232990</w:t>
            </w:r>
          </w:p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2021-N1FSMS-1232990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240" w:lineRule="atLeast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2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/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9440" cy="347345"/>
                  <wp:effectExtent l="0" t="0" r="10160" b="8255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90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2022-05-29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  <w:rPr>
          <w:rFonts w:hint="eastAsia"/>
        </w:rPr>
      </w:pPr>
    </w:p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8"/>
        <w:gridCol w:w="937"/>
        <w:gridCol w:w="3711"/>
        <w:gridCol w:w="261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日期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部门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过程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涉及条款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2022-05-30下午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第一天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ind w:firstLine="151" w:firstLineChars="10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13:30-14:00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首次会议（腾讯会议：9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51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930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069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14:00-1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领导层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总要求</w:t>
            </w:r>
            <w:r>
              <w:rPr>
                <w:rFonts w:hint="eastAsia"/>
                <w:sz w:val="15"/>
                <w:szCs w:val="15"/>
              </w:rPr>
              <w:t>、内外部环境、相关方需求和期望识别、合规义务、</w:t>
            </w:r>
            <w:r>
              <w:rPr>
                <w:sz w:val="15"/>
                <w:szCs w:val="15"/>
              </w:rPr>
              <w:t>方针和目标</w:t>
            </w:r>
            <w:r>
              <w:rPr>
                <w:rFonts w:hint="eastAsia"/>
                <w:sz w:val="15"/>
                <w:szCs w:val="15"/>
              </w:rPr>
              <w:t>、管理体系范围、管理体系及其过程、领导作用与承诺、</w:t>
            </w:r>
            <w:r>
              <w:rPr>
                <w:sz w:val="15"/>
                <w:szCs w:val="15"/>
              </w:rPr>
              <w:t>岗位和职责、</w:t>
            </w:r>
            <w:r>
              <w:rPr>
                <w:rFonts w:hint="eastAsia"/>
                <w:sz w:val="15"/>
                <w:szCs w:val="15"/>
              </w:rPr>
              <w:t>管理方针、管理目标及其实现的策划、风险和机遇识别及应对措施/风险和机遇识别及应对措施【总则EO】、变更的策划、应急准备和响应、资源/资源【总则】、沟通、食品安全文化、文件化信息【总则】、运行策划和控制（Q</w:t>
            </w:r>
            <w:r>
              <w:rPr>
                <w:sz w:val="15"/>
                <w:szCs w:val="15"/>
              </w:rPr>
              <w:t>FH</w:t>
            </w:r>
            <w:r>
              <w:rPr>
                <w:rFonts w:hint="eastAsia"/>
                <w:sz w:val="15"/>
                <w:szCs w:val="15"/>
              </w:rPr>
              <w:t>）、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前提计划（总则）、</w:t>
            </w:r>
            <w:r>
              <w:rPr>
                <w:rFonts w:hint="eastAsia"/>
                <w:sz w:val="15"/>
                <w:szCs w:val="15"/>
              </w:rPr>
              <w:t>监视测量分析和评价（总则）、管理评审、事件/不符合和纠正措施、改进（总则）、持续改进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、食品安全管理体系更新</w:t>
            </w:r>
          </w:p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一阶段问题验证等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4.4/5.1/5.2/5.3/6.1/6.2/6.3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1/ 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7.5.1/8.1/</w:t>
            </w:r>
            <w:r>
              <w:rPr>
                <w:sz w:val="15"/>
                <w:szCs w:val="15"/>
              </w:rPr>
              <w:t>9.1.1/9.3/10.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/10.2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10.3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>/6.2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7.1/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 xml:space="preserve">/ </w:t>
            </w:r>
            <w:r>
              <w:rPr>
                <w:rFonts w:hint="eastAsia"/>
                <w:sz w:val="15"/>
                <w:szCs w:val="15"/>
              </w:rPr>
              <w:t>7.5.1/8.2/</w:t>
            </w:r>
            <w:r>
              <w:rPr>
                <w:sz w:val="15"/>
                <w:szCs w:val="15"/>
              </w:rPr>
              <w:t>9.1.1/9.3/10.</w:t>
            </w:r>
            <w:r>
              <w:rPr>
                <w:rFonts w:hint="eastAsia"/>
                <w:sz w:val="15"/>
                <w:szCs w:val="15"/>
              </w:rPr>
              <w:t>1/</w:t>
            </w: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2/10.3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OHS: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 xml:space="preserve">/6.2/7.1/ 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7.5.1/8.2/</w:t>
            </w:r>
            <w:r>
              <w:rPr>
                <w:sz w:val="15"/>
                <w:szCs w:val="15"/>
              </w:rPr>
              <w:t>9.1.1/9.3/10.</w:t>
            </w:r>
            <w:r>
              <w:rPr>
                <w:rFonts w:hint="eastAsia"/>
                <w:sz w:val="15"/>
                <w:szCs w:val="15"/>
              </w:rPr>
              <w:t>1/</w:t>
            </w: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10.3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F:4.1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4.4/5.1/5.2/5.3/6.1/6.2/6.3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 xml:space="preserve"> /</w:t>
            </w:r>
            <w:r>
              <w:rPr>
                <w:rFonts w:hint="eastAsia"/>
                <w:sz w:val="15"/>
                <w:szCs w:val="15"/>
              </w:rPr>
              <w:t>7.4/7.5.1/8.1/8.4/</w:t>
            </w:r>
            <w:r>
              <w:rPr>
                <w:sz w:val="15"/>
                <w:szCs w:val="15"/>
              </w:rPr>
              <w:t>9.1.1/9.3/10.1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10.</w:t>
            </w:r>
            <w:r>
              <w:rPr>
                <w:rFonts w:hint="eastAsia"/>
                <w:sz w:val="15"/>
                <w:szCs w:val="15"/>
              </w:rPr>
              <w:t>2/</w:t>
            </w:r>
            <w:r>
              <w:rPr>
                <w:sz w:val="15"/>
                <w:szCs w:val="15"/>
              </w:rPr>
              <w:t>10.</w:t>
            </w:r>
            <w:r>
              <w:rPr>
                <w:rFonts w:hint="eastAsia"/>
                <w:sz w:val="15"/>
                <w:szCs w:val="15"/>
              </w:rPr>
              <w:t>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H：1.1/1.2.1/1.2.2/2.1-2.5/3.13</w:t>
            </w:r>
            <w:r>
              <w:rPr>
                <w:sz w:val="15"/>
                <w:szCs w:val="15"/>
              </w:rPr>
              <w:t>/5.1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5.4/5.5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B:EO(QFH)</w:t>
            </w:r>
          </w:p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14:00-1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食品安全小组/HACCP小组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食品安全小组/HACCP组长及职责、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外部开发的食品安全管理体系要素、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5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7.1.5/8.2/8.3/8.5/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8.6/8.8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H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2.5.1/3.3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3.7/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/3.11/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3.12/4.1-4.6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17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员工代表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健康安全事务参与情况，</w:t>
            </w:r>
            <w:r>
              <w:rPr>
                <w:sz w:val="15"/>
                <w:szCs w:val="15"/>
              </w:rPr>
              <w:t>事故调查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沟通事故调查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沟通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O:5.4/10.2/7.4.2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:O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17: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第一天审核结束</w:t>
            </w:r>
          </w:p>
        </w:tc>
        <w:tc>
          <w:tcPr>
            <w:tcW w:w="261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AB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全天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第二天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8: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-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：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中央厨房及现场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部门职责、目标管理、前提方案/良好卫生规范现场情况、工作环境、标识和追溯/可追溯性、产品撤回/召回、应急准备和响应、生产和服务提供、产品防护、顾客财产、产品和服务的设计和开发、</w:t>
            </w:r>
            <w:r>
              <w:rPr>
                <w:sz w:val="15"/>
                <w:szCs w:val="15"/>
              </w:rPr>
              <w:t>oprp/ccp的实施</w:t>
            </w:r>
            <w:r>
              <w:rPr>
                <w:rFonts w:hint="eastAsia"/>
                <w:sz w:val="15"/>
                <w:szCs w:val="15"/>
              </w:rPr>
              <w:t>、致敏物管理、食品防护等；环境因素识别及控制、危险源识别及控制、现场运行控制（EO）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Cs w:val="0"/>
                <w:spacing w:val="0"/>
                <w:sz w:val="15"/>
                <w:szCs w:val="15"/>
              </w:rPr>
              <w:t>一阶段问题验证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Q:5.3/6.2/7.1.4/8.2/8.3/8.5.1/8.5.2/8.5.3/8.5.4/8.5.6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F:5.3/6.2/7.1.4/8.2/8.3/8.4/8.5.4.5/8.9.5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H:2.4.2/2.5.1/3.3/</w:t>
            </w:r>
            <w:r>
              <w:rPr>
                <w:rFonts w:hint="eastAsia" w:eastAsiaTheme="minorEastAsia"/>
                <w:sz w:val="15"/>
                <w:szCs w:val="15"/>
              </w:rPr>
              <w:t>3.4/</w:t>
            </w:r>
            <w:r>
              <w:rPr>
                <w:rFonts w:eastAsiaTheme="minorEastAsia"/>
                <w:sz w:val="15"/>
                <w:szCs w:val="15"/>
              </w:rPr>
              <w:t>3.7/3.9/3.10/3.11/3.13/4.3.4.3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 5.3/6.1.2/6.1.4/6.2/8.1/8.2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 5.3/6.1.2/6.1.4/6.2/8.1/8.2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8: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-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1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维修科及现场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Cs/>
                <w:spacing w:val="10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部门职责、目标管理、基础设施、</w:t>
            </w:r>
            <w:r>
              <w:rPr>
                <w:rFonts w:hint="eastAsia"/>
                <w:sz w:val="15"/>
                <w:szCs w:val="15"/>
              </w:rPr>
              <w:t>前提方案/良好卫生规范（厂房、设施）、</w:t>
            </w: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环境因素识别及控制、危险源识别评价和控制，现场运行情况(EO)、措施的策划、应急准备和响应（E</w:t>
            </w:r>
            <w:r>
              <w:rPr>
                <w:rFonts w:asciiTheme="minorEastAsia" w:hAnsiTheme="minorEastAsia"/>
                <w:bCs/>
                <w:spacing w:val="10"/>
                <w:sz w:val="15"/>
                <w:szCs w:val="15"/>
              </w:rPr>
              <w:t>O</w:t>
            </w: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）</w:t>
            </w:r>
          </w:p>
          <w:p>
            <w:pPr>
              <w:rPr>
                <w:rFonts w:asciiTheme="minorEastAsia" w:hAnsiTheme="minorEastAsia"/>
                <w:bCs/>
                <w:spacing w:val="10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辅助、危险作业控制防雷检测、手持电动工具、公用工程（如配电室、尾气处理设备、消防控制系统等）【适用时】，辅助设施（适用时，可包括车辆控制、保洁、门卫）等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Q:5.3/6.2/7.1.3/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F:5.3/6.2/7.1.3/8.2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（厂房/设施）/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8.4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H:2.4.2/2.5.1/3.3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（厂房/设施）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/3.13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E:5.3/6.1.2/6.1.4/6.2/8.1/8.2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O:5.3/6.1.2/6.1.4/6.2/8.1/8.2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B:EO(QFH)</w:t>
            </w:r>
          </w:p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12:30-13:00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午餐休息</w:t>
            </w:r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  <w:r>
              <w:rPr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17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中央厨房及现场</w:t>
            </w: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部门职责、目标管理、前提方案/良好卫生规范现场情况、工作环境、标识和追溯/可追溯性、产品撤回/召回、应急准备和响应、生产和服务提供、产品防护、顾客财产、产品和服务的设计和开发、</w:t>
            </w:r>
            <w:r>
              <w:rPr>
                <w:sz w:val="15"/>
                <w:szCs w:val="15"/>
              </w:rPr>
              <w:t>oprp/ccp的实施</w:t>
            </w:r>
            <w:r>
              <w:rPr>
                <w:rFonts w:hint="eastAsia"/>
                <w:sz w:val="15"/>
                <w:szCs w:val="15"/>
              </w:rPr>
              <w:t>、致敏物管理、食品防护等；环境因素识别及控制、危险源识别及控制、现场运行控制（EO）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Cs/>
                <w:sz w:val="15"/>
                <w:szCs w:val="15"/>
              </w:rPr>
              <w:t>一阶段问题验证【继续审核】</w:t>
            </w:r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Q:5.3/6.2/7.1.4/8.2/8.3/8.5.1/8.5.2/8.5.3/8.5.4/8.5.6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F:5.3/6.2/7.1.4/8.2/8.3/8.4/8.5.4.5/8.9.5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H:2.4.2/2.5.1/3.3/</w:t>
            </w:r>
            <w:r>
              <w:rPr>
                <w:rFonts w:hint="eastAsia" w:eastAsiaTheme="minorEastAsia"/>
                <w:sz w:val="15"/>
                <w:szCs w:val="15"/>
              </w:rPr>
              <w:t>3.4/</w:t>
            </w:r>
            <w:r>
              <w:rPr>
                <w:rFonts w:eastAsiaTheme="minorEastAsia"/>
                <w:sz w:val="15"/>
                <w:szCs w:val="15"/>
              </w:rPr>
              <w:t>3.7/3.9/3.10/3.11/3.13/4.3.4.3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 5.3/6.1.2/6.1.4/6.2/8.1/8.2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O: 5.3/6.1.2/6.1.4/6.2/8.1/8.2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A:QEOFH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13:00-16:00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物流车队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rPr>
                <w:rFonts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部门职责、目标管理、前提方案/良好卫生规范（运输）、</w:t>
            </w: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  <w:lang w:val="en-US" w:eastAsia="zh-CN"/>
              </w:rPr>
              <w:t>OPRP点的实施情况、</w:t>
            </w:r>
            <w:r>
              <w:rPr>
                <w:rFonts w:hint="eastAsia" w:asciiTheme="minorEastAsia" w:hAnsiTheme="minorEastAsia"/>
                <w:bCs/>
                <w:spacing w:val="10"/>
                <w:sz w:val="15"/>
                <w:szCs w:val="15"/>
              </w:rPr>
              <w:t>产品交付及交付后活动、环境因素识别及控制、危险源识别评价和控制、措施的策划，现场运行情况(EO)</w:t>
            </w:r>
            <w:r>
              <w:rPr>
                <w:rFonts w:asciiTheme="minorEastAsia" w:hAnsiTheme="minorEastAsia"/>
                <w:bCs/>
                <w:spacing w:val="10"/>
                <w:sz w:val="15"/>
                <w:szCs w:val="15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Q:5.3/6.2/8.5.5</w:t>
            </w:r>
          </w:p>
          <w:p>
            <w:pPr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F:5.3/6.2/8.2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（运输）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/8.5.4.5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H:2.4.2/2.5.1/3.3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（运输）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E:5.3/6.1.2/6.1.4/6.2/8.1</w:t>
            </w:r>
          </w:p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O:5.3/6.1.2/6.1.4/6.2/8.1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B:EO(QFH)</w:t>
            </w:r>
          </w:p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：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17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财务科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部门职责、目标管理、环境因素识别及控制、危险源识别及控制、现场运行控制（EO）、资源提供、应急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rFonts w:cs="Arial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/O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6.1.2/6.1.4/</w:t>
            </w:r>
            <w:r>
              <w:rPr>
                <w:rFonts w:hint="eastAsia"/>
                <w:sz w:val="15"/>
                <w:szCs w:val="15"/>
              </w:rPr>
              <w:t>7.1/</w:t>
            </w:r>
            <w:r>
              <w:rPr>
                <w:sz w:val="15"/>
                <w:szCs w:val="15"/>
              </w:rPr>
              <w:t>8.1/</w:t>
            </w:r>
            <w:r>
              <w:rPr>
                <w:rFonts w:hint="eastAsia"/>
                <w:sz w:val="15"/>
                <w:szCs w:val="15"/>
              </w:rPr>
              <w:t>8.2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B:EO</w:t>
            </w:r>
          </w:p>
          <w:p>
            <w:pPr>
              <w:pStyle w:val="2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:实习E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第二天审核结束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全天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第3天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616" w:type="dxa"/>
            <w:shd w:val="clear" w:color="auto" w:fill="auto"/>
          </w:tcPr>
          <w:p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8: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：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中央厨房及现场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部门职责、目标管理、前提方案/良好卫生规范现场情况、工作环境、标识和追溯/可追溯性、产品撤回/召回、应急准备和响应、生产和服务提供、产品防护、顾客财产、产品和服务的设计和开发、</w:t>
            </w:r>
            <w:r>
              <w:rPr>
                <w:sz w:val="15"/>
                <w:szCs w:val="15"/>
                <w:highlight w:val="none"/>
              </w:rPr>
              <w:t>oprp/ccp的实施</w:t>
            </w:r>
            <w:r>
              <w:rPr>
                <w:rFonts w:hint="eastAsia"/>
                <w:sz w:val="15"/>
                <w:szCs w:val="15"/>
                <w:highlight w:val="none"/>
              </w:rPr>
              <w:t>、致敏物管理、食品防护等；环境因素识别及控制、危险源识别及控制、现场运行控制（EO）</w:t>
            </w:r>
          </w:p>
          <w:p>
            <w:pPr>
              <w:rPr>
                <w:rFonts w:asciiTheme="minorEastAsia" w:hAnsiTheme="minorEastAsia"/>
                <w:bCs/>
                <w:spacing w:val="10"/>
                <w:sz w:val="15"/>
                <w:szCs w:val="15"/>
                <w:highlight w:val="none"/>
              </w:rPr>
            </w:pPr>
            <w:r>
              <w:rPr>
                <w:rFonts w:hint="eastAsia"/>
                <w:bCs/>
                <w:sz w:val="15"/>
                <w:szCs w:val="15"/>
                <w:highlight w:val="none"/>
              </w:rPr>
              <w:t>一阶段问题验证【继续审核】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rFonts w:eastAsiaTheme="minorEastAsia"/>
                <w:sz w:val="15"/>
                <w:szCs w:val="15"/>
                <w:highlight w:val="none"/>
              </w:rPr>
            </w:pPr>
            <w:r>
              <w:rPr>
                <w:rFonts w:eastAsiaTheme="minorEastAsia"/>
                <w:sz w:val="15"/>
                <w:szCs w:val="15"/>
                <w:highlight w:val="none"/>
              </w:rPr>
              <w:t>Q:5.3/6.2/7.1.4/8.2/8.3/8.5.1/8.5.2/8.5.3/8.5.4/8.5.6</w:t>
            </w:r>
          </w:p>
          <w:p>
            <w:pPr>
              <w:rPr>
                <w:rFonts w:eastAsiaTheme="minorEastAsia"/>
                <w:sz w:val="15"/>
                <w:szCs w:val="15"/>
                <w:highlight w:val="none"/>
              </w:rPr>
            </w:pPr>
            <w:r>
              <w:rPr>
                <w:rFonts w:eastAsiaTheme="minorEastAsia"/>
                <w:sz w:val="15"/>
                <w:szCs w:val="15"/>
                <w:highlight w:val="none"/>
              </w:rPr>
              <w:t>F:5.3/6.2/7.1.4/8.2/8.3/8.4/8.5.4.5/8.9.5</w:t>
            </w:r>
          </w:p>
          <w:p>
            <w:pPr>
              <w:rPr>
                <w:rFonts w:eastAsiaTheme="minorEastAsia"/>
                <w:sz w:val="15"/>
                <w:szCs w:val="15"/>
                <w:highlight w:val="none"/>
              </w:rPr>
            </w:pPr>
            <w:r>
              <w:rPr>
                <w:rFonts w:eastAsiaTheme="minorEastAsia"/>
                <w:sz w:val="15"/>
                <w:szCs w:val="15"/>
                <w:highlight w:val="none"/>
              </w:rPr>
              <w:t>H:2.4.2/2.5.1/3.3/</w:t>
            </w:r>
            <w:r>
              <w:rPr>
                <w:rFonts w:hint="eastAsia" w:eastAsiaTheme="minorEastAsia"/>
                <w:sz w:val="15"/>
                <w:szCs w:val="15"/>
                <w:highlight w:val="none"/>
              </w:rPr>
              <w:t>3.4/</w:t>
            </w:r>
            <w:r>
              <w:rPr>
                <w:rFonts w:eastAsiaTheme="minorEastAsia"/>
                <w:sz w:val="15"/>
                <w:szCs w:val="15"/>
                <w:highlight w:val="none"/>
              </w:rPr>
              <w:t>3.7/3.9/3.10/3.11/3.13/4.3.4.3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E: 5.3/6.1.2/6.1.4/6.2/8.1/8.2</w:t>
            </w:r>
          </w:p>
          <w:p>
            <w:pP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O: 5.3/6.1.2/6.1.4/6.2/8.1/8.2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A:</w:t>
            </w:r>
            <w:r>
              <w:rPr>
                <w:sz w:val="15"/>
                <w:szCs w:val="15"/>
                <w:highlight w:val="none"/>
              </w:rPr>
              <w:t>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8: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：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行政科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部门职责、目标管理、人员、能力、意识、沟通、持证上岗人员、健康证、文件和记录管理、组织的知识、环境因素、合规义务/法律法规要求和其他要求的确定、</w:t>
            </w:r>
            <w:r>
              <w:rPr>
                <w:sz w:val="15"/>
                <w:szCs w:val="15"/>
                <w:highlight w:val="none"/>
              </w:rPr>
              <w:t>合规性评价</w:t>
            </w:r>
            <w:r>
              <w:rPr>
                <w:rFonts w:hint="eastAsia"/>
                <w:sz w:val="15"/>
                <w:szCs w:val="15"/>
                <w:highlight w:val="none"/>
              </w:rPr>
              <w:t>，危险源辨识及风险和机遇的评价、措施的策划、现场运行情况(EO)、事件不符合和纠正措施，应急准备和响应【EO】、环境/职业健康安全绩效控制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内部审核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Q：5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7.1.2</w:t>
            </w:r>
            <w:r>
              <w:rPr>
                <w:sz w:val="15"/>
                <w:szCs w:val="15"/>
                <w:highlight w:val="none"/>
              </w:rPr>
              <w:t>/</w:t>
            </w:r>
            <w:r>
              <w:rPr>
                <w:rFonts w:hint="eastAsia"/>
                <w:sz w:val="15"/>
                <w:szCs w:val="15"/>
                <w:highlight w:val="none"/>
              </w:rPr>
              <w:t>7.1.6/</w:t>
            </w:r>
            <w:r>
              <w:rPr>
                <w:sz w:val="15"/>
                <w:szCs w:val="15"/>
                <w:highlight w:val="none"/>
              </w:rPr>
              <w:t>7.2/7.3/7.4/</w:t>
            </w:r>
          </w:p>
          <w:p>
            <w:pPr>
              <w:rPr>
                <w:rFonts w:hint="default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sz w:val="15"/>
                <w:szCs w:val="15"/>
                <w:highlight w:val="none"/>
              </w:rPr>
              <w:t>7.5</w:t>
            </w:r>
            <w:r>
              <w:rPr>
                <w:rFonts w:hint="eastAsia"/>
                <w:sz w:val="15"/>
                <w:szCs w:val="15"/>
                <w:highlight w:val="none"/>
              </w:rPr>
              <w:t>.2/7.5.3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/9.2</w:t>
            </w:r>
          </w:p>
          <w:p>
            <w:pPr>
              <w:rPr>
                <w:rFonts w:eastAsiaTheme="minorEastAsia"/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F</w:t>
            </w:r>
            <w:r>
              <w:rPr>
                <w:rFonts w:hint="eastAsia"/>
                <w:sz w:val="15"/>
                <w:szCs w:val="15"/>
                <w:highlight w:val="none"/>
              </w:rPr>
              <w:t>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7.1.2</w:t>
            </w:r>
            <w:r>
              <w:rPr>
                <w:sz w:val="15"/>
                <w:szCs w:val="15"/>
                <w:highlight w:val="none"/>
              </w:rPr>
              <w:t>/7.2/7.3/7.4/7.5</w:t>
            </w:r>
            <w:r>
              <w:rPr>
                <w:rFonts w:hint="eastAsia"/>
                <w:sz w:val="15"/>
                <w:szCs w:val="15"/>
                <w:highlight w:val="none"/>
              </w:rPr>
              <w:t>.2/7.5.3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/9.2</w:t>
            </w:r>
          </w:p>
          <w:p>
            <w:pPr>
              <w:rPr>
                <w:rFonts w:hint="default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sz w:val="15"/>
                <w:szCs w:val="15"/>
                <w:highlight w:val="none"/>
              </w:rPr>
              <w:t>H:1.2.3/1.2.4/2.4.2/2.5.1/2.5.2.1/3.2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/5.3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E/O:</w:t>
            </w:r>
            <w:r>
              <w:rPr>
                <w:rFonts w:hint="eastAsia"/>
                <w:sz w:val="15"/>
                <w:szCs w:val="15"/>
                <w:highlight w:val="none"/>
              </w:rPr>
              <w:t>5.3/</w:t>
            </w:r>
            <w:r>
              <w:rPr>
                <w:sz w:val="15"/>
                <w:szCs w:val="15"/>
                <w:highlight w:val="none"/>
              </w:rPr>
              <w:t>6.1.2/</w:t>
            </w:r>
            <w:r>
              <w:rPr>
                <w:rFonts w:hint="eastAsia"/>
                <w:sz w:val="15"/>
                <w:szCs w:val="15"/>
                <w:highlight w:val="none"/>
              </w:rPr>
              <w:t>6.1.3/</w:t>
            </w:r>
            <w:r>
              <w:rPr>
                <w:sz w:val="15"/>
                <w:szCs w:val="15"/>
                <w:highlight w:val="none"/>
              </w:rPr>
              <w:t>6.1.4/6.2/7.2/7.3/7.4/7.5</w:t>
            </w:r>
            <w:r>
              <w:rPr>
                <w:rFonts w:hint="eastAsia"/>
                <w:sz w:val="15"/>
                <w:szCs w:val="15"/>
                <w:highlight w:val="none"/>
              </w:rPr>
              <w:t>.2/7.5.3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sz w:val="15"/>
                <w:szCs w:val="15"/>
                <w:highlight w:val="none"/>
              </w:rPr>
              <w:t>8.1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8</w:t>
            </w:r>
            <w:r>
              <w:rPr>
                <w:rFonts w:hint="eastAsia"/>
                <w:sz w:val="15"/>
                <w:szCs w:val="15"/>
                <w:highlight w:val="none"/>
              </w:rPr>
              <w:t>.</w:t>
            </w:r>
            <w:r>
              <w:rPr>
                <w:sz w:val="15"/>
                <w:szCs w:val="15"/>
                <w:highlight w:val="none"/>
              </w:rPr>
              <w:t>2/</w:t>
            </w:r>
            <w:r>
              <w:rPr>
                <w:rFonts w:hint="eastAsia"/>
                <w:sz w:val="15"/>
                <w:szCs w:val="15"/>
                <w:highlight w:val="none"/>
              </w:rPr>
              <w:t>9.1</w:t>
            </w:r>
            <w:r>
              <w:rPr>
                <w:sz w:val="15"/>
                <w:szCs w:val="15"/>
                <w:highlight w:val="none"/>
              </w:rPr>
              <w:t>.1</w:t>
            </w:r>
            <w:r>
              <w:rPr>
                <w:rFonts w:hint="eastAsia"/>
                <w:sz w:val="15"/>
                <w:szCs w:val="15"/>
                <w:highlight w:val="none"/>
              </w:rPr>
              <w:t>/9.1.2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/9.2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B:EO(QFH)</w:t>
            </w:r>
          </w:p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C</w:t>
            </w:r>
            <w:r>
              <w:rPr>
                <w:rFonts w:hint="eastAsia"/>
                <w:sz w:val="15"/>
                <w:szCs w:val="15"/>
                <w:highlight w:val="none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12:30-13:00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午餐休息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AB</w:t>
            </w:r>
            <w:r>
              <w:rPr>
                <w:sz w:val="15"/>
                <w:szCs w:val="15"/>
                <w:highlight w:val="non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宋体" w:hAnsi="宋体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  <w:t>13:00-17:00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采购科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职责和权限、目标管理，供应商管理，采购管理/外部提供的过程产品及服务的控制、食品欺诈预防、沟通；环境因素识别及控制危险源识别评价和控制、措施的策划，现场运行情况(EO)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cs="Arial"/>
                <w:sz w:val="15"/>
                <w:szCs w:val="15"/>
                <w:highlight w:val="none"/>
              </w:rPr>
              <w:t>Q</w:t>
            </w:r>
            <w:r>
              <w:rPr>
                <w:rFonts w:hint="eastAsia" w:cs="Arial"/>
                <w:sz w:val="15"/>
                <w:szCs w:val="15"/>
                <w:highlight w:val="none"/>
              </w:rPr>
              <w:t>:</w:t>
            </w:r>
            <w:r>
              <w:rPr>
                <w:rFonts w:hint="eastAsia"/>
                <w:sz w:val="15"/>
                <w:szCs w:val="15"/>
                <w:highlight w:val="none"/>
              </w:rPr>
              <w:t>5.3/6.2/7.4/</w:t>
            </w:r>
            <w:r>
              <w:rPr>
                <w:sz w:val="15"/>
                <w:szCs w:val="15"/>
                <w:highlight w:val="none"/>
              </w:rPr>
              <w:t>8.4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cs="Arial"/>
                <w:sz w:val="15"/>
                <w:szCs w:val="15"/>
                <w:highlight w:val="none"/>
              </w:rPr>
              <w:t>F</w:t>
            </w:r>
            <w:r>
              <w:rPr>
                <w:rFonts w:hint="eastAsia" w:cs="Arial"/>
                <w:sz w:val="15"/>
                <w:szCs w:val="15"/>
                <w:highlight w:val="none"/>
              </w:rPr>
              <w:t>:</w:t>
            </w:r>
            <w:r>
              <w:rPr>
                <w:rFonts w:hint="eastAsia"/>
                <w:sz w:val="15"/>
                <w:szCs w:val="15"/>
                <w:highlight w:val="none"/>
              </w:rPr>
              <w:t>5.3/6.2/7.1.6/7.4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cs="Arial"/>
                <w:sz w:val="15"/>
                <w:szCs w:val="15"/>
                <w:highlight w:val="none"/>
              </w:rPr>
              <w:t>O</w:t>
            </w:r>
            <w:r>
              <w:rPr>
                <w:rFonts w:hint="eastAsia" w:cs="Arial"/>
                <w:sz w:val="15"/>
                <w:szCs w:val="15"/>
                <w:highlight w:val="none"/>
              </w:rPr>
              <w:t>:</w:t>
            </w:r>
            <w:r>
              <w:rPr>
                <w:rFonts w:hint="eastAsia"/>
                <w:sz w:val="15"/>
                <w:szCs w:val="15"/>
                <w:highlight w:val="none"/>
              </w:rPr>
              <w:t>5.3/6.1</w:t>
            </w:r>
            <w:r>
              <w:rPr>
                <w:sz w:val="15"/>
                <w:szCs w:val="15"/>
                <w:highlight w:val="none"/>
              </w:rPr>
              <w:t>.2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6.1.4</w:t>
            </w:r>
            <w:r>
              <w:rPr>
                <w:rFonts w:hint="eastAsia"/>
                <w:sz w:val="15"/>
                <w:szCs w:val="15"/>
                <w:highlight w:val="none"/>
              </w:rPr>
              <w:t>/6.2/7.4/8</w:t>
            </w:r>
            <w:r>
              <w:rPr>
                <w:sz w:val="15"/>
                <w:szCs w:val="15"/>
                <w:highlight w:val="none"/>
              </w:rPr>
              <w:t>.1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 w:cs="Arial"/>
                <w:sz w:val="15"/>
                <w:szCs w:val="15"/>
                <w:highlight w:val="none"/>
              </w:rPr>
              <w:t>E:</w:t>
            </w:r>
            <w:r>
              <w:rPr>
                <w:rFonts w:hint="eastAsia"/>
                <w:sz w:val="15"/>
                <w:szCs w:val="15"/>
                <w:highlight w:val="none"/>
              </w:rPr>
              <w:t>5.3/6.1</w:t>
            </w:r>
            <w:r>
              <w:rPr>
                <w:sz w:val="15"/>
                <w:szCs w:val="15"/>
                <w:highlight w:val="none"/>
              </w:rPr>
              <w:t>.2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6.1.4</w:t>
            </w:r>
            <w:r>
              <w:rPr>
                <w:rFonts w:hint="eastAsia"/>
                <w:sz w:val="15"/>
                <w:szCs w:val="15"/>
                <w:highlight w:val="none"/>
              </w:rPr>
              <w:t>/6.2/7.4/8</w:t>
            </w:r>
            <w:r>
              <w:rPr>
                <w:sz w:val="15"/>
                <w:szCs w:val="15"/>
                <w:highlight w:val="none"/>
              </w:rPr>
              <w:t>.1</w:t>
            </w:r>
          </w:p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H：2.4.2/2.5.1/2.5.2.3/3.5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3.12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B:EO(QFH)</w:t>
            </w:r>
          </w:p>
          <w:p>
            <w:pPr>
              <w:pStyle w:val="2"/>
              <w:spacing w:before="0" w:after="0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C</w:t>
            </w:r>
            <w:r>
              <w:rPr>
                <w:rFonts w:hint="eastAsia"/>
                <w:sz w:val="15"/>
                <w:szCs w:val="15"/>
                <w:highlight w:val="none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  <w:t>13:00-17:00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pStyle w:val="2"/>
              <w:spacing w:before="0"/>
              <w:rPr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品控科及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现场</w:t>
            </w: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部门职责、目标</w:t>
            </w:r>
            <w:r>
              <w:rPr>
                <w:rFonts w:hint="eastAsia"/>
                <w:sz w:val="15"/>
                <w:szCs w:val="15"/>
                <w:highlight w:val="none"/>
              </w:rPr>
              <w:t>管理</w:t>
            </w:r>
            <w:r>
              <w:rPr>
                <w:sz w:val="15"/>
                <w:szCs w:val="15"/>
                <w:highlight w:val="none"/>
              </w:rPr>
              <w:t>、监视和测量</w:t>
            </w:r>
            <w:r>
              <w:rPr>
                <w:rFonts w:hint="eastAsia"/>
                <w:sz w:val="15"/>
                <w:szCs w:val="15"/>
                <w:highlight w:val="none"/>
              </w:rPr>
              <w:t>资源</w:t>
            </w:r>
            <w:r>
              <w:rPr>
                <w:sz w:val="15"/>
                <w:szCs w:val="15"/>
                <w:highlight w:val="none"/>
              </w:rPr>
              <w:t>的控制、产品放行、</w:t>
            </w:r>
            <w:r>
              <w:rPr>
                <w:rFonts w:hint="eastAsia"/>
                <w:sz w:val="15"/>
                <w:szCs w:val="15"/>
                <w:highlight w:val="none"/>
              </w:rPr>
              <w:t>验证、</w:t>
            </w:r>
            <w:r>
              <w:rPr>
                <w:sz w:val="15"/>
                <w:szCs w:val="15"/>
                <w:highlight w:val="none"/>
              </w:rPr>
              <w:t>oprp/ccp的实施</w:t>
            </w:r>
            <w:r>
              <w:rPr>
                <w:rFonts w:hint="eastAsia"/>
                <w:sz w:val="15"/>
                <w:szCs w:val="15"/>
                <w:highlight w:val="none"/>
              </w:rPr>
              <w:t>、</w:t>
            </w:r>
            <w:r>
              <w:rPr>
                <w:sz w:val="15"/>
                <w:szCs w:val="15"/>
                <w:highlight w:val="none"/>
              </w:rPr>
              <w:t>不合格品</w:t>
            </w:r>
            <w:r>
              <w:rPr>
                <w:rFonts w:hint="eastAsia"/>
                <w:sz w:val="15"/>
                <w:szCs w:val="15"/>
                <w:highlight w:val="none"/>
              </w:rPr>
              <w:t>的控制</w:t>
            </w:r>
            <w:r>
              <w:rPr>
                <w:sz w:val="15"/>
                <w:szCs w:val="15"/>
                <w:highlight w:val="none"/>
              </w:rPr>
              <w:t>/产品和过程的不合格项控制</w:t>
            </w:r>
            <w:r>
              <w:rPr>
                <w:rFonts w:hint="eastAsia"/>
                <w:sz w:val="15"/>
                <w:szCs w:val="15"/>
                <w:highlight w:val="none"/>
              </w:rPr>
              <w:t>、</w:t>
            </w:r>
            <w:r>
              <w:rPr>
                <w:sz w:val="15"/>
                <w:szCs w:val="15"/>
                <w:highlight w:val="none"/>
              </w:rPr>
              <w:t>环境因素识别和危险源辨识和评价，目标指标和管理方案</w:t>
            </w:r>
            <w:r>
              <w:rPr>
                <w:rFonts w:hint="eastAsia"/>
                <w:sz w:val="15"/>
                <w:szCs w:val="15"/>
                <w:highlight w:val="none"/>
              </w:rPr>
              <w:t>、分析和评估、环境因素、危险源辨识及评价、措施的策划、现场运行情况(EO)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Q：5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</w:t>
            </w:r>
            <w:r>
              <w:rPr>
                <w:sz w:val="15"/>
                <w:szCs w:val="15"/>
                <w:highlight w:val="none"/>
              </w:rPr>
              <w:t>5/8.6/8.7</w:t>
            </w:r>
            <w:r>
              <w:rPr>
                <w:rFonts w:hint="eastAsia"/>
                <w:sz w:val="15"/>
                <w:szCs w:val="15"/>
                <w:highlight w:val="none"/>
              </w:rPr>
              <w:t>/9.1.3</w:t>
            </w:r>
          </w:p>
          <w:p>
            <w:pPr>
              <w:pStyle w:val="2"/>
              <w:spacing w:before="0"/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E/O:5.3/6.1.2/6.1.4/6.2/8.1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F</w:t>
            </w:r>
            <w:r>
              <w:rPr>
                <w:rFonts w:hint="eastAsia"/>
                <w:sz w:val="15"/>
                <w:szCs w:val="15"/>
                <w:highlight w:val="none"/>
              </w:rPr>
              <w:t>:5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6.2/8.5.4.5/8.7/</w:t>
            </w:r>
            <w:r>
              <w:rPr>
                <w:rFonts w:hint="eastAsia"/>
                <w:sz w:val="15"/>
                <w:szCs w:val="15"/>
                <w:highlight w:val="none"/>
              </w:rPr>
              <w:t>8.8.1/</w:t>
            </w:r>
            <w:r>
              <w:rPr>
                <w:sz w:val="15"/>
                <w:szCs w:val="15"/>
                <w:highlight w:val="none"/>
              </w:rPr>
              <w:t>8.9</w:t>
            </w:r>
            <w:r>
              <w:rPr>
                <w:rFonts w:hint="eastAsia"/>
                <w:sz w:val="15"/>
                <w:szCs w:val="15"/>
                <w:highlight w:val="none"/>
              </w:rPr>
              <w:t>.1-8.9.4/</w:t>
            </w:r>
            <w:r>
              <w:rPr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/>
                <w:sz w:val="15"/>
                <w:szCs w:val="15"/>
                <w:highlight w:val="none"/>
              </w:rPr>
              <w:t>9.1.2/</w:t>
            </w:r>
          </w:p>
          <w:p>
            <w:pPr>
              <w:pStyle w:val="2"/>
              <w:spacing w:before="0"/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H:2.4.2/2.5.1</w:t>
            </w:r>
            <w:r>
              <w:rPr>
                <w:rFonts w:hint="eastAsia"/>
                <w:sz w:val="15"/>
                <w:szCs w:val="15"/>
                <w:highlight w:val="none"/>
              </w:rPr>
              <w:t>/3.8/3.6/</w:t>
            </w:r>
            <w:r>
              <w:rPr>
                <w:sz w:val="15"/>
                <w:szCs w:val="15"/>
                <w:highlight w:val="none"/>
              </w:rPr>
              <w:t>4.3.4.3</w:t>
            </w:r>
            <w:r>
              <w:rPr>
                <w:rFonts w:hint="eastAsia"/>
                <w:sz w:val="15"/>
                <w:szCs w:val="15"/>
                <w:highlight w:val="none"/>
              </w:rPr>
              <w:t>/4.5</w:t>
            </w:r>
            <w:r>
              <w:rPr>
                <w:sz w:val="15"/>
                <w:szCs w:val="15"/>
                <w:highlight w:val="none"/>
              </w:rPr>
              <w:t>/5.1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A:</w:t>
            </w:r>
            <w:r>
              <w:rPr>
                <w:sz w:val="15"/>
                <w:szCs w:val="15"/>
                <w:highlight w:val="none"/>
              </w:rPr>
              <w:t>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第三天审核结束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  <w:highlight w:val="none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spacing w:before="0"/>
              <w:rPr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2上午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第四天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rFonts w:hint="eastAsia"/>
                <w:sz w:val="15"/>
                <w:szCs w:val="15"/>
              </w:rPr>
            </w:pP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spacing w:before="0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  <w:t>8:00-10:30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品控科及</w:t>
            </w:r>
            <w:r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  <w:t>现场</w:t>
            </w: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部门职责、目标</w:t>
            </w:r>
            <w:r>
              <w:rPr>
                <w:rFonts w:hint="eastAsia"/>
                <w:sz w:val="15"/>
                <w:szCs w:val="15"/>
                <w:highlight w:val="none"/>
              </w:rPr>
              <w:t>管理</w:t>
            </w:r>
            <w:r>
              <w:rPr>
                <w:sz w:val="15"/>
                <w:szCs w:val="15"/>
                <w:highlight w:val="none"/>
              </w:rPr>
              <w:t>、监视和测量</w:t>
            </w:r>
            <w:r>
              <w:rPr>
                <w:rFonts w:hint="eastAsia"/>
                <w:sz w:val="15"/>
                <w:szCs w:val="15"/>
                <w:highlight w:val="none"/>
              </w:rPr>
              <w:t>资源</w:t>
            </w:r>
            <w:r>
              <w:rPr>
                <w:sz w:val="15"/>
                <w:szCs w:val="15"/>
                <w:highlight w:val="none"/>
              </w:rPr>
              <w:t>的控制、产品放行、</w:t>
            </w:r>
            <w:r>
              <w:rPr>
                <w:rFonts w:hint="eastAsia"/>
                <w:sz w:val="15"/>
                <w:szCs w:val="15"/>
                <w:highlight w:val="none"/>
              </w:rPr>
              <w:t>验证、</w:t>
            </w:r>
            <w:r>
              <w:rPr>
                <w:sz w:val="15"/>
                <w:szCs w:val="15"/>
                <w:highlight w:val="none"/>
              </w:rPr>
              <w:t>oprp/ccp的实施</w:t>
            </w:r>
            <w:r>
              <w:rPr>
                <w:rFonts w:hint="eastAsia"/>
                <w:sz w:val="15"/>
                <w:szCs w:val="15"/>
                <w:highlight w:val="none"/>
              </w:rPr>
              <w:t>、</w:t>
            </w:r>
            <w:r>
              <w:rPr>
                <w:sz w:val="15"/>
                <w:szCs w:val="15"/>
                <w:highlight w:val="none"/>
              </w:rPr>
              <w:t>不合格品</w:t>
            </w:r>
            <w:r>
              <w:rPr>
                <w:rFonts w:hint="eastAsia"/>
                <w:sz w:val="15"/>
                <w:szCs w:val="15"/>
                <w:highlight w:val="none"/>
              </w:rPr>
              <w:t>的控制</w:t>
            </w:r>
            <w:r>
              <w:rPr>
                <w:sz w:val="15"/>
                <w:szCs w:val="15"/>
                <w:highlight w:val="none"/>
              </w:rPr>
              <w:t>/产品和过程的不合格项控制</w:t>
            </w:r>
            <w:r>
              <w:rPr>
                <w:rFonts w:hint="eastAsia"/>
                <w:sz w:val="15"/>
                <w:szCs w:val="15"/>
                <w:highlight w:val="none"/>
              </w:rPr>
              <w:t>、</w:t>
            </w:r>
            <w:r>
              <w:rPr>
                <w:sz w:val="15"/>
                <w:szCs w:val="15"/>
                <w:highlight w:val="none"/>
              </w:rPr>
              <w:t>环境因素识别和危险源辨识和评价，目标指标和管理方案</w:t>
            </w:r>
            <w:r>
              <w:rPr>
                <w:rFonts w:hint="eastAsia"/>
                <w:sz w:val="15"/>
                <w:szCs w:val="15"/>
                <w:highlight w:val="none"/>
              </w:rPr>
              <w:t>、分析和评估、环境因素、危险源辨识及评价、措施的策划、现场运行情况(EO)</w:t>
            </w:r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Q：5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</w:t>
            </w:r>
            <w:r>
              <w:rPr>
                <w:sz w:val="15"/>
                <w:szCs w:val="15"/>
                <w:highlight w:val="none"/>
              </w:rPr>
              <w:t>5/8.6/8.7</w:t>
            </w:r>
            <w:r>
              <w:rPr>
                <w:rFonts w:hint="eastAsia"/>
                <w:sz w:val="15"/>
                <w:szCs w:val="15"/>
                <w:highlight w:val="none"/>
              </w:rPr>
              <w:t>/9.1.3</w:t>
            </w:r>
          </w:p>
          <w:p>
            <w:pPr>
              <w:pStyle w:val="2"/>
              <w:spacing w:before="0"/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E/O:5.3/6.1.2/6.1.4/6.2/8.1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F</w:t>
            </w:r>
            <w:r>
              <w:rPr>
                <w:rFonts w:hint="eastAsia"/>
                <w:sz w:val="15"/>
                <w:szCs w:val="15"/>
                <w:highlight w:val="none"/>
              </w:rPr>
              <w:t>:5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6.2/8.5.4.5/8.7/</w:t>
            </w:r>
            <w:r>
              <w:rPr>
                <w:rFonts w:hint="eastAsia"/>
                <w:sz w:val="15"/>
                <w:szCs w:val="15"/>
                <w:highlight w:val="none"/>
              </w:rPr>
              <w:t>8.8.1/</w:t>
            </w:r>
            <w:r>
              <w:rPr>
                <w:sz w:val="15"/>
                <w:szCs w:val="15"/>
                <w:highlight w:val="none"/>
              </w:rPr>
              <w:t>8.9</w:t>
            </w:r>
            <w:r>
              <w:rPr>
                <w:rFonts w:hint="eastAsia"/>
                <w:sz w:val="15"/>
                <w:szCs w:val="15"/>
                <w:highlight w:val="none"/>
              </w:rPr>
              <w:t>.1-8.9.4/</w:t>
            </w:r>
            <w:r>
              <w:rPr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/>
                <w:sz w:val="15"/>
                <w:szCs w:val="15"/>
                <w:highlight w:val="none"/>
              </w:rPr>
              <w:t>9.1.2/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H:2.4.2/2.5.1</w:t>
            </w:r>
            <w:r>
              <w:rPr>
                <w:rFonts w:hint="eastAsia"/>
                <w:sz w:val="15"/>
                <w:szCs w:val="15"/>
                <w:highlight w:val="none"/>
              </w:rPr>
              <w:t>/3.8/3.6/</w:t>
            </w:r>
            <w:r>
              <w:rPr>
                <w:sz w:val="15"/>
                <w:szCs w:val="15"/>
                <w:highlight w:val="none"/>
              </w:rPr>
              <w:t>4.3.4.3</w:t>
            </w:r>
            <w:r>
              <w:rPr>
                <w:rFonts w:hint="eastAsia"/>
                <w:sz w:val="15"/>
                <w:szCs w:val="15"/>
                <w:highlight w:val="none"/>
              </w:rPr>
              <w:t>/4.5</w:t>
            </w:r>
            <w:r>
              <w:rPr>
                <w:sz w:val="15"/>
                <w:szCs w:val="15"/>
                <w:highlight w:val="none"/>
              </w:rPr>
              <w:t>/5.1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A:</w:t>
            </w:r>
            <w:r>
              <w:rPr>
                <w:sz w:val="15"/>
                <w:szCs w:val="15"/>
                <w:highlight w:val="none"/>
              </w:rPr>
              <w:t>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  <w:t>8:00-10:30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  <w:t>业务部</w:t>
            </w: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部门职责、目标管理、产品和服务的要求、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交付后的活动/</w:t>
            </w:r>
            <w:r>
              <w:rPr>
                <w:rFonts w:hint="eastAsia"/>
                <w:sz w:val="15"/>
                <w:szCs w:val="15"/>
                <w:highlight w:val="none"/>
              </w:rPr>
              <w:t>投诉处理、顾客满意、顾客沟通、环境因素识别及控制、危险源识别评价和控制，措施的策划、现场运行情况(EO)、撤回召回情况</w:t>
            </w:r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pStyle w:val="2"/>
              <w:spacing w:before="0"/>
              <w:rPr>
                <w:bCs w:val="0"/>
                <w:spacing w:val="0"/>
                <w:sz w:val="15"/>
                <w:szCs w:val="15"/>
                <w:highlight w:val="none"/>
              </w:rPr>
            </w:pPr>
            <w:r>
              <w:rPr>
                <w:rFonts w:hint="eastAsia"/>
                <w:bCs w:val="0"/>
                <w:spacing w:val="0"/>
                <w:sz w:val="15"/>
                <w:szCs w:val="15"/>
                <w:highlight w:val="none"/>
              </w:rPr>
              <w:t>Q</w:t>
            </w:r>
            <w:r>
              <w:rPr>
                <w:bCs w:val="0"/>
                <w:spacing w:val="0"/>
                <w:sz w:val="15"/>
                <w:szCs w:val="15"/>
                <w:highlight w:val="none"/>
              </w:rPr>
              <w:t>:5.3/6.2/8.2/</w:t>
            </w:r>
            <w:r>
              <w:rPr>
                <w:rFonts w:hint="eastAsia"/>
                <w:bCs w:val="0"/>
                <w:spacing w:val="0"/>
                <w:sz w:val="15"/>
                <w:szCs w:val="15"/>
                <w:highlight w:val="none"/>
                <w:lang w:val="en-US" w:eastAsia="zh-CN"/>
              </w:rPr>
              <w:t>8.5.5/</w:t>
            </w:r>
            <w:r>
              <w:rPr>
                <w:bCs w:val="0"/>
                <w:spacing w:val="0"/>
                <w:sz w:val="15"/>
                <w:szCs w:val="15"/>
                <w:highlight w:val="none"/>
              </w:rPr>
              <w:t>9.1.2</w:t>
            </w:r>
          </w:p>
          <w:p>
            <w:pPr>
              <w:pStyle w:val="2"/>
              <w:spacing w:before="0"/>
              <w:rPr>
                <w:bCs w:val="0"/>
                <w:spacing w:val="0"/>
                <w:sz w:val="15"/>
                <w:szCs w:val="15"/>
                <w:highlight w:val="none"/>
              </w:rPr>
            </w:pPr>
            <w:r>
              <w:rPr>
                <w:bCs w:val="0"/>
                <w:spacing w:val="0"/>
                <w:sz w:val="15"/>
                <w:szCs w:val="15"/>
                <w:highlight w:val="none"/>
              </w:rPr>
              <w:t>F:5.3/6.2/7.4/8.9.5</w:t>
            </w:r>
          </w:p>
          <w:p>
            <w:pPr>
              <w:pStyle w:val="2"/>
              <w:spacing w:before="0"/>
              <w:rPr>
                <w:bCs w:val="0"/>
                <w:spacing w:val="0"/>
                <w:sz w:val="15"/>
                <w:szCs w:val="15"/>
                <w:highlight w:val="none"/>
              </w:rPr>
            </w:pPr>
            <w:r>
              <w:rPr>
                <w:bCs w:val="0"/>
                <w:spacing w:val="0"/>
                <w:sz w:val="15"/>
                <w:szCs w:val="15"/>
                <w:highlight w:val="none"/>
              </w:rPr>
              <w:t>H:2.4.2/2.5.1/5.2</w:t>
            </w:r>
          </w:p>
          <w:p>
            <w:pPr>
              <w:pStyle w:val="2"/>
              <w:spacing w:before="0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bCs w:val="0"/>
                <w:spacing w:val="0"/>
                <w:sz w:val="15"/>
                <w:szCs w:val="15"/>
                <w:highlight w:val="none"/>
              </w:rPr>
              <w:t>E</w:t>
            </w:r>
            <w:r>
              <w:rPr>
                <w:rFonts w:hint="eastAsia"/>
                <w:bCs w:val="0"/>
                <w:spacing w:val="0"/>
                <w:sz w:val="15"/>
                <w:szCs w:val="15"/>
                <w:highlight w:val="none"/>
              </w:rPr>
              <w:t>/</w:t>
            </w:r>
            <w:r>
              <w:rPr>
                <w:bCs w:val="0"/>
                <w:spacing w:val="0"/>
                <w:sz w:val="15"/>
                <w:szCs w:val="15"/>
                <w:highlight w:val="none"/>
              </w:rPr>
              <w:t>O:5.3/6.1.2/6.1.4/6.2/8.1</w:t>
            </w: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B:EO(QFH)</w:t>
            </w:r>
          </w:p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C</w:t>
            </w:r>
            <w:r>
              <w:rPr>
                <w:rFonts w:hint="eastAsia"/>
                <w:sz w:val="15"/>
                <w:szCs w:val="15"/>
                <w:highlight w:val="none"/>
              </w:rPr>
              <w:t>:QFH实习E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0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补充审核及审核组内部沟通</w:t>
            </w:r>
          </w:p>
          <w:p>
            <w:pPr>
              <w:widowControl/>
              <w:jc w:val="left"/>
              <w:rPr>
                <w:sz w:val="15"/>
                <w:szCs w:val="15"/>
                <w:highlight w:val="none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审核组整理材料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审核组与企业领导、管代沟通</w:t>
            </w:r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AB</w:t>
            </w:r>
            <w:r>
              <w:rPr>
                <w:sz w:val="15"/>
                <w:szCs w:val="15"/>
                <w:highlight w:val="non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30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  <w:highlight w:val="none"/>
              </w:rPr>
              <w:t>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371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末次会议（腾讯会议：</w:t>
            </w:r>
            <w:r>
              <w:rPr>
                <w:sz w:val="15"/>
                <w:szCs w:val="15"/>
                <w:highlight w:val="none"/>
              </w:rPr>
              <w:t>768</w:t>
            </w:r>
            <w:r>
              <w:rPr>
                <w:rFonts w:hint="eastAsia"/>
                <w:sz w:val="15"/>
                <w:szCs w:val="15"/>
                <w:highlight w:val="none"/>
              </w:rPr>
              <w:t>-</w:t>
            </w:r>
            <w:r>
              <w:rPr>
                <w:sz w:val="15"/>
                <w:szCs w:val="15"/>
                <w:highlight w:val="none"/>
              </w:rPr>
              <w:t>968</w:t>
            </w:r>
            <w:r>
              <w:rPr>
                <w:rFonts w:hint="eastAsia"/>
                <w:sz w:val="15"/>
                <w:szCs w:val="15"/>
                <w:highlight w:val="none"/>
              </w:rPr>
              <w:t>-</w:t>
            </w:r>
            <w:r>
              <w:rPr>
                <w:sz w:val="15"/>
                <w:szCs w:val="15"/>
                <w:highlight w:val="none"/>
              </w:rPr>
              <w:t>612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，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变更为：962-694-138</w:t>
            </w:r>
            <w:r>
              <w:rPr>
                <w:rFonts w:hint="eastAsia"/>
                <w:sz w:val="15"/>
                <w:szCs w:val="15"/>
                <w:highlight w:val="none"/>
              </w:rPr>
              <w:t>）</w:t>
            </w:r>
            <w:bookmarkStart w:id="35" w:name="_GoBack"/>
            <w:bookmarkEnd w:id="35"/>
          </w:p>
        </w:tc>
        <w:tc>
          <w:tcPr>
            <w:tcW w:w="261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before="0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AB</w:t>
            </w:r>
            <w:r>
              <w:rPr>
                <w:sz w:val="15"/>
                <w:szCs w:val="15"/>
                <w:highlight w:val="non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12：00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711" w:type="dxa"/>
            <w:shd w:val="clear" w:color="auto" w:fill="auto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审核结束</w:t>
            </w:r>
          </w:p>
        </w:tc>
        <w:tc>
          <w:tcPr>
            <w:tcW w:w="2616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spacing w:before="0"/>
              <w:rPr>
                <w:sz w:val="15"/>
                <w:szCs w:val="15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EJorXAAAACgEA&#10;AA8AAAAAAAAAAQAgAAAAIgAAAGRycy9kb3ducmV2LnhtbFBLAQIUABQAAAAIAIdO4kBB07R8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8A1A4C"/>
    <w:rsid w:val="000C3128"/>
    <w:rsid w:val="000C3D79"/>
    <w:rsid w:val="00180DFA"/>
    <w:rsid w:val="001C49F1"/>
    <w:rsid w:val="002321BE"/>
    <w:rsid w:val="00267798"/>
    <w:rsid w:val="00275F01"/>
    <w:rsid w:val="00297E5E"/>
    <w:rsid w:val="002B69DC"/>
    <w:rsid w:val="002B7E6F"/>
    <w:rsid w:val="003D2CBC"/>
    <w:rsid w:val="00462EEE"/>
    <w:rsid w:val="00643D71"/>
    <w:rsid w:val="00646EC8"/>
    <w:rsid w:val="006F6A7F"/>
    <w:rsid w:val="00874E89"/>
    <w:rsid w:val="00892B66"/>
    <w:rsid w:val="008A1A4C"/>
    <w:rsid w:val="00917266"/>
    <w:rsid w:val="00A1665C"/>
    <w:rsid w:val="00B80122"/>
    <w:rsid w:val="00C1089D"/>
    <w:rsid w:val="00C57C71"/>
    <w:rsid w:val="00D32647"/>
    <w:rsid w:val="00DC4384"/>
    <w:rsid w:val="00F12BEA"/>
    <w:rsid w:val="00F941CE"/>
    <w:rsid w:val="00FB41D3"/>
    <w:rsid w:val="00FC4C5C"/>
    <w:rsid w:val="13EB534D"/>
    <w:rsid w:val="1B610FF3"/>
    <w:rsid w:val="251C7862"/>
    <w:rsid w:val="260D2182"/>
    <w:rsid w:val="312559BB"/>
    <w:rsid w:val="34AE2FBC"/>
    <w:rsid w:val="4B08477A"/>
    <w:rsid w:val="54D83182"/>
    <w:rsid w:val="56534366"/>
    <w:rsid w:val="589543BD"/>
    <w:rsid w:val="6B8F2FA3"/>
    <w:rsid w:val="77646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3499</Words>
  <Characters>6673</Characters>
  <Lines>50</Lines>
  <Paragraphs>14</Paragraphs>
  <TotalTime>15</TotalTime>
  <ScaleCrop>false</ScaleCrop>
  <LinksUpToDate>false</LinksUpToDate>
  <CharactersWithSpaces>6741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2022-05-29T23:39:00Z</dcterms:created>
  <dc:creator>微软用户</dc:creator>
  <cp:lastModifiedBy>肖新龙</cp:lastModifiedBy>
  <dcterms:modified xsi:type="dcterms:W3CDTF">2022-06-02T01:21:23Z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