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left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FSMS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天津可佳餐饮管理有限公司开发区分公司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bookmarkStart w:id="2" w:name="专业代码"/>
            <w:r>
              <w:t>Q：30.05.00</w:t>
            </w:r>
          </w:p>
          <w:p>
            <w:pPr>
              <w:rPr>
                <w:b/>
                <w:sz w:val="20"/>
              </w:rPr>
            </w:pPr>
            <w:r>
              <w:t>H：EF：E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b/>
                <w:sz w:val="20"/>
              </w:rPr>
              <w:t>H：E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任学礼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highlight w:val="yellow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200" w:firstLineChars="10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bookmarkStart w:id="3" w:name="_GoBack"/>
            <w:bookmarkEnd w:id="3"/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提供、金探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QFH:</w:t>
            </w:r>
          </w:p>
          <w:p>
            <w:pPr>
              <w:ind w:firstLine="181" w:firstLineChars="100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</w:p>
          <w:p>
            <w:pPr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19050</wp:posOffset>
            </wp:positionV>
            <wp:extent cx="588645" cy="340360"/>
            <wp:effectExtent l="0" t="0" r="8255" b="2540"/>
            <wp:wrapTight wrapText="bothSides">
              <wp:wrapPolygon>
                <wp:start x="0" y="0"/>
                <wp:lineTo x="0" y="20955"/>
                <wp:lineTo x="20971" y="20955"/>
                <wp:lineTo x="20971" y="0"/>
                <wp:lineTo x="0" y="0"/>
              </wp:wrapPolygon>
            </wp:wrapTight>
            <wp:docPr id="9" name="图片 9" descr="肖新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肖新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/>
          <w:b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2022-05-28</w:t>
      </w: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71120</wp:posOffset>
            </wp:positionV>
            <wp:extent cx="610870" cy="353060"/>
            <wp:effectExtent l="0" t="0" r="11430" b="2540"/>
            <wp:wrapTight wrapText="bothSides">
              <wp:wrapPolygon>
                <wp:start x="0" y="0"/>
                <wp:lineTo x="0" y="20978"/>
                <wp:lineTo x="21106" y="20978"/>
                <wp:lineTo x="21106" y="0"/>
                <wp:lineTo x="0" y="0"/>
              </wp:wrapPolygon>
            </wp:wrapTight>
            <wp:docPr id="10" name="图片 10" descr="肖新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肖新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2022-05-28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天津可佳餐饮管理有限公司开发区分公司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E：30.05.00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t>E：30.05.00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油烟排放——使用吸油烟机；含有废水排放——使用隔油池；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厨余垃圾、生活垃圾排放——由市政单位统一处理或制定具备资质的第三方进行处理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天然气泄露——可燃性气体报警器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熟悉餐饮行业的环境知识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408305</wp:posOffset>
                  </wp:positionV>
                  <wp:extent cx="588645" cy="340360"/>
                  <wp:effectExtent l="0" t="0" r="8255" b="2540"/>
                  <wp:wrapTight wrapText="bothSides">
                    <wp:wrapPolygon>
                      <wp:start x="0" y="0"/>
                      <wp:lineTo x="0" y="20955"/>
                      <wp:lineTo x="20971" y="20955"/>
                      <wp:lineTo x="20971" y="0"/>
                      <wp:lineTo x="0" y="0"/>
                    </wp:wrapPolygon>
                  </wp:wrapTight>
                  <wp:docPr id="3" name="图片 3" descr="肖新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2022-05-28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487045</wp:posOffset>
                  </wp:positionV>
                  <wp:extent cx="588645" cy="340360"/>
                  <wp:effectExtent l="0" t="0" r="8255" b="2540"/>
                  <wp:wrapTight wrapText="bothSides">
                    <wp:wrapPolygon>
                      <wp:start x="0" y="0"/>
                      <wp:lineTo x="0" y="20955"/>
                      <wp:lineTo x="20971" y="20955"/>
                      <wp:lineTo x="20971" y="0"/>
                      <wp:lineTo x="0" y="0"/>
                    </wp:wrapPolygon>
                  </wp:wrapTight>
                  <wp:docPr id="4" name="图片 4" descr="肖新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新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2022-05-28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0EEEC"/>
    <w:multiLevelType w:val="singleLevel"/>
    <w:tmpl w:val="95A0EE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5182023D"/>
    <w:rsid w:val="5C4C1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1144</Words>
  <Characters>1285</Characters>
  <Lines>2</Lines>
  <Paragraphs>1</Paragraphs>
  <TotalTime>1</TotalTime>
  <ScaleCrop>false</ScaleCrop>
  <LinksUpToDate>false</LinksUpToDate>
  <CharactersWithSpaces>1387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2022-06-04T14:46:12Z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