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泊头市中金机械设备制造有限公司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  <w:lang w:val="de-DE"/>
              </w:rPr>
              <w:t>18.04.02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夏爱俭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车床车身及机床量具的生产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工艺流程：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工量具、铸铁件：图纸审核-模型制作-采购材料（生铁）-造型-熔炼和浇注-清砂-打磨-检验-出厂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铸钢件：图纸审核-模型制作-采购材料（废钢）-造型-熔炼和浇注-清砂-打磨-检验-出厂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焊接件：图纸审核-采购材料（钢板）-焊接-打磨-加工-检验-出厂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机械零部件加工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工艺流程：客户接触-加工工艺分析-机床选择-确定工件基准划线-工件夹紧和定位方式确定-刀具选择-加工方式确定-零件切削-检验合格-出厂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重要环境因素：</w:t>
            </w:r>
            <w:r>
              <w:rPr>
                <w:rFonts w:hint="eastAsia"/>
                <w:sz w:val="21"/>
                <w:szCs w:val="21"/>
              </w:rPr>
              <w:t>火灾发生、固体废弃物排放、废气的排放、废水的排放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生产噪声的排放控制：主要噪声有冲天炉、电炉、树脂砂处理线、震动落砂机、天然气回火窑、清理室、加工中心、万能铣等设备运行过程中产生的机械性噪声，项目设备选型时采用低噪声设备，所有噪声设备均安置在车间内，并安装基础减振设施，同时对门窗闭隔音，采取以上措施后再经距离衰减厂界噪声贡献值满足“工业企业厂界环境噪声排放标准”2类标准要求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设备为连续生产，设备运转状态良好，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提供有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噪声监测报告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■废气排放的控制：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冲天炉熔化、浇筑、落砂、树脂砂处理、清砂室、天然气回火窑炉、刷漆、铸造车间废气排放。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冲天炉熔化废气采用管道进入水冷装置、旋风除尘器、布袋除尘器、脱硫塔处理后1根15m排气筒排放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电炉使用过程废气采用集气罩收集进入布袋除尘器处理后由15m排气筒排放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浇铸工序废气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布袋除尘器处理进入UV光氧净化器处理后1根15m排气筒排放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落砂工序废气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布袋除尘器处理后1根15m排气筒排放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树脂砂处理线各个排污点设置集气罩收集后1根15m排气筒排放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天然气回火窑炉内采用低氮燃烧器，废气由1根15m排气筒排放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刷漆工序产生废气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UV光氧净化器处理后1根15m排气筒排放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铸造车间设置整体吸收尘装置，车间内无组织排放颗粒物经顶吸进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入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布袋除尘器处理后15m排气筒排放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■生产和生活固废分类统一处理：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生产过程中固废包括废原料/废原材料包装袋/不合格的残次品等，进行分类存放，按可回收和不可回收分别放置，设置分类标识。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冲天炉、电炉熔化产生炉渣、砂再生产生废砂、脱硫塔产生除尘泥后外售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废树脂桶、固化剂桶、漆桶处于危废间由有资质单位收回，有协议，符合要求；因固废较少，目前未进行过处理。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生产过程中的危险固废：废机油、废棉纱等，单独分类存放，集中收集到一定数量时由制定有资质厂家处理。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■火灾：要求生产现场及仓库均配备干粉灭火器，有消防通道，无安全隐患。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■废水：生活废水直接厂区内泼洒抑制尘土飞扬；冲天炉脱硫使用循环水，无外排。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《中华人民共和国环境保护法》（2015 年 1 月 1 日实施）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《中华人民共和国大气污染防治法》（2016 年 1 月 1 日实施）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《中华人民共和国水污染防治法》（2008 年 6 月 1 日实施）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《中华人民共和国固体废物污染环境防治法》（2016 年 11 月 7 日实施）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《中华人民共和国环境影响评价法》（2016 年 9 月 1 日实施）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《中华人民共和国清洁生产促进法》（2012 年 7 月 1 日实施）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《危险化学品安全管理条例》（2013 年 12 月 7 日实施）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《国家危险废物名录》（2016 年 8 月 1 日实施）</w:t>
            </w:r>
            <w:bookmarkStart w:id="0" w:name="_GoBack"/>
            <w:bookmarkEnd w:id="0"/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《工业炉窑大气污染物排放标准》（GB16297-1996）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《大气污染物综合排放标准》（GB8978－1996）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《恶臭污染物排放标准》（GB14554－1993）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《污水综合排放标准》（GB8978－1996） 《工业企业厂界环境噪声标准》 （GB12348-2008 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《危险废物贮存污染控制标准》（GB18597－2001）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《一般工业固体废物贮存处置场污染控制标准》（GB18599－2001）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提供有XRJC-2022-SJ330河北星润环境检测服务有限公司2022年6月10日检测报告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相关审核技巧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-371475</wp:posOffset>
                  </wp:positionV>
                  <wp:extent cx="530860" cy="1440180"/>
                  <wp:effectExtent l="0" t="0" r="0" b="2540"/>
                  <wp:wrapNone/>
                  <wp:docPr id="1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39769" t="26904" r="35092" b="3171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5308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118745</wp:posOffset>
                  </wp:positionV>
                  <wp:extent cx="1663700" cy="420370"/>
                  <wp:effectExtent l="0" t="0" r="0" b="11430"/>
                  <wp:wrapNone/>
                  <wp:docPr id="3" name="图片 3" descr="342f6e9111f9c3661b635c52764d9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42f6e9111f9c3661b635c52764d9c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5D5855"/>
                              </a:clrFrom>
                              <a:clrTo>
                                <a:srgbClr val="5D5855">
                                  <a:alpha val="0"/>
                                </a:srgbClr>
                              </a:clrTo>
                            </a:clrChange>
                          </a:blip>
                          <a:srcRect l="21735" t="52715" r="28792" b="21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0EC377D"/>
    <w:rsid w:val="04921E23"/>
    <w:rsid w:val="07504EC1"/>
    <w:rsid w:val="0F783207"/>
    <w:rsid w:val="13D50C28"/>
    <w:rsid w:val="14C34F24"/>
    <w:rsid w:val="182B52BA"/>
    <w:rsid w:val="1D4961E3"/>
    <w:rsid w:val="2FA379D4"/>
    <w:rsid w:val="32B227C7"/>
    <w:rsid w:val="33F94067"/>
    <w:rsid w:val="3DE71BD0"/>
    <w:rsid w:val="428D254A"/>
    <w:rsid w:val="43C006FD"/>
    <w:rsid w:val="449D4419"/>
    <w:rsid w:val="54EB1352"/>
    <w:rsid w:val="5EE23BD4"/>
    <w:rsid w:val="5FF23D2F"/>
    <w:rsid w:val="766F3739"/>
    <w:rsid w:val="7D194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19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2022-08-28T08:04:16Z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