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4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585"/>
        <w:gridCol w:w="10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过程与活动、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涉及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条款</w:t>
            </w:r>
          </w:p>
        </w:tc>
        <w:tc>
          <w:tcPr>
            <w:tcW w:w="10585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受审核部门：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质检部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主管领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 xml:space="preserve">导：祁伟 ，陪同人员：穆维兴  </w:t>
            </w:r>
          </w:p>
        </w:tc>
        <w:tc>
          <w:tcPr>
            <w:tcW w:w="1004" w:type="dxa"/>
            <w:vMerge w:val="restar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0585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审核员：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强兴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审核时间：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2022年7月10日</w:t>
            </w:r>
          </w:p>
        </w:tc>
        <w:tc>
          <w:tcPr>
            <w:tcW w:w="1004" w:type="dxa"/>
            <w:vMerge w:val="continue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0585" w:type="dxa"/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QMS:5.3组织的岗位、职责和权限、6.2质量目标、7.1.5监视和测量资源、8.6产品和服务的放行、8.7不合格输出的控制、9.1（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>9.1.1监视、测量、分析和评价总则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>9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.1.3分析与评价）、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>10.2不合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格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>和纠正措施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eastAsia="zh-CN"/>
              </w:rPr>
              <w:t>。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E/OMS: 5.3组织的岗位、职责和权限、6.2环境与职业健康安全目标、6.1.2环境因素/危险源辨识与评价、8.1运行策划和控制、8.2应急准备和响应；</w:t>
            </w:r>
          </w:p>
        </w:tc>
        <w:tc>
          <w:tcPr>
            <w:tcW w:w="1004" w:type="dxa"/>
            <w:vMerge w:val="continue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 w:ascii="华文楷体" w:hAnsi="华文楷体" w:eastAsia="华文楷体" w:cs="华文楷体"/>
                <w:kern w:val="0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kern w:val="0"/>
                <w:szCs w:val="24"/>
              </w:rPr>
              <w:t>组织的岗位职责和权限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60" w:type="dxa"/>
            <w:noWrap w:val="0"/>
            <w:vAlign w:val="top"/>
          </w:tcPr>
          <w:p>
            <w:pPr>
              <w:spacing w:line="360" w:lineRule="auto"/>
              <w:rPr>
                <w:rFonts w:hint="eastAsia" w:ascii="华文楷体" w:hAnsi="华文楷体" w:eastAsia="华文楷体" w:cs="华文楷体"/>
                <w:kern w:val="0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kern w:val="0"/>
                <w:szCs w:val="24"/>
              </w:rPr>
              <w:t>QEO5.3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0585" w:type="dxa"/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rPr>
                <w:rFonts w:hint="default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质检部主要职责：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a.主持质检部工作；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b.负责对生产员工质量意识、影响质量重要因素培训；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c.负责对质检员进行进货检验规程、生产过程检验规程、成品检验规程的全面培训；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d.负责对公司所有计量器具的校准、维护保养工作；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e.组织对客户投诉信息的收集、反馈、分析和处理；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f.定期组织召开质量例会；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g.依据公司实际情况及顾客需求确定各部门、车间、工序质量目标，定期对各部门及相关责任人进行质量目标考核并通报。</w:t>
            </w:r>
          </w:p>
          <w:p>
            <w:pPr>
              <w:spacing w:line="460" w:lineRule="exact"/>
              <w:ind w:left="449" w:leftChars="214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负责本部门环境因素和危险源的识别和评价，提出管理方案并实施；</w:t>
            </w:r>
          </w:p>
          <w:p>
            <w:pPr>
              <w:spacing w:line="360" w:lineRule="auto"/>
              <w:ind w:left="449" w:leftChars="214"/>
              <w:rPr>
                <w:rFonts w:hint="eastAsi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负责本部门应急准备和响应计划落实及应急情况的善后处理，包括本部门应急准备的物资管理</w:t>
            </w:r>
          </w:p>
          <w:p>
            <w:pPr>
              <w:spacing w:line="400" w:lineRule="exac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与部门负责人沟通，祁伟经理了解本部门的职责权限。</w:t>
            </w: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2160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环境因素/危险源</w:t>
            </w:r>
          </w:p>
        </w:tc>
        <w:tc>
          <w:tcPr>
            <w:tcW w:w="960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EO6.1.2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585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 xml:space="preserve">    按照办公过程及检验过程对环境因素、危险源进行了辨识，辨识时考虑了三种时态：过去、现在和将来，和三种状态：正常、异常和紧急。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提供了“环境因素识别评价表”，识别了体系覆盖的各过程、部门的环境因素，具体如下：如办公过程中的打印机噪声污染、办公用品消耗、墨盒废弃，因检验造成产品批量不合格等环境因素。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质检部重要环境因素：固体废弃物的排放、火灾事故的发生。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控制措施：固废分类存放、垃圾等由综合部负责按规定处置，包装物分类卖掉，日常培训教育，消防配备有消防器材、应急预案等措施。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 xml:space="preserve">    现场提供了“危险源辨识及风险评价表”，分别按照各部门涉及的业务领域进行了识别，识别情况如下：垃圾清理不及时疾病传染，人离开未断电源火灾，无漏电保护装置触电，违规试验人身伤害等危险源。但是识别不够细致、充分，现场交流。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质检部重大危险源：触电、火灾伤害。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危险源控制执行管理方案、配备消防器材、个体防护、日常检查、日常培训教育、应急预案等运行控制措施。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 xml:space="preserve">   部门识别和评价基本充分，符合规定要求。</w:t>
            </w: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2160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>目标及其实现的策划</w:t>
            </w:r>
          </w:p>
        </w:tc>
        <w:tc>
          <w:tcPr>
            <w:tcW w:w="960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>Q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EO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 xml:space="preserve">6.2 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highlight w:val="none"/>
              </w:rPr>
            </w:pPr>
          </w:p>
        </w:tc>
        <w:tc>
          <w:tcPr>
            <w:tcW w:w="10585" w:type="dxa"/>
            <w:noWrap w:val="0"/>
            <w:vAlign w:val="top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>质量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环境、安全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>目标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highlight w:val="none"/>
                <w:lang w:eastAsia="zh-CN"/>
              </w:rPr>
              <w:t>2022年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highlight w:val="none"/>
                <w:lang w:eastAsia="zh-CN"/>
              </w:rPr>
              <w:t>月-2022年6月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highlight w:val="none"/>
                <w:lang w:val="en-US" w:eastAsia="zh-CN"/>
              </w:rPr>
              <w:t>考核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、不合格品处理完成率100%；                                        实测：100%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2、监视和测量设备检定完成100%                                       实测：100%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3、环境污染事故为零。                                                实测：0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default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4、固体废弃物（含危废）100%分类处理；                                实测：100%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5、重伤以上事故，且事故发生率为零。                                  实测：0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均达到目标，并将指标进行了分解。 考核日期：2022.6.30</w:t>
            </w: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160" w:type="dxa"/>
            <w:noWrap w:val="0"/>
            <w:vAlign w:val="top"/>
          </w:tcPr>
          <w:p>
            <w:pPr>
              <w:pStyle w:val="13"/>
              <w:spacing w:line="360" w:lineRule="auto"/>
              <w:ind w:left="0" w:leftChars="0" w:firstLine="0" w:firstLineChars="0"/>
              <w:rPr>
                <w:rFonts w:hint="eastAsia" w:ascii="仿宋" w:hAnsi="仿宋" w:eastAsia="仿宋" w:cs="仿宋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监视和测量资源的控制</w:t>
            </w:r>
          </w:p>
        </w:tc>
        <w:tc>
          <w:tcPr>
            <w:tcW w:w="960" w:type="dxa"/>
            <w:noWrap w:val="0"/>
            <w:vAlign w:val="top"/>
          </w:tcPr>
          <w:p>
            <w:pPr>
              <w:pStyle w:val="13"/>
              <w:spacing w:line="360" w:lineRule="auto"/>
              <w:ind w:left="0" w:leftChars="0" w:firstLine="0" w:firstLineChars="0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Q</w:t>
            </w:r>
            <w:r>
              <w:rPr>
                <w:rFonts w:hint="eastAsia" w:ascii="仿宋" w:hAnsi="仿宋" w:eastAsia="仿宋" w:cs="仿宋"/>
                <w:b/>
                <w:color w:val="auto"/>
                <w:sz w:val="21"/>
                <w:szCs w:val="21"/>
              </w:rPr>
              <w:t>7.1.5</w:t>
            </w:r>
          </w:p>
        </w:tc>
        <w:tc>
          <w:tcPr>
            <w:tcW w:w="10585" w:type="dxa"/>
            <w:noWrap w:val="0"/>
            <w:vAlign w:val="top"/>
          </w:tcPr>
          <w:p>
            <w:pPr>
              <w:spacing w:line="360" w:lineRule="auto"/>
              <w:ind w:firstLine="630" w:firstLineChars="300"/>
              <w:jc w:val="left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公司为确保产品监视和测量活动需要，提供并配备游标卡尺、钢直尺、温湿度表、工频火花机、高压试验装置、测厚仪等监视和测量设备。提供了游标卡尺、钢直尺、温湿度表、工频火花机、高压试验装置、测厚仪等的校准证书。满足监视合测量控制需要。见附件。</w:t>
            </w: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160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产品和服务的放行</w:t>
            </w:r>
          </w:p>
        </w:tc>
        <w:tc>
          <w:tcPr>
            <w:tcW w:w="960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Q8.6</w:t>
            </w:r>
          </w:p>
        </w:tc>
        <w:tc>
          <w:tcPr>
            <w:tcW w:w="10585" w:type="dxa"/>
            <w:noWrap w:val="0"/>
            <w:vAlign w:val="top"/>
          </w:tcPr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采购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物质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验收、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检验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过程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质量控制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成品检验报告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等依据顾客技术要求，详见Q8.1。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一、查进货检验记录: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--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抽查进货检验记录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原材料(外购件)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抽查1、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产品名称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铜丝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企业对每批次进行抽检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验证方式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目测、游标卡尺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等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检验项目：外观、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数量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尺寸偏差、断裂伸长率等</w:t>
            </w:r>
          </w:p>
          <w:p>
            <w:pPr>
              <w:ind w:firstLine="420" w:firstLineChars="200"/>
              <w:rPr>
                <w:rFonts w:hint="eastAsia" w:ascii="仿宋" w:hAnsi="仿宋" w:eastAsia="宋体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验收人：孟海霞，检验结果合格，检验日期：</w:t>
            </w:r>
            <w:r>
              <w:rPr>
                <w:rFonts w:hint="eastAsia"/>
                <w:sz w:val="24"/>
                <w:lang w:eastAsia="zh-CN"/>
              </w:rPr>
              <w:t>2022</w:t>
            </w:r>
            <w:r>
              <w:rPr>
                <w:rFonts w:hint="eastAsia"/>
                <w:sz w:val="24"/>
              </w:rPr>
              <w:t>.4.</w:t>
            </w:r>
            <w:r>
              <w:rPr>
                <w:rFonts w:hint="eastAsia"/>
                <w:sz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lang w:eastAsia="zh-CN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产品名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称：聚氯乙烯塑料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企业对每批次进行抽检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验证方式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目测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检验项目：外观、包装、标识等</w:t>
            </w:r>
          </w:p>
          <w:p>
            <w:pPr>
              <w:ind w:firstLine="420" w:firstLineChars="200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验收人：孟海霞，检验结果合格，检验日期：</w:t>
            </w:r>
            <w:r>
              <w:rPr>
                <w:rFonts w:hint="eastAsia"/>
                <w:sz w:val="24"/>
                <w:lang w:eastAsia="zh-CN"/>
              </w:rPr>
              <w:t>2022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>4.2</w:t>
            </w:r>
            <w:r>
              <w:rPr>
                <w:rFonts w:hint="eastAsia"/>
                <w:sz w:val="24"/>
                <w:lang w:eastAsia="zh-CN"/>
              </w:rPr>
              <w:t>。</w:t>
            </w:r>
          </w:p>
          <w:p>
            <w:pPr>
              <w:ind w:left="-315" w:leftChars="-150" w:firstLine="630" w:firstLineChars="300"/>
              <w:rPr>
                <w:rFonts w:hint="eastAsia" w:ascii="仿宋" w:hAnsi="仿宋" w:eastAsia="仿宋" w:cs="仿宋"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  <w:t xml:space="preserve">  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产品名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称：绝缘电缆用交联料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企业对每批次进行抽检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验证方式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目测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检验项目：外观、包装、标识等</w:t>
            </w:r>
          </w:p>
          <w:p>
            <w:pPr>
              <w:ind w:firstLine="420" w:firstLineChars="200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验收人：孟海霞，检验结果合格，检验日期：</w:t>
            </w:r>
            <w:r>
              <w:rPr>
                <w:rFonts w:hint="eastAsia"/>
                <w:sz w:val="24"/>
                <w:lang w:eastAsia="zh-CN"/>
              </w:rPr>
              <w:t>2022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>4.1</w:t>
            </w:r>
            <w:r>
              <w:rPr>
                <w:rFonts w:hint="eastAsia"/>
                <w:sz w:val="24"/>
                <w:lang w:eastAsia="zh-CN"/>
              </w:rPr>
              <w:t>。</w:t>
            </w:r>
          </w:p>
          <w:p>
            <w:pPr>
              <w:ind w:left="-315" w:leftChars="-150" w:firstLine="630" w:firstLineChars="300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94840" cy="2574925"/>
                  <wp:effectExtent l="0" t="0" r="10160" b="3175"/>
                  <wp:docPr id="1" name="图片 1" descr="微信图片_2022072709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7270913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257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3425" cy="2443480"/>
                  <wp:effectExtent l="0" t="0" r="3175" b="7620"/>
                  <wp:docPr id="2" name="图片 2" descr="微信图片_2022072709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7270913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44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427605" cy="2681605"/>
                  <wp:effectExtent l="0" t="0" r="10795" b="10795"/>
                  <wp:docPr id="3" name="图片 3" descr="微信图片_2022072709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7270913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68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过程控制：抽</w:t>
            </w:r>
            <w:r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查工序检验记录，分别对绝缘挤出、火花试电、绞线工艺、等工序进行了检验。对于过程的控制也可参见8.5.1条款。</w:t>
            </w:r>
          </w:p>
          <w:p>
            <w:pPr>
              <w:pStyle w:val="2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93345</wp:posOffset>
                  </wp:positionV>
                  <wp:extent cx="5850890" cy="2628265"/>
                  <wp:effectExtent l="0" t="0" r="3810" b="635"/>
                  <wp:wrapNone/>
                  <wp:docPr id="6" name="图片 6" descr="微信图片_20220726220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072622012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850890" cy="26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-1558925</wp:posOffset>
                  </wp:positionV>
                  <wp:extent cx="2593340" cy="5831205"/>
                  <wp:effectExtent l="0" t="0" r="10795" b="10160"/>
                  <wp:wrapNone/>
                  <wp:docPr id="5" name="图片 5" descr="微信图片_2022072622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07262201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93340" cy="583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60960</wp:posOffset>
                  </wp:positionV>
                  <wp:extent cx="6575425" cy="2735580"/>
                  <wp:effectExtent l="0" t="0" r="3175" b="7620"/>
                  <wp:wrapNone/>
                  <wp:docPr id="8" name="图片 8" descr="微信图片_20220726220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072622012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425" cy="273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ind w:left="0" w:leftChars="0" w:firstLine="0" w:firstLineChars="0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2778125</wp:posOffset>
                  </wp:positionH>
                  <wp:positionV relativeFrom="paragraph">
                    <wp:posOffset>-1035685</wp:posOffset>
                  </wp:positionV>
                  <wp:extent cx="2740025" cy="4937760"/>
                  <wp:effectExtent l="0" t="0" r="2540" b="3175"/>
                  <wp:wrapNone/>
                  <wp:docPr id="9" name="图片 9" descr="微信图片_20220726220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2072622012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0025" cy="493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numId w:val="0"/>
              </w:numP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抽查出厂的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成品检验</w:t>
            </w:r>
          </w:p>
          <w:p>
            <w:pPr>
              <w:pStyle w:val="2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3218180</wp:posOffset>
                  </wp:positionH>
                  <wp:positionV relativeFrom="paragraph">
                    <wp:posOffset>490220</wp:posOffset>
                  </wp:positionV>
                  <wp:extent cx="3122295" cy="2207895"/>
                  <wp:effectExtent l="0" t="0" r="1905" b="1905"/>
                  <wp:wrapNone/>
                  <wp:docPr id="10" name="图片 10" descr="微信图片_20220726220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2072622012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22295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-153035</wp:posOffset>
                  </wp:positionH>
                  <wp:positionV relativeFrom="paragraph">
                    <wp:posOffset>407035</wp:posOffset>
                  </wp:positionV>
                  <wp:extent cx="3131820" cy="2418715"/>
                  <wp:effectExtent l="0" t="0" r="6985" b="5080"/>
                  <wp:wrapNone/>
                  <wp:docPr id="13" name="图片 13" descr="微信图片_202207262201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726220120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31820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-6985</wp:posOffset>
                  </wp:positionV>
                  <wp:extent cx="2303780" cy="2406650"/>
                  <wp:effectExtent l="0" t="0" r="6350" b="7620"/>
                  <wp:wrapNone/>
                  <wp:docPr id="11" name="图片 11" descr="微信图片_20220726220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072622012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0378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3689985</wp:posOffset>
                  </wp:positionH>
                  <wp:positionV relativeFrom="paragraph">
                    <wp:posOffset>1905</wp:posOffset>
                  </wp:positionV>
                  <wp:extent cx="2360930" cy="2429510"/>
                  <wp:effectExtent l="0" t="0" r="8890" b="1270"/>
                  <wp:wrapNone/>
                  <wp:docPr id="12" name="图片 12" descr="微信图片_20220726220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072622012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60930" cy="24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、检验产品：塑料绝缘电缆产品规格KW2*2.5，长度：3000米‘’检验项目：电阻、导体结构、绝缘厚度、绝缘最薄点、护套厚度、护套最薄点、最大外径、成缆方向、成缆节径比、外观纤芯识别、印字标志、标志间距等检验项目进行了最终检验，检验人：孟海霞，检验结果合格，提供的产品检验记录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符合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相关标准的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要求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。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、检验产品：挤包绝缘低压电力电缆产品规格3*6，长度：2000米；检验项目：电阻、导体结构、绝缘厚度、绝缘最薄点、护套厚度、护套最薄点、最大外径、成缆方向、成缆节径比、外观纤芯识别、印字标志、标志间距等检验项目进行了最终检验，检验人：孟海霞，检验结果合格，提供的产品检验记录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符合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相关标准的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要求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。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、检验产品：塑料绝缘电缆产品规格KW2*1.5，长度：3000米；检验项目：电阻、导体结构、绝缘厚度、绝缘最薄点、护套厚度、护套最薄点、最大外径、成缆方向、成缆节径比、外观纤芯识别、印字标志、标志间距等检验项目进行了最终检验，检验人：孟海霞，检验结果合格，提供的产品检验记录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符合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相关标准的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要求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。</w:t>
            </w:r>
          </w:p>
          <w:p>
            <w:pPr>
              <w:spacing w:line="400" w:lineRule="exact"/>
              <w:ind w:firstLine="420" w:firstLineChars="200"/>
              <w:jc w:val="both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还提供了其他类型产品的成品检验报告多份。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第三方检验：</w:t>
            </w:r>
          </w:p>
          <w:p>
            <w:pPr>
              <w:spacing w:line="360" w:lineRule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企业还提供了交联聚乙烯绝缘聚烯怪护套无卤低烟阻燃C类控制电缆、铝芯交联聚乙烯绝缘聚烯经护套无卤低烟阻燃A类电力电缆的第三方产品检验报告。（见附件）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160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不合格输出的控制</w:t>
            </w:r>
          </w:p>
        </w:tc>
        <w:tc>
          <w:tcPr>
            <w:tcW w:w="960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Q8.7</w:t>
            </w:r>
          </w:p>
        </w:tc>
        <w:tc>
          <w:tcPr>
            <w:tcW w:w="1058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提供的《不合格品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管控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程序》中规定了对不合格品的标识、记录、隔离、记录和处置的控制要求。采购检验中发现的不合格，要求做好相应的标识，并及时通知采购人员作退/换货处理，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过程和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成品检验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过程中发现的少量不合格品作报废处理，批量的不合格品要求填写“不合格品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评审单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”，记录不合格品名称、规格/型号、数量、不合格事实、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分析原因、采取解决方案、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评审处置措施，验证结果等。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查《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不合格品评审处置单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》，企业在2022.3.18出厂检验中发现，电缆外观不合格，已采取纠正及纠正措施。</w:t>
            </w: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160" w:type="dxa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运行控制和策划</w:t>
            </w:r>
          </w:p>
        </w:tc>
        <w:tc>
          <w:tcPr>
            <w:tcW w:w="960" w:type="dxa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EO8.1</w:t>
            </w:r>
          </w:p>
        </w:tc>
        <w:tc>
          <w:tcPr>
            <w:tcW w:w="10585" w:type="dxa"/>
            <w:noWrap w:val="0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组织制定了环境运行相关的控制程序及相应的控制准则，如废弃物排放控制、相关方环境安全管理办法、消防管理制度、火灾预防应急准备和响应管理等过程的运行准则。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现场查看质检部运行控制情况：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部门办公和检验过程无工业废水排放，日常生活废水排入市政管道。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部门办公和检验过程基本无废气、噪声产生。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本部门办公中所使用的办公用品均由公司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综合部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负责统一打印、复印，产生的废弃物，由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综合部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统一处理。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对可回收的固体废弃物，一部分由厂家回收，厂家不回收的公司统一回收再利用或由物资回收公司处理，不可回收的废弃物由公司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综合部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统一处理，部门不单独处理。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质检部的实验指标都是物理指标，不需要用到化学试剂。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检验时注意轻拿轻放，小心碰伤、砸伤等人身伤害，使用电子仪器时先检查线路有无漏电隐患，发现异常及时维修。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质检部人参与了公司组织的消防应急预案演练，通过演练学到了应急和救援的知识，基本符合。</w:t>
            </w: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160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应急准备和响应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EO8.2</w:t>
            </w:r>
          </w:p>
        </w:tc>
        <w:tc>
          <w:tcPr>
            <w:tcW w:w="10585" w:type="dxa"/>
            <w:noWrap w:val="0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编制了《火灾应急预案》、《安全应急预案》，其中包括目的、适用范围、职责、应急领导小组成员职责、程序、现场应急措施等，相关内容基本充分。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2.6.14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日参加了由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综合部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组织的消防演练。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自体系运行以来未发生应急情况。</w:t>
            </w: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160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监视测量分析总则、分析评价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QMS  9.1.1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9.1.3 </w:t>
            </w:r>
          </w:p>
        </w:tc>
        <w:tc>
          <w:tcPr>
            <w:tcW w:w="10585" w:type="dxa"/>
            <w:noWrap w:val="0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公司规定了管理体系相关信息的收集、汇总、分析、处理、传递的要求，体系要求未变化。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公司的过程和体系的监视和测量主要是通过内审、管理评审、目标考核以及日常工作监督、产品检验、顾客满意度测量等的方式完成。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综合部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负责对体系、过程的日常监测和质量目标完成情况进行统计分析。对目标完成情况进行收集和统计分析，并制作目标完成情况统计表。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供销部负责对供方业绩予以评价，对供方业绩实施了监视和测量；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供销部对顾客满意度进行了定期评价和分析；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生产部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对生产现场进行监督检查，质检部对采购产品、生产过程及成品按策划要求进行了检验。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公司日常通过对市场信息、目标完成情况及适宜性、产品质量检验、顾客满意对测量及反馈等作为分析评价的输入，并根据输出情况及时采取了相应措施并改进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160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不合格和纠正措施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10.2  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  <w:tc>
          <w:tcPr>
            <w:tcW w:w="10585" w:type="dxa"/>
            <w:noWrap w:val="0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有《CZJH-CX-25-2019纠正、预防、改进控制程序》，对纠正预防措施识别、评审、验证作了规定，其内容符合组织实际及标准要求。 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查纠正措施实施情况：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对体系运行过程中产生不合格的产生，公司提供纠正措施实施报告。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对内审中提出不合格项进行了原因分析,并制定、实施了纠正措施，并由内审员对所采取的纠正措施进行了验证，纠正措施有效（参见内审工作单），管理评审中发现的薄弱环节，分析了原因，采取了纠正措施（参见管理评审工作单）。</w:t>
            </w:r>
          </w:p>
          <w:p>
            <w:pPr>
              <w:spacing w:line="360" w:lineRule="auto"/>
              <w:ind w:firstLine="420" w:firstLineChars="200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体系运行以来公司按照体系的要求，通过制定运行控制程序、作业指导书、加强培训，以及开展管理评审活动等方式采取预防措施，防止不符合/不合格的发生，不符合得到了有效控制，人员质量意识有了提高，自体系运行以来，体系运行没有发现潜在的不符合，没有发生重大质量事故和投诉处罚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组织不合格和纠正措施的管理符合标准规定要求。  </w:t>
            </w:r>
          </w:p>
        </w:tc>
        <w:tc>
          <w:tcPr>
            <w:tcW w:w="1004" w:type="dxa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240" w:lineRule="auto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符合</w:t>
            </w:r>
          </w:p>
        </w:tc>
      </w:tr>
    </w:tbl>
    <w:p>
      <w:r>
        <w:tab/>
      </w:r>
    </w:p>
    <w:p>
      <w:pPr>
        <w:rPr>
          <w:rFonts w:hint="eastAsia" w:ascii="隶书" w:hAnsi="宋体" w:eastAsia="隶书" w:cs="Times New Roman"/>
          <w:bCs/>
          <w:color w:val="000000"/>
          <w:sz w:val="36"/>
          <w:szCs w:val="36"/>
        </w:rPr>
      </w:pPr>
      <w:r>
        <w:rPr>
          <w:rFonts w:hint="eastAsia"/>
        </w:rPr>
        <w:t>说明：不符合标注N</w:t>
      </w:r>
    </w:p>
    <w:p/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9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20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20"/>
        <w:rFonts w:hint="default"/>
      </w:rPr>
      <w:t>北京国标联合认证有限公司</w:t>
    </w:r>
    <w:r>
      <w:rPr>
        <w:rStyle w:val="20"/>
        <w:rFonts w:hint="default"/>
      </w:rPr>
      <w:tab/>
    </w:r>
    <w:r>
      <w:rPr>
        <w:rStyle w:val="20"/>
        <w:rFonts w:hint="default"/>
      </w:rPr>
      <w:tab/>
    </w:r>
    <w:r>
      <w:rPr>
        <w:rStyle w:val="20"/>
        <w:rFonts w:hint="default"/>
      </w:rPr>
      <w:tab/>
    </w:r>
  </w:p>
  <w:p>
    <w:pPr>
      <w:pStyle w:val="10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20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A6C8CB"/>
    <w:multiLevelType w:val="singleLevel"/>
    <w:tmpl w:val="0EA6C8C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lkMDNiN2QzZTk4YTE3NjNiM2I5OTI4Y2YxNGYyZmIifQ=="/>
  </w:docVars>
  <w:rsids>
    <w:rsidRoot w:val="00000000"/>
    <w:rsid w:val="03A13826"/>
    <w:rsid w:val="07E226F8"/>
    <w:rsid w:val="0BFC0D36"/>
    <w:rsid w:val="0D2C2D36"/>
    <w:rsid w:val="0EDB61C7"/>
    <w:rsid w:val="144A4B7A"/>
    <w:rsid w:val="15C267DF"/>
    <w:rsid w:val="1DA97E34"/>
    <w:rsid w:val="1E590DAC"/>
    <w:rsid w:val="23D34A31"/>
    <w:rsid w:val="28A77C19"/>
    <w:rsid w:val="331F46BA"/>
    <w:rsid w:val="3C211DCF"/>
    <w:rsid w:val="3C502942"/>
    <w:rsid w:val="3C7735E6"/>
    <w:rsid w:val="45870C7F"/>
    <w:rsid w:val="4A3B29C3"/>
    <w:rsid w:val="4E1B7A65"/>
    <w:rsid w:val="4EBC4949"/>
    <w:rsid w:val="4EDB1FFD"/>
    <w:rsid w:val="4FB035FE"/>
    <w:rsid w:val="55AA559D"/>
    <w:rsid w:val="5692296A"/>
    <w:rsid w:val="5BEF5944"/>
    <w:rsid w:val="5E660A62"/>
    <w:rsid w:val="631B7372"/>
    <w:rsid w:val="66316F3C"/>
    <w:rsid w:val="666D43C7"/>
    <w:rsid w:val="69491EC2"/>
    <w:rsid w:val="6E334CED"/>
    <w:rsid w:val="73B81E2E"/>
    <w:rsid w:val="7753088C"/>
    <w:rsid w:val="7796707C"/>
    <w:rsid w:val="7A136BF7"/>
    <w:rsid w:val="7EF31C15"/>
    <w:rsid w:val="7F145CF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qFormat="1" w:unhideWhenUsed="0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99" w:semiHidden="0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  <w:rPr>
      <w:szCs w:val="20"/>
    </w:rPr>
  </w:style>
  <w:style w:type="paragraph" w:styleId="5">
    <w:name w:val="Body Text"/>
    <w:basedOn w:val="1"/>
    <w:unhideWhenUsed/>
    <w:qFormat/>
    <w:uiPriority w:val="0"/>
    <w:pPr>
      <w:spacing w:after="120"/>
    </w:pPr>
  </w:style>
  <w:style w:type="paragraph" w:styleId="6">
    <w:name w:val="Body Text Indent"/>
    <w:basedOn w:val="1"/>
    <w:semiHidden/>
    <w:qFormat/>
    <w:uiPriority w:val="99"/>
    <w:pPr>
      <w:spacing w:after="120"/>
      <w:ind w:left="420" w:leftChars="200"/>
    </w:pPr>
  </w:style>
  <w:style w:type="paragraph" w:styleId="7">
    <w:name w:val="Block Text"/>
    <w:basedOn w:val="1"/>
    <w:qFormat/>
    <w:uiPriority w:val="99"/>
    <w:pPr>
      <w:tabs>
        <w:tab w:val="left" w:pos="709"/>
        <w:tab w:val="left" w:pos="1069"/>
        <w:tab w:val="left" w:pos="2149"/>
      </w:tabs>
      <w:ind w:left="1429" w:right="194"/>
    </w:pPr>
    <w:rPr>
      <w:rFonts w:ascii="楷体_GB2312" w:eastAsia="楷体_GB2312"/>
      <w:sz w:val="24"/>
    </w:rPr>
  </w:style>
  <w:style w:type="paragraph" w:styleId="8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next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rPr>
      <w:color w:val="000000"/>
      <w:kern w:val="0"/>
      <w:sz w:val="24"/>
      <w:szCs w:val="24"/>
    </w:rPr>
  </w:style>
  <w:style w:type="paragraph" w:styleId="12">
    <w:name w:val="Body Text First Indent"/>
    <w:basedOn w:val="5"/>
    <w:qFormat/>
    <w:uiPriority w:val="0"/>
    <w:pPr>
      <w:ind w:firstLine="420" w:firstLineChars="100"/>
    </w:pPr>
    <w:rPr>
      <w:szCs w:val="20"/>
    </w:rPr>
  </w:style>
  <w:style w:type="paragraph" w:styleId="13">
    <w:name w:val="Body Text First Indent 2"/>
    <w:basedOn w:val="6"/>
    <w:qFormat/>
    <w:uiPriority w:val="99"/>
    <w:pPr>
      <w:spacing w:after="0"/>
      <w:ind w:left="0" w:leftChars="0" w:firstLine="420" w:firstLineChars="200"/>
      <w:jc w:val="left"/>
    </w:pPr>
    <w:rPr>
      <w:rFonts w:ascii="宋体" w:hAnsi="宋体" w:eastAsia="仿宋_GB2312"/>
      <w:color w:val="000000"/>
      <w:sz w:val="28"/>
    </w:rPr>
  </w:style>
  <w:style w:type="paragraph" w:customStyle="1" w:styleId="16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character" w:customStyle="1" w:styleId="17">
    <w:name w:val="页眉 Char"/>
    <w:basedOn w:val="15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Char"/>
    <w:basedOn w:val="15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批注框文本 Char"/>
    <w:basedOn w:val="15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21">
    <w:name w:val="Char Char11"/>
    <w:qFormat/>
    <w:uiPriority w:val="0"/>
    <w:rPr>
      <w:rFonts w:ascii="宋体" w:eastAsia="宋体"/>
      <w:kern w:val="2"/>
      <w:sz w:val="21"/>
      <w:lang w:val="en-US" w:eastAsia="zh-CN" w:bidi="ar-SA"/>
    </w:rPr>
  </w:style>
  <w:style w:type="paragraph" w:styleId="22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黑体" w:eastAsia="宋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3291</Words>
  <Characters>3489</Characters>
  <Lines>1</Lines>
  <Paragraphs>1</Paragraphs>
  <TotalTime>2</TotalTime>
  <ScaleCrop>false</ScaleCrop>
  <LinksUpToDate>false</LinksUpToDate>
  <CharactersWithSpaces>3752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强子</cp:lastModifiedBy>
  <dcterms:modified xsi:type="dcterms:W3CDTF">2022-07-27T13:01:57Z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2052-11.1.0.11875</vt:lpwstr>
  </property>
</Properties>
</file>