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0219-2021-QO-2022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中讯通达（北京）企业管理服务集团有限公司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中讯通达（北京）企业管理服务集团有限公司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北京市北京经济开发区荣华南路10号院5号楼12层1509</w:t>
            </w:r>
            <w:bookmarkEnd w:id="6"/>
          </w:p>
        </w:tc>
        <w:tc>
          <w:tcPr>
            <w:tcW w:w="1242" w:type="dxa"/>
            <w:vMerge w:val="restart"/>
            <w:vAlign w:val="center"/>
          </w:tcPr>
          <w:p>
            <w:r>
              <w:rPr>
                <w:rFonts w:hint="eastAsia"/>
              </w:rPr>
              <w:t>邮编</w:t>
            </w:r>
          </w:p>
        </w:tc>
        <w:tc>
          <w:tcPr>
            <w:tcW w:w="1771" w:type="dxa"/>
          </w:tcPr>
          <w:p>
            <w:bookmarkStart w:id="7" w:name="注册邮编"/>
            <w:r>
              <w:t>100176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北京市北京经济开发区荣华南路10号院5号楼12层1509</w:t>
            </w:r>
            <w:bookmarkEnd w:id="8"/>
          </w:p>
        </w:tc>
        <w:tc>
          <w:tcPr>
            <w:tcW w:w="1242" w:type="dxa"/>
            <w:vMerge w:val="continue"/>
            <w:vAlign w:val="center"/>
          </w:tcPr>
          <w:p/>
        </w:tc>
        <w:tc>
          <w:tcPr>
            <w:tcW w:w="1771" w:type="dxa"/>
          </w:tcPr>
          <w:p>
            <w:bookmarkStart w:id="9" w:name="办公邮编"/>
            <w:r>
              <w:t>100176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姜岩</w:t>
            </w:r>
            <w:bookmarkEnd w:id="10"/>
          </w:p>
        </w:tc>
        <w:tc>
          <w:tcPr>
            <w:tcW w:w="1313" w:type="dxa"/>
            <w:vAlign w:val="center"/>
          </w:tcPr>
          <w:p>
            <w:r>
              <w:rPr>
                <w:rFonts w:hint="eastAsia"/>
              </w:rPr>
              <w:t>电话.</w:t>
            </w:r>
          </w:p>
        </w:tc>
        <w:tc>
          <w:tcPr>
            <w:tcW w:w="2180" w:type="dxa"/>
            <w:vAlign w:val="center"/>
          </w:tcPr>
          <w:p>
            <w:bookmarkStart w:id="11" w:name="联系人电话"/>
            <w:r>
              <w:t>010-67881234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贾福忠</w:t>
            </w:r>
            <w:bookmarkEnd w:id="13"/>
          </w:p>
        </w:tc>
        <w:tc>
          <w:tcPr>
            <w:tcW w:w="1313" w:type="dxa"/>
            <w:vAlign w:val="center"/>
          </w:tcPr>
          <w:p>
            <w:r>
              <w:rPr>
                <w:rFonts w:hint="eastAsia"/>
              </w:rPr>
              <w:t>管理者代表</w:t>
            </w:r>
          </w:p>
        </w:tc>
        <w:tc>
          <w:tcPr>
            <w:tcW w:w="2180" w:type="dxa"/>
          </w:tcPr>
          <w:p>
            <w:bookmarkStart w:id="14" w:name="管理者代表"/>
            <w:r>
              <w:t>姜岩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Arial" w:hAnsi="Arial" w:cs="Arial"/>
                <w:b/>
                <w:bCs/>
                <w:color w:val="000000"/>
                <w:kern w:val="0"/>
                <w:szCs w:val="21"/>
              </w:rPr>
            </w:pPr>
            <w:r>
              <w:rPr>
                <w:rFonts w:hint="eastAsia" w:ascii="Arial" w:hAnsi="Arial" w:cs="Arial"/>
                <w:b/>
                <w:bCs/>
                <w:color w:val="000000"/>
                <w:kern w:val="0"/>
                <w:szCs w:val="21"/>
              </w:rPr>
              <w:t>劳务派遣流程：</w:t>
            </w:r>
          </w:p>
          <w:p>
            <w:r>
              <w:rPr>
                <w:rFonts w:hint="eastAsia" w:ascii="Arial" w:hAnsi="Arial" w:cs="Arial"/>
                <w:kern w:val="0"/>
                <w:szCs w:val="21"/>
              </w:rPr>
              <w:t>客户接触----合同评审----签订合同-----客户付款----外派相关人员----客户验收---后续服务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2022年05月17日 上午至2022年05月17日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北京市北京经济开发区荣华南路10号院5号楼12层1509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Q：许可范围内劳务派遣</w:t>
            </w:r>
          </w:p>
          <w:p>
            <w:r>
              <w:t>O：许可范围内劳务派遣所涉及场所的相关职业健康安全管理活动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Q：35.10.00</w:t>
            </w:r>
          </w:p>
          <w:p>
            <w:r>
              <w:t>O：35.10.00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r>
              <w:rPr>
                <w:rFonts w:hint="eastAsia" w:eastAsia="宋体"/>
                <w:szCs w:val="22"/>
                <w:lang w:val="en-US" w:eastAsia="zh-CN"/>
              </w:rPr>
              <w:t>不适用理由：因公司</w:t>
            </w:r>
            <w:r>
              <w:rPr>
                <w:rFonts w:hint="eastAsia"/>
                <w:szCs w:val="22"/>
                <w:lang w:val="en-US" w:eastAsia="zh-CN"/>
              </w:rPr>
              <w:t>提供的服务</w:t>
            </w:r>
            <w:r>
              <w:rPr>
                <w:rFonts w:hint="eastAsia" w:eastAsia="宋体"/>
                <w:szCs w:val="22"/>
                <w:lang w:val="en-US" w:eastAsia="zh-CN"/>
              </w:rPr>
              <w:t>，按照国家标准及顾客的要求进行，该条款的不适用,不影响组织确保其服务合格的能力和责任，也不会对增强顾客满意产生影响。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127"/>
        <w:gridCol w:w="585"/>
        <w:gridCol w:w="1545"/>
        <w:gridCol w:w="30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127" w:type="dxa"/>
            <w:shd w:val="clear" w:color="auto" w:fill="F3F3F3"/>
            <w:tcMar>
              <w:left w:w="57" w:type="dxa"/>
              <w:right w:w="57" w:type="dxa"/>
            </w:tcMar>
          </w:tcPr>
          <w:p>
            <w:r>
              <w:rPr>
                <w:rFonts w:hint="eastAsia"/>
              </w:rPr>
              <w:t>经营场所的地址</w:t>
            </w:r>
          </w:p>
          <w:p>
            <w:r>
              <w:rPr>
                <w:rFonts w:hint="eastAsia"/>
              </w:rPr>
              <w:t>（多现场和临时现场）</w:t>
            </w:r>
          </w:p>
        </w:tc>
        <w:tc>
          <w:tcPr>
            <w:tcW w:w="585" w:type="dxa"/>
            <w:shd w:val="clear" w:color="auto" w:fill="F3F3F3"/>
            <w:tcMar>
              <w:left w:w="57" w:type="dxa"/>
              <w:right w:w="57" w:type="dxa"/>
            </w:tcMar>
          </w:tcPr>
          <w:p>
            <w:r>
              <w:rPr>
                <w:rFonts w:hint="eastAsia"/>
              </w:rPr>
              <w:t>员工人数</w:t>
            </w:r>
          </w:p>
        </w:tc>
        <w:tc>
          <w:tcPr>
            <w:tcW w:w="1545" w:type="dxa"/>
            <w:shd w:val="clear" w:color="auto" w:fill="F3F3F3"/>
            <w:tcMar>
              <w:left w:w="57" w:type="dxa"/>
              <w:right w:w="57" w:type="dxa"/>
            </w:tcMar>
          </w:tcPr>
          <w:p>
            <w:r>
              <w:rPr>
                <w:rFonts w:hint="eastAsia"/>
              </w:rPr>
              <w:t>审核范围（产品和过程）</w:t>
            </w:r>
          </w:p>
          <w:p/>
          <w:p/>
        </w:tc>
        <w:tc>
          <w:tcPr>
            <w:tcW w:w="305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中讯通达（北京）企业管理服务集团有限公司</w:t>
            </w:r>
          </w:p>
          <w:p>
            <w:pPr>
              <w:rPr>
                <w:lang w:val="de-DE" w:eastAsia="ja-JP"/>
              </w:rPr>
            </w:pPr>
            <w:r>
              <w:t>北京市北京经济开发区荣华南路10号院5号楼12层1509</w:t>
            </w:r>
          </w:p>
        </w:tc>
        <w:tc>
          <w:tcPr>
            <w:tcW w:w="1127" w:type="dxa"/>
          </w:tcPr>
          <w:p>
            <w:pPr>
              <w:rPr>
                <w:rFonts w:hint="default" w:eastAsia="宋体"/>
                <w:lang w:val="en-US" w:eastAsia="zh-CN"/>
              </w:rPr>
            </w:pPr>
          </w:p>
        </w:tc>
        <w:tc>
          <w:tcPr>
            <w:tcW w:w="585" w:type="dxa"/>
            <w:vAlign w:val="center"/>
          </w:tcPr>
          <w:p>
            <w:pPr>
              <w:rPr>
                <w:rFonts w:hint="default" w:eastAsia="宋体"/>
                <w:lang w:val="en-US" w:eastAsia="zh-CN"/>
              </w:rPr>
            </w:pPr>
            <w:r>
              <w:rPr>
                <w:rFonts w:hint="eastAsia"/>
                <w:lang w:val="en-US" w:eastAsia="zh-CN"/>
              </w:rPr>
              <w:t>25</w:t>
            </w:r>
          </w:p>
        </w:tc>
        <w:tc>
          <w:tcPr>
            <w:tcW w:w="1545" w:type="dxa"/>
            <w:vAlign w:val="center"/>
          </w:tcPr>
          <w:p>
            <w:r>
              <w:t>Q：许可范围内劳务派遣</w:t>
            </w:r>
          </w:p>
          <w:p>
            <w:pPr>
              <w:rPr>
                <w:lang w:eastAsia="ja-JP"/>
              </w:rPr>
            </w:pPr>
            <w:r>
              <w:t>O：许可范围内劳务派遣所涉及场所的相关职业健康安全管理活动</w:t>
            </w:r>
          </w:p>
        </w:tc>
        <w:tc>
          <w:tcPr>
            <w:tcW w:w="3053" w:type="dxa"/>
            <w:vAlign w:val="center"/>
          </w:tcPr>
          <w:p>
            <w:pPr>
              <w:rPr>
                <w:rFonts w:hint="eastAsia"/>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p>
          <w:p>
            <w:pPr>
              <w:rPr>
                <w:lang w:eastAsia="ja-JP"/>
              </w:rPr>
            </w:pPr>
            <w:r>
              <w:rPr>
                <w:rFonts w:hint="eastAsia"/>
              </w:rPr>
              <w:t>GB/T45001-2020/</w:t>
            </w:r>
            <w:r>
              <w:rPr>
                <w:rFonts w:hint="eastAsia"/>
                <w:lang w:val="de-DE"/>
              </w:rPr>
              <w:t>ISO45001：2018</w:t>
            </w:r>
            <w:r>
              <w:rPr>
                <w:rFonts w:hint="eastAsia"/>
              </w:rPr>
              <w:t xml:space="preserve"> </w:t>
            </w:r>
          </w:p>
        </w:tc>
        <w:tc>
          <w:tcPr>
            <w:tcW w:w="668" w:type="dxa"/>
            <w:shd w:val="clear" w:color="auto" w:fill="FFFFFF"/>
          </w:tcPr>
          <w:p>
            <w:r>
              <w:rPr>
                <w:rFonts w:hint="eastAsia"/>
                <w:lang w:val="de-DE"/>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2020-N1QMS-1237307</w:t>
            </w:r>
          </w:p>
          <w:p>
            <w:r>
              <w:t>2020-N1OHSMS-1237307</w:t>
            </w:r>
          </w:p>
        </w:tc>
        <w:tc>
          <w:tcPr>
            <w:tcW w:w="2179" w:type="dxa"/>
            <w:vAlign w:val="center"/>
          </w:tcPr>
          <w:p>
            <w:r>
              <w:t>Q:35.10.00</w:t>
            </w:r>
          </w:p>
          <w:p>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范雯</w:t>
            </w:r>
          </w:p>
        </w:tc>
        <w:tc>
          <w:tcPr>
            <w:tcW w:w="1089" w:type="dxa"/>
            <w:vAlign w:val="center"/>
          </w:tcPr>
          <w:p>
            <w:r>
              <w:t>组员</w:t>
            </w:r>
          </w:p>
        </w:tc>
        <w:tc>
          <w:tcPr>
            <w:tcW w:w="711" w:type="dxa"/>
            <w:vAlign w:val="center"/>
          </w:tcPr>
          <w:p>
            <w:r>
              <w:t>女</w:t>
            </w:r>
          </w:p>
        </w:tc>
        <w:tc>
          <w:tcPr>
            <w:tcW w:w="3870" w:type="dxa"/>
            <w:vAlign w:val="center"/>
          </w:tcPr>
          <w:p>
            <w:r>
              <w:t>2021-N0QMS-1283054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张亮</w:t>
            </w:r>
          </w:p>
        </w:tc>
        <w:tc>
          <w:tcPr>
            <w:tcW w:w="1089" w:type="dxa"/>
            <w:vAlign w:val="center"/>
          </w:tcPr>
          <w:p>
            <w:r>
              <w:t>组员</w:t>
            </w:r>
          </w:p>
        </w:tc>
        <w:tc>
          <w:tcPr>
            <w:tcW w:w="711" w:type="dxa"/>
            <w:vAlign w:val="center"/>
          </w:tcPr>
          <w:p>
            <w:r>
              <w:t>男</w:t>
            </w:r>
          </w:p>
        </w:tc>
        <w:tc>
          <w:tcPr>
            <w:tcW w:w="3870" w:type="dxa"/>
            <w:vAlign w:val="center"/>
          </w:tcPr>
          <w:p>
            <w:r>
              <w:t>2021-N1OHSMS-1280463</w:t>
            </w:r>
          </w:p>
        </w:tc>
        <w:tc>
          <w:tcPr>
            <w:tcW w:w="2179" w:type="dxa"/>
            <w:vAlign w:val="center"/>
          </w:tcPr>
          <w:p>
            <w: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104775</wp:posOffset>
                  </wp:positionH>
                  <wp:positionV relativeFrom="paragraph">
                    <wp:posOffset>74295</wp:posOffset>
                  </wp:positionV>
                  <wp:extent cx="523875" cy="278130"/>
                  <wp:effectExtent l="0" t="0" r="9525" b="1143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523875" cy="278130"/>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360" w:lineRule="auto"/>
              <w:rPr>
                <w:rFonts w:hint="eastAsia"/>
              </w:rPr>
            </w:pPr>
            <w:r>
              <w:rPr>
                <w:rFonts w:hint="eastAsia"/>
              </w:rPr>
              <w:t>最高管理者制定了文件化的管理体系方针：</w:t>
            </w:r>
          </w:p>
          <w:p>
            <w:pPr>
              <w:autoSpaceDE w:val="0"/>
              <w:autoSpaceDN w:val="0"/>
              <w:adjustRightInd w:val="0"/>
              <w:spacing w:line="360" w:lineRule="auto"/>
              <w:ind w:left="578" w:leftChars="275" w:firstLine="102" w:firstLineChars="49"/>
              <w:rPr>
                <w:rFonts w:hint="eastAsia"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autoSpaceDE w:val="0"/>
              <w:autoSpaceDN w:val="0"/>
              <w:adjustRightInd w:val="0"/>
              <w:spacing w:line="360" w:lineRule="auto"/>
              <w:ind w:left="578" w:leftChars="275" w:firstLine="102" w:firstLineChars="49"/>
              <w:rPr>
                <w:u w:val="single"/>
              </w:rPr>
            </w:pPr>
            <w:r>
              <w:rPr>
                <w:rFonts w:hint="eastAsia" w:ascii="华文中宋" w:hAnsi="华文中宋" w:eastAsia="华文中宋" w:cs="宋体"/>
                <w:color w:val="000000"/>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602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政策风险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针对政策风险，公司时刻关注政策的走向，在符合政策的同时对公司进行开展运作。</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资金风险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资金风险，公司建立一定得预备资金，防止一时的资金断裂对公司运行造成重大影响。</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技术风险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技术风险的应对，定期进行人员培训及业绩考核，公司做到公平公正的政策，引进适者生存的模式，对于不适宜的人员先进行调岗，如不能满足要求，再进行淘汰。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管理风险</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管理及市场风险的应对，加强公司团队的建设，争取公司的竞争力度，积极开拓市场业务，必要时增加公司的资质，例如进行管理体系的认证。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来自市场的风险</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加强公司内部人员的基础素质，提高专业技能、对于公司内部的机密信息不能外泄，保护好公司的内部人员，防止公司内部人员的流失。</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服务质量合格率100%；</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合同评审率100%；</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顾客满意</w:t>
                  </w:r>
                  <w:r>
                    <w:rPr>
                      <w:rFonts w:hint="eastAsia" w:ascii="Times New Roman" w:hAnsi="Times New Roman" w:eastAsia="宋体" w:cs="Times New Roman"/>
                      <w:lang w:val="en-US" w:eastAsia="zh-CN"/>
                    </w:rPr>
                    <w:t>度</w:t>
                  </w:r>
                  <w:r>
                    <w:rPr>
                      <w:rFonts w:hint="eastAsia" w:ascii="Times New Roman" w:hAnsi="Times New Roman" w:eastAsia="宋体" w:cs="Times New Roman"/>
                    </w:rPr>
                    <w:t>9</w:t>
                  </w:r>
                  <w:r>
                    <w:rPr>
                      <w:rFonts w:hint="eastAsia" w:ascii="Times New Roman" w:hAnsi="Times New Roman" w:eastAsia="宋体" w:cs="Times New Roman"/>
                      <w:lang w:val="en-US" w:eastAsia="zh-CN"/>
                    </w:rPr>
                    <w:t>6</w:t>
                  </w:r>
                  <w:r>
                    <w:rPr>
                      <w:rFonts w:hint="eastAsia" w:ascii="Times New Roman" w:hAnsi="Times New Roman" w:eastAsia="宋体" w:cs="Times New Roman"/>
                    </w:rPr>
                    <w:t>%</w:t>
                  </w:r>
                  <w:r>
                    <w:rPr>
                      <w:rFonts w:hint="eastAsia" w:ascii="Times New Roman" w:hAnsi="Times New Roman" w:eastAsia="宋体" w:cs="Times New Roman"/>
                      <w:lang w:val="en-US" w:eastAsia="zh-CN"/>
                    </w:rPr>
                    <w:t>以上</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lang w:val="en-US" w:eastAsia="zh-CN"/>
                    </w:rPr>
                    <w:t>实际统计</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213</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szCs w:val="21"/>
              </w:rPr>
              <w:t>台式电脑、打印机、笔记本电脑、电话</w:t>
            </w:r>
          </w:p>
          <w:p>
            <w:pPr>
              <w:shd w:val="clear" w:color="auto" w:fill="C7DAF1" w:themeFill="text2" w:themeFillTint="32"/>
            </w:pPr>
            <w:r>
              <w:rPr>
                <w:rFonts w:hint="eastAsia"/>
              </w:rPr>
              <w:t>特种设备：不适用</w:t>
            </w:r>
          </w:p>
          <w:p>
            <w:pPr>
              <w:shd w:val="clear" w:color="auto" w:fill="C7DAF1" w:themeFill="text2" w:themeFillTint="32"/>
              <w:rPr>
                <w:rFonts w:hint="eastAsia" w:ascii="Wingdings" w:hAnsi="Wingdings"/>
                <w:lang w:val="en-US" w:eastAsia="zh-CN"/>
              </w:rPr>
            </w:pPr>
            <w:r>
              <w:rPr>
                <w:rFonts w:hint="eastAsia"/>
              </w:rPr>
              <w:t>特种设备管理：</w:t>
            </w:r>
            <w:r>
              <w:rPr>
                <w:rFonts w:hint="eastAsia" w:ascii="Wingdings" w:hAnsi="Wingdings"/>
                <w:lang w:val="en-US" w:eastAsia="zh-CN"/>
              </w:rPr>
              <w:t>不适用</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不适用</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不适用</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采购</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t>许可范围内劳务派遣</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采购</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需要确认的过程：劳务派遣</w:t>
            </w:r>
            <w:r>
              <w:rPr>
                <w:rFonts w:hint="eastAsia"/>
                <w:lang w:val="en-US" w:eastAsia="zh-CN"/>
              </w:rPr>
              <w:t>服务</w:t>
            </w:r>
            <w:r>
              <w:rPr>
                <w:rFonts w:hint="eastAsia"/>
              </w:rPr>
              <w:t>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可包括标识、传输</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autoSpaceDE w:val="0"/>
              <w:autoSpaceDN w:val="0"/>
              <w:adjustRightInd w:val="0"/>
              <w:spacing w:line="360" w:lineRule="auto"/>
              <w:ind w:left="578" w:leftChars="275" w:firstLine="102" w:firstLineChars="49"/>
              <w:rPr>
                <w:rFonts w:hint="eastAsia"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autoSpaceDE w:val="0"/>
              <w:autoSpaceDN w:val="0"/>
              <w:adjustRightInd w:val="0"/>
              <w:spacing w:line="360" w:lineRule="auto"/>
              <w:ind w:left="578" w:leftChars="275" w:firstLine="102" w:firstLineChars="49"/>
              <w:rPr>
                <w:u w:val="single"/>
              </w:rPr>
            </w:pPr>
            <w:r>
              <w:rPr>
                <w:rFonts w:hint="eastAsia" w:ascii="华文中宋" w:hAnsi="华文中宋" w:eastAsia="华文中宋" w:cs="宋体"/>
                <w:color w:val="000000"/>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刘天悦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ascii="宋体" w:hAnsi="宋体" w:eastAsia="宋体" w:cs="Times New Roman"/>
                      <w:kern w:val="2"/>
                      <w:sz w:val="24"/>
                      <w:szCs w:val="24"/>
                      <w:lang w:val="en-US" w:eastAsia="zh-CN" w:bidi="ar-SA"/>
                    </w:rPr>
                  </w:pPr>
                  <w:r>
                    <w:rPr>
                      <w:rFonts w:hint="eastAsia" w:ascii="宋体" w:hAnsi="宋体"/>
                      <w:sz w:val="24"/>
                    </w:rPr>
                    <w:t>潜在火灾、</w:t>
                  </w:r>
                  <w:r>
                    <w:rPr>
                      <w:rFonts w:hint="eastAsia" w:ascii="宋体" w:hAnsi="宋体"/>
                      <w:sz w:val="24"/>
                      <w:lang w:val="en-US" w:eastAsia="zh-CN"/>
                    </w:rPr>
                    <w:t>交通意外</w:t>
                  </w:r>
                </w:p>
              </w:tc>
              <w:tc>
                <w:tcPr>
                  <w:tcW w:w="3965" w:type="dxa"/>
                  <w:vAlign w:val="center"/>
                </w:tcPr>
                <w:p>
                  <w:pPr>
                    <w:jc w:val="both"/>
                    <w:rPr>
                      <w:rFonts w:hint="eastAsia" w:ascii="宋体" w:hAnsi="宋体" w:eastAsia="宋体" w:cs="Times New Roman"/>
                      <w:kern w:val="2"/>
                      <w:sz w:val="24"/>
                      <w:szCs w:val="24"/>
                      <w:lang w:val="en-US" w:eastAsia="zh-CN" w:bidi="ar-SA"/>
                    </w:rPr>
                  </w:pPr>
                  <w:r>
                    <w:rPr>
                      <w:rFonts w:hint="eastAsia" w:ascii="宋体" w:hAnsi="宋体"/>
                      <w:sz w:val="24"/>
                    </w:rPr>
                    <w:t>运行控制应急预案</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触电</w:t>
                  </w:r>
                </w:p>
              </w:tc>
              <w:tc>
                <w:tcPr>
                  <w:tcW w:w="3965" w:type="dxa"/>
                  <w:vAlign w:val="center"/>
                </w:tcPr>
                <w:p>
                  <w:pPr>
                    <w:jc w:val="both"/>
                    <w:rPr>
                      <w:rFonts w:hint="eastAsia" w:ascii="宋体" w:hAnsi="宋体" w:eastAsia="宋体" w:cs="Times New Roman"/>
                      <w:kern w:val="2"/>
                      <w:sz w:val="24"/>
                      <w:szCs w:val="24"/>
                      <w:lang w:val="en-US" w:eastAsia="zh-CN" w:bidi="ar-SA"/>
                    </w:rPr>
                  </w:pPr>
                  <w:r>
                    <w:rPr>
                      <w:rFonts w:hint="eastAsia" w:ascii="宋体" w:hAnsi="宋体"/>
                      <w:sz w:val="24"/>
                    </w:rPr>
                    <w:t>管理方案运行控制</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新冠疫情</w:t>
                  </w:r>
                </w:p>
              </w:tc>
              <w:tc>
                <w:tcPr>
                  <w:tcW w:w="3965" w:type="dxa"/>
                  <w:vAlign w:val="top"/>
                </w:tcPr>
                <w:p>
                  <w:pPr>
                    <w:jc w:val="both"/>
                    <w:rPr>
                      <w:rFonts w:hint="eastAsia" w:ascii="宋体" w:hAnsi="宋体" w:eastAsia="宋体" w:cs="Times New Roman"/>
                      <w:kern w:val="2"/>
                      <w:sz w:val="24"/>
                      <w:szCs w:val="24"/>
                      <w:lang w:val="en-US" w:eastAsia="zh-CN" w:bidi="ar-SA"/>
                    </w:rPr>
                  </w:pPr>
                  <w:r>
                    <w:rPr>
                      <w:rFonts w:hint="eastAsia" w:ascii="宋体" w:hAnsi="宋体"/>
                      <w:sz w:val="24"/>
                    </w:rPr>
                    <w:t>管理方案</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val="en-US" w:eastAsia="zh-CN"/>
              </w:rPr>
              <w:t>疫情、交通意外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rPr>
                    <w:t>无触电伤人事故</w:t>
                  </w:r>
                </w:p>
              </w:tc>
              <w:tc>
                <w:tcPr>
                  <w:tcW w:w="3136" w:type="dxa"/>
                  <w:shd w:val="clear" w:color="auto" w:fill="auto"/>
                  <w:vAlign w:val="top"/>
                </w:tcPr>
                <w:p>
                  <w:pPr>
                    <w:rPr>
                      <w:rFonts w:hint="eastAsia"/>
                    </w:rPr>
                  </w:pPr>
                  <w:r>
                    <w:rPr>
                      <w:rFonts w:hint="eastAsia"/>
                    </w:rPr>
                    <w:t>1、各类服务现场活动应与内、外电线保持安全距离，达不到规范规定的最小安全距离时，必须采用可靠的防护和监护措施。2、临时用电配电线必须按规范架设整齐，架空线路必须采用绝缘导线，不得采用塑胶软线。</w:t>
                  </w:r>
                </w:p>
                <w:p>
                  <w:pPr>
                    <w:rPr>
                      <w:rFonts w:hint="eastAsia" w:ascii="Times New Roman" w:hAnsi="Times New Roman" w:eastAsia="宋体" w:cs="Times New Roman"/>
                      <w:kern w:val="2"/>
                      <w:sz w:val="21"/>
                      <w:szCs w:val="24"/>
                      <w:lang w:val="en-GB" w:eastAsia="zh-CN" w:bidi="ar-SA"/>
                    </w:rPr>
                  </w:pPr>
                </w:p>
              </w:tc>
              <w:tc>
                <w:tcPr>
                  <w:tcW w:w="1350" w:type="dxa"/>
                  <w:shd w:val="clear" w:color="auto" w:fill="auto"/>
                  <w:vAlign w:val="top"/>
                </w:tcPr>
                <w:p>
                  <w:pPr>
                    <w:rPr>
                      <w:rFonts w:hint="eastAsia" w:ascii="Times New Roman" w:hAnsi="Times New Roman" w:eastAsia="宋体" w:cs="Times New Roman"/>
                      <w:kern w:val="2"/>
                      <w:sz w:val="21"/>
                      <w:szCs w:val="24"/>
                      <w:lang w:val="en-GB" w:eastAsia="zh-CN" w:bidi="ar-SA"/>
                    </w:rPr>
                  </w:pPr>
                  <w:r>
                    <w:rPr>
                      <w:rFonts w:hint="eastAsia"/>
                    </w:rPr>
                    <w:t>综合部、</w:t>
                  </w:r>
                  <w:r>
                    <w:rPr>
                      <w:rFonts w:hint="eastAsia"/>
                      <w:lang w:eastAsia="zh-CN"/>
                    </w:rPr>
                    <w:t>业务部</w:t>
                  </w:r>
                </w:p>
              </w:tc>
              <w:tc>
                <w:tcPr>
                  <w:tcW w:w="1774"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rPr>
                    <w:t>无火灾事故发生</w:t>
                  </w:r>
                </w:p>
              </w:tc>
              <w:tc>
                <w:tcPr>
                  <w:tcW w:w="3136"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1、易燃易爆物品必须有严格的防火措施，确定防火负责人，配备灭火器材，加强巡查。2、服务材料的存放、使用必须符合防火要求。3、办公区域的用电要符合防火规定。4、制定消防预案，成立应急小组处理突发事件。5、定期对电线、电缆电气设施进行检修。</w:t>
                  </w:r>
                </w:p>
              </w:tc>
              <w:tc>
                <w:tcPr>
                  <w:tcW w:w="135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综合部、</w:t>
                  </w:r>
                  <w:r>
                    <w:rPr>
                      <w:rFonts w:hint="eastAsia"/>
                      <w:lang w:eastAsia="zh-CN"/>
                    </w:rPr>
                    <w:t>业务部</w:t>
                  </w:r>
                </w:p>
              </w:tc>
              <w:tc>
                <w:tcPr>
                  <w:tcW w:w="1774"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rPr>
                    <w:t>安全宣传教育</w:t>
                  </w:r>
                </w:p>
              </w:tc>
              <w:tc>
                <w:tcPr>
                  <w:tcW w:w="3136"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定期进行安全教育培训</w:t>
                  </w:r>
                </w:p>
              </w:tc>
              <w:tc>
                <w:tcPr>
                  <w:tcW w:w="1350"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rPr>
                    <w:t>综合部、</w:t>
                  </w:r>
                  <w:r>
                    <w:rPr>
                      <w:rFonts w:hint="eastAsia"/>
                      <w:lang w:eastAsia="zh-CN"/>
                    </w:rPr>
                    <w:t>业务部</w:t>
                  </w:r>
                </w:p>
              </w:tc>
              <w:tc>
                <w:tcPr>
                  <w:tcW w:w="1774"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213</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Times New Roman" w:hAnsi="Times New Roman" w:eastAsia="宋体" w:cs="Times New Roman"/>
              </w:rPr>
              <w:t>台式电脑、打印机、笔记本电脑、电话</w:t>
            </w:r>
          </w:p>
          <w:p>
            <w:r>
              <w:rPr>
                <w:rFonts w:hint="eastAsia"/>
              </w:rPr>
              <w:t>主要安全装置有：消防系统</w:t>
            </w:r>
          </w:p>
          <w:p>
            <w:pPr>
              <w:rPr>
                <w:u w:val="single"/>
              </w:rPr>
            </w:pPr>
          </w:p>
          <w:p>
            <w:r>
              <w:rPr>
                <w:rFonts w:hint="eastAsia"/>
              </w:rPr>
              <w:t>特种设备：不适用</w:t>
            </w:r>
          </w:p>
          <w:p>
            <w:pPr>
              <w:rPr>
                <w:rFonts w:hint="eastAsia" w:eastAsia="宋体"/>
                <w:lang w:val="en-US" w:eastAsia="zh-CN"/>
              </w:rPr>
            </w:pPr>
            <w:r>
              <w:rPr>
                <w:rFonts w:hint="eastAsia"/>
              </w:rPr>
              <w:t>辅助场所：</w:t>
            </w:r>
            <w:r>
              <w:rPr>
                <w:rFonts w:hint="eastAsia" w:ascii="Wingdings" w:hAnsi="Wingdings"/>
                <w:lang w:val="en-US" w:eastAsia="zh-CN"/>
              </w:rPr>
              <w:t>无</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方法：</w:t>
            </w:r>
            <w:r>
              <w:rPr>
                <w:rFonts w:hint="eastAsia"/>
                <w:lang w:val="en-US" w:eastAsia="zh-CN"/>
              </w:rPr>
              <w:t>不适用</w:t>
            </w:r>
          </w:p>
          <w:p>
            <w:pPr>
              <w:rPr>
                <w:rFonts w:hint="eastAsia" w:eastAsia="宋体"/>
                <w:lang w:val="en-US" w:eastAsia="zh-CN"/>
              </w:rPr>
            </w:pPr>
            <w:r>
              <w:rPr>
                <w:rFonts w:hint="eastAsia"/>
              </w:rPr>
              <w:t>职业健康安全监测的计量器具有：</w:t>
            </w:r>
            <w:r>
              <w:rPr>
                <w:rFonts w:hint="eastAsia"/>
                <w:lang w:val="en-US" w:eastAsia="zh-CN"/>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val="en-US" w:eastAsia="zh-CN"/>
              </w:rPr>
            </w:pPr>
            <w:r>
              <w:rPr>
                <w:rFonts w:hint="eastAsia"/>
              </w:rPr>
              <w:t>外部提供包括：</w:t>
            </w:r>
            <w:r>
              <w:rPr>
                <w:rFonts w:hint="eastAsia"/>
                <w:lang w:val="en-US" w:eastAsia="zh-CN"/>
              </w:rPr>
              <w:t>无</w:t>
            </w:r>
          </w:p>
          <w:p>
            <w:pPr>
              <w:jc w:val="left"/>
              <w:rPr>
                <w:rFonts w:hint="eastAsia" w:eastAsia="宋体"/>
                <w:lang w:eastAsia="zh-CN"/>
              </w:rPr>
            </w:pPr>
            <w:r>
              <w:rPr>
                <w:rFonts w:hint="eastAsia"/>
              </w:rPr>
              <w:t>控制方式：</w:t>
            </w:r>
            <w:r>
              <w:rPr>
                <w:rFonts w:hint="eastAsia" w:ascii="Wingdings" w:hAnsi="Wingdings"/>
                <w:lang w:val="en-US" w:eastAsia="zh-CN"/>
              </w:rPr>
              <w:t>不涉及</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应急预案、演练</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Wingdings" w:hAnsi="Wingdings"/>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p>
          <w:p>
            <w:pPr>
              <w:rPr>
                <w:rFonts w:hint="eastAsia" w:eastAsia="宋体"/>
                <w:u w:val="single"/>
                <w:lang w:val="en-US" w:eastAsia="zh-CN"/>
              </w:rPr>
            </w:pPr>
            <w:r>
              <w:rPr>
                <w:rFonts w:hint="eastAsia"/>
              </w:rPr>
              <w:t>特种设备管理：</w:t>
            </w:r>
            <w:r>
              <w:rPr>
                <w:rFonts w:hint="eastAsia" w:ascii="Wingdings" w:hAnsi="Wingdings"/>
              </w:rPr>
              <w:t>¨</w:t>
            </w:r>
            <w:r>
              <w:rPr>
                <w:rFonts w:hint="eastAsia" w:ascii="Wingdings" w:hAnsi="Wingdings"/>
                <w:lang w:val="en-US" w:eastAsia="zh-CN"/>
              </w:rPr>
              <w:t>不适合</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eastAsia" w:eastAsia="宋体"/>
                <w:lang w:eastAsia="zh-CN"/>
              </w:rPr>
            </w:pPr>
            <w:r>
              <w:rPr>
                <w:rFonts w:hint="eastAsia"/>
              </w:rPr>
              <w:t>采用的标识方式：</w:t>
            </w:r>
            <w:r>
              <w:rPr>
                <w:rFonts w:hint="eastAsia" w:ascii="Wingdings" w:hAnsi="Wingdings"/>
                <w:lang w:val="en-US" w:eastAsia="zh-CN"/>
              </w:rPr>
              <w:t>不涉及</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rPr>
                <w:rFonts w:hint="eastAsia" w:eastAsia="宋体"/>
                <w:lang w:val="en-US" w:eastAsia="zh-CN"/>
              </w:rPr>
            </w:pPr>
            <w:r>
              <w:rPr>
                <w:rFonts w:hint="eastAsia"/>
              </w:rPr>
              <w:t>危化品：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组织对产品和服务交付后活动的要求。最终处置</w:t>
            </w:r>
            <w:r>
              <w:rPr>
                <w:rFonts w:hint="eastAsia" w:ascii="Wingdings" w:hAnsi="Wingdings"/>
              </w:rPr>
              <w:t>¨</w:t>
            </w:r>
            <w:r>
              <w:rPr>
                <w:rFonts w:hint="eastAsia"/>
              </w:rPr>
              <w:t>其他</w:t>
            </w:r>
          </w:p>
          <w:p>
            <w:pPr>
              <w:rPr>
                <w:rFonts w:hint="eastAsia" w:eastAsia="宋体"/>
                <w:lang w:eastAsia="zh-CN"/>
              </w:rPr>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rPr>
            </w:pPr>
            <w:r>
              <w:rPr>
                <w:rFonts w:hint="eastAsia" w:ascii="Wingdings" w:hAnsi="Wingdings"/>
              </w:rPr>
              <w:t>¨</w:t>
            </w:r>
            <w:r>
              <w:rPr>
                <w:rFonts w:hint="eastAsia"/>
              </w:rPr>
              <w:t>火灾控制</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p>
          <w:p/>
          <w:p>
            <w:r>
              <w:rPr>
                <w:rFonts w:hint="eastAsia"/>
              </w:rPr>
              <w:t>于</w:t>
            </w:r>
            <w:r>
              <w:rPr>
                <w:rFonts w:hint="eastAsia"/>
                <w:lang w:val="en-US" w:eastAsia="zh-CN"/>
              </w:rPr>
              <w:t>2022</w:t>
            </w:r>
            <w:r>
              <w:rPr>
                <w:rFonts w:hint="eastAsia"/>
              </w:rPr>
              <w:t>年</w:t>
            </w:r>
            <w:r>
              <w:rPr>
                <w:rFonts w:hint="eastAsia"/>
                <w:lang w:val="en-US" w:eastAsia="zh-CN"/>
              </w:rPr>
              <w:t>3月23</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NDgxNDc1YjkxYWRmMTllNWNjNGQwYzE0NTkzY2MifQ=="/>
  </w:docVars>
  <w:rsids>
    <w:rsidRoot w:val="00000000"/>
    <w:rsid w:val="36BD5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18652</Words>
  <Characters>19414</Characters>
  <Lines>150</Lines>
  <Paragraphs>42</Paragraphs>
  <TotalTime>0</TotalTime>
  <ScaleCrop>false</ScaleCrop>
  <LinksUpToDate>false</LinksUpToDate>
  <CharactersWithSpaces>19535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2022-05-20T04:35:17Z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