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424" w:type="dxa"/>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1040"/>
        <w:gridCol w:w="893"/>
        <w:gridCol w:w="9373"/>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33" w:type="dxa"/>
            <w:vMerge w:val="restart"/>
            <w:shd w:val="clear" w:color="auto" w:fill="auto"/>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40" w:type="dxa"/>
            <w:vMerge w:val="restart"/>
            <w:shd w:val="clear" w:color="auto" w:fill="auto"/>
            <w:vAlign w:val="center"/>
          </w:tcPr>
          <w:p>
            <w:pPr>
              <w:rPr>
                <w:sz w:val="24"/>
                <w:szCs w:val="24"/>
              </w:rPr>
            </w:pPr>
            <w:r>
              <w:rPr>
                <w:rFonts w:hint="eastAsia"/>
                <w:sz w:val="24"/>
                <w:szCs w:val="24"/>
              </w:rPr>
              <w:t>涉及</w:t>
            </w:r>
          </w:p>
          <w:p>
            <w:r>
              <w:rPr>
                <w:rFonts w:hint="eastAsia"/>
                <w:sz w:val="24"/>
                <w:szCs w:val="24"/>
              </w:rPr>
              <w:t>条款</w:t>
            </w:r>
          </w:p>
        </w:tc>
        <w:tc>
          <w:tcPr>
            <w:tcW w:w="10266" w:type="dxa"/>
            <w:gridSpan w:val="2"/>
            <w:shd w:val="clear" w:color="auto" w:fill="auto"/>
            <w:vAlign w:val="center"/>
          </w:tcPr>
          <w:p>
            <w:pPr>
              <w:rPr>
                <w:sz w:val="24"/>
                <w:szCs w:val="24"/>
              </w:rPr>
            </w:pPr>
            <w:r>
              <w:rPr>
                <w:rFonts w:hint="eastAsia"/>
                <w:sz w:val="24"/>
                <w:szCs w:val="24"/>
              </w:rPr>
              <w:t xml:space="preserve">受审核部门：领导层 </w:t>
            </w:r>
            <w:r>
              <w:rPr>
                <w:sz w:val="24"/>
                <w:szCs w:val="24"/>
              </w:rPr>
              <w:t xml:space="preserve">       </w:t>
            </w:r>
            <w:r>
              <w:rPr>
                <w:rFonts w:hint="eastAsia"/>
                <w:sz w:val="24"/>
                <w:szCs w:val="24"/>
              </w:rPr>
              <w:t>主管领导：卢利芬</w:t>
            </w:r>
            <w:r>
              <w:rPr>
                <w:sz w:val="24"/>
                <w:szCs w:val="24"/>
              </w:rPr>
              <w:t xml:space="preserve">   </w:t>
            </w:r>
            <w:r>
              <w:rPr>
                <w:rFonts w:hint="eastAsia"/>
                <w:sz w:val="24"/>
                <w:szCs w:val="24"/>
              </w:rPr>
              <w:t>陪同人员：邵霞</w:t>
            </w:r>
          </w:p>
        </w:tc>
        <w:tc>
          <w:tcPr>
            <w:tcW w:w="1585" w:type="dxa"/>
            <w:vMerge w:val="restart"/>
            <w:shd w:val="clear" w:color="auto" w:fill="auto"/>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33" w:type="dxa"/>
            <w:vMerge w:val="continue"/>
            <w:shd w:val="clear" w:color="auto" w:fill="auto"/>
            <w:vAlign w:val="center"/>
          </w:tcPr>
          <w:p/>
        </w:tc>
        <w:tc>
          <w:tcPr>
            <w:tcW w:w="1040" w:type="dxa"/>
            <w:vMerge w:val="continue"/>
            <w:shd w:val="clear" w:color="auto" w:fill="auto"/>
            <w:vAlign w:val="center"/>
          </w:tcPr>
          <w:p/>
        </w:tc>
        <w:tc>
          <w:tcPr>
            <w:tcW w:w="10266" w:type="dxa"/>
            <w:gridSpan w:val="2"/>
            <w:shd w:val="clear" w:color="auto" w:fill="auto"/>
            <w:vAlign w:val="center"/>
          </w:tcPr>
          <w:p>
            <w:pPr>
              <w:pStyle w:val="13"/>
              <w:rPr>
                <w:szCs w:val="21"/>
              </w:rPr>
            </w:pPr>
            <w:r>
              <w:rPr>
                <w:rFonts w:hint="eastAsia"/>
                <w:szCs w:val="21"/>
              </w:rPr>
              <w:t>审核员：肖新龙：H(F)</w:t>
            </w:r>
            <w:r>
              <w:rPr>
                <w:szCs w:val="21"/>
              </w:rPr>
              <w:t xml:space="preserve"> </w:t>
            </w:r>
            <w:r>
              <w:rPr>
                <w:rFonts w:hint="eastAsia"/>
                <w:szCs w:val="21"/>
              </w:rPr>
              <w:t>（远程）</w:t>
            </w:r>
            <w:r>
              <w:rPr>
                <w:szCs w:val="21"/>
              </w:rPr>
              <w:t xml:space="preserve"> </w:t>
            </w:r>
            <w:r>
              <w:rPr>
                <w:rFonts w:hint="eastAsia"/>
                <w:szCs w:val="21"/>
              </w:rPr>
              <w:t xml:space="preserve">任泽华:F（H 实习）（远程）  </w:t>
            </w:r>
            <w:r>
              <w:rPr>
                <w:szCs w:val="21"/>
              </w:rPr>
              <w:t xml:space="preserve">      </w:t>
            </w:r>
          </w:p>
          <w:p>
            <w:pPr>
              <w:pStyle w:val="13"/>
              <w:rPr>
                <w:rFonts w:hint="default" w:eastAsia="宋体"/>
                <w:szCs w:val="21"/>
                <w:lang w:val="en-US" w:eastAsia="zh-CN"/>
              </w:rPr>
            </w:pPr>
            <w:r>
              <w:rPr>
                <w:rFonts w:hint="eastAsia"/>
                <w:szCs w:val="21"/>
              </w:rPr>
              <w:t>审核日期：2022-0</w:t>
            </w:r>
            <w:r>
              <w:rPr>
                <w:szCs w:val="21"/>
              </w:rPr>
              <w:t>5</w:t>
            </w:r>
            <w:r>
              <w:rPr>
                <w:rFonts w:hint="eastAsia"/>
                <w:szCs w:val="21"/>
              </w:rPr>
              <w:t>-2</w:t>
            </w:r>
            <w:r>
              <w:rPr>
                <w:szCs w:val="21"/>
              </w:rPr>
              <w:t>7</w:t>
            </w:r>
            <w:r>
              <w:rPr>
                <w:rFonts w:hint="eastAsia"/>
                <w:szCs w:val="21"/>
                <w:lang w:val="en-US" w:eastAsia="zh-CN"/>
              </w:rPr>
              <w:t xml:space="preserve">   审核方式：腾讯会议/微信/电话</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33" w:type="dxa"/>
            <w:vMerge w:val="continue"/>
            <w:shd w:val="clear" w:color="auto" w:fill="auto"/>
            <w:vAlign w:val="center"/>
          </w:tcPr>
          <w:p/>
        </w:tc>
        <w:tc>
          <w:tcPr>
            <w:tcW w:w="1040" w:type="dxa"/>
            <w:vMerge w:val="continue"/>
            <w:shd w:val="clear" w:color="auto" w:fill="auto"/>
            <w:vAlign w:val="center"/>
          </w:tcPr>
          <w:p/>
        </w:tc>
        <w:tc>
          <w:tcPr>
            <w:tcW w:w="10266" w:type="dxa"/>
            <w:gridSpan w:val="2"/>
            <w:shd w:val="clear" w:color="auto" w:fill="auto"/>
            <w:vAlign w:val="center"/>
          </w:tcPr>
          <w:p>
            <w:pPr>
              <w:tabs>
                <w:tab w:val="left" w:pos="709"/>
              </w:tabs>
              <w:spacing w:line="360" w:lineRule="auto"/>
              <w:ind w:right="57"/>
              <w:jc w:val="left"/>
            </w:pPr>
            <w:r>
              <w:rPr>
                <w:rFonts w:hint="eastAsia"/>
              </w:rPr>
              <w:t>审核条款：</w:t>
            </w:r>
          </w:p>
          <w:p>
            <w:pPr>
              <w:spacing w:line="360" w:lineRule="auto"/>
              <w:ind w:firstLine="1050" w:firstLineChars="500"/>
            </w:pPr>
            <w:r>
              <w:t>F:4.1-4.4/5.1/5.2/5.3/6.1/6. 2/6.3/7.1.1/7.4/7.5.1/8.1/8. 4/9.1.1/9.2/9.3/10.1-10.3</w:t>
            </w:r>
          </w:p>
          <w:p>
            <w:pPr>
              <w:snapToGrid w:val="0"/>
              <w:spacing w:line="360" w:lineRule="auto"/>
              <w:ind w:firstLine="1050" w:firstLineChars="500"/>
              <w:jc w:val="left"/>
            </w:pPr>
            <w:r>
              <w:rPr>
                <w:rFonts w:hint="eastAsia"/>
              </w:rPr>
              <w:t>H：1.1/1.2.1/1.2.2/2.1- 2.5/3.1/3.13/5.1/5.3/5.4/5. 5</w:t>
            </w:r>
          </w:p>
          <w:p>
            <w:pPr>
              <w:pStyle w:val="13"/>
              <w:ind w:firstLine="1150" w:firstLineChars="500"/>
              <w:rPr>
                <w:rFonts w:hint="eastAsia"/>
              </w:rPr>
            </w:pPr>
            <w:r>
              <w:rPr>
                <w:rFonts w:hint="eastAsia"/>
              </w:rPr>
              <w:t>企业资质、证书使用、职能部门监督检查、重大客户投诉等</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33" w:type="dxa"/>
            <w:vMerge w:val="restart"/>
            <w:shd w:val="clear" w:color="auto" w:fill="auto"/>
          </w:tcPr>
          <w:p>
            <w:r>
              <w:rPr>
                <w:rFonts w:hint="eastAsia"/>
              </w:rPr>
              <w:t>理解组织及其环境</w:t>
            </w:r>
          </w:p>
        </w:tc>
        <w:tc>
          <w:tcPr>
            <w:tcW w:w="1040" w:type="dxa"/>
            <w:vMerge w:val="restart"/>
            <w:shd w:val="clear" w:color="auto" w:fill="auto"/>
          </w:tcPr>
          <w:p>
            <w:r>
              <w:rPr>
                <w:rFonts w:hint="eastAsia"/>
              </w:rPr>
              <w:t>F4.1</w:t>
            </w:r>
          </w:p>
        </w:tc>
        <w:tc>
          <w:tcPr>
            <w:tcW w:w="893" w:type="dxa"/>
            <w:shd w:val="clear" w:color="auto" w:fill="auto"/>
          </w:tcPr>
          <w:p>
            <w:r>
              <w:rPr>
                <w:rFonts w:hint="eastAsia"/>
              </w:rPr>
              <w:t>文件名称</w:t>
            </w:r>
          </w:p>
        </w:tc>
        <w:tc>
          <w:tcPr>
            <w:tcW w:w="9373" w:type="dxa"/>
            <w:shd w:val="clear" w:color="auto" w:fill="auto"/>
          </w:tcPr>
          <w:p>
            <w:r>
              <w:rPr>
                <w:rFonts w:hint="eastAsia"/>
              </w:rPr>
              <w:t>如：</w:t>
            </w:r>
            <w:r>
              <w:t xml:space="preserve"> </w:t>
            </w:r>
            <w:r>
              <w:rPr/>
              <w:sym w:font="Wingdings" w:char="00FE"/>
            </w:r>
            <w:r>
              <w:rPr>
                <w:rFonts w:hint="eastAsia"/>
              </w:rPr>
              <w:t>管理手册第4.1章、</w:t>
            </w:r>
            <w:r>
              <w:rPr/>
              <w:sym w:font="Wingdings" w:char="00A8"/>
            </w:r>
            <w:r>
              <w:rPr>
                <w:rFonts w:hint="eastAsia"/>
              </w:rPr>
              <w:t>组织内外部环境要素识别表、</w:t>
            </w:r>
            <w:r>
              <w:rPr/>
              <w:sym w:font="Wingdings" w:char="00A8"/>
            </w:r>
            <w:r>
              <w:rPr>
                <w:rFonts w:hint="eastAsia"/>
              </w:rPr>
              <w:t>《公司环境分析控制程序 》</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p>
            <w:pPr>
              <w:rPr>
                <w:color w:val="000000"/>
                <w:szCs w:val="21"/>
              </w:rPr>
            </w:pPr>
            <w:r>
              <w:rPr>
                <w:rFonts w:hint="eastAsia"/>
                <w:color w:val="000000"/>
                <w:szCs w:val="21"/>
              </w:rPr>
              <w:t>与最高管理者现场沟通：</w:t>
            </w:r>
          </w:p>
          <w:p>
            <w:pPr>
              <w:rPr>
                <w:color w:val="000000"/>
                <w:szCs w:val="21"/>
              </w:rPr>
            </w:pPr>
            <w:r>
              <w:rPr>
                <w:rFonts w:hint="eastAsia"/>
                <w:color w:val="000000"/>
                <w:szCs w:val="21"/>
              </w:rPr>
              <w:t>组织的环境：</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7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r>
                    <w:rPr>
                      <w:rFonts w:hint="eastAsia"/>
                    </w:rPr>
                    <w:t>外部环境</w:t>
                  </w:r>
                </w:p>
              </w:tc>
              <w:tc>
                <w:tcPr>
                  <w:tcW w:w="7212"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w:t>
                  </w:r>
                  <w:r>
                    <w:rPr>
                      <w:rFonts w:hint="eastAsia"/>
                    </w:rPr>
                    <w:sym w:font="Wingdings 2" w:char="0052"/>
                  </w:r>
                  <w:r>
                    <w:rPr>
                      <w:rFonts w:hint="eastAsia"/>
                    </w:rPr>
                    <w:t xml:space="preserve">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网络安全</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r>
                    <w:rPr>
                      <w:rFonts w:hint="eastAsia"/>
                    </w:rPr>
                    <w:t>列举主要的内容</w:t>
                  </w:r>
                </w:p>
              </w:tc>
              <w:tc>
                <w:tcPr>
                  <w:tcW w:w="7212" w:type="dxa"/>
                </w:tcPr>
                <w:p>
                  <w:r>
                    <w:rPr>
                      <w:rFonts w:hint="eastAsia"/>
                    </w:rPr>
                    <w:t>教育系统的招投标、教育局和学校的不定期抽查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r>
                    <w:rPr>
                      <w:rFonts w:hint="eastAsia"/>
                    </w:rPr>
                    <w:t>内部环境</w:t>
                  </w:r>
                </w:p>
              </w:tc>
              <w:tc>
                <w:tcPr>
                  <w:tcW w:w="7212"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绩效  </w:t>
                  </w:r>
                  <w:r>
                    <w:rPr>
                      <w:rFonts w:hint="eastAsia"/>
                    </w:rPr>
                    <w:sym w:font="Wingdings 2" w:char="0052"/>
                  </w:r>
                  <w:r>
                    <w:rPr>
                      <w:rFonts w:hint="eastAsia"/>
                    </w:rPr>
                    <w:t xml:space="preserve">工艺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769" w:type="dxa"/>
                </w:tcPr>
                <w:p>
                  <w:r>
                    <w:rPr>
                      <w:rFonts w:hint="eastAsia"/>
                    </w:rPr>
                    <w:t>列举主要的内容</w:t>
                  </w:r>
                </w:p>
              </w:tc>
              <w:tc>
                <w:tcPr>
                  <w:tcW w:w="7212" w:type="dxa"/>
                </w:tcPr>
                <w:p>
                  <w:r>
                    <w:rPr>
                      <w:rFonts w:hint="eastAsia"/>
                    </w:rPr>
                    <w:t>基层员工在质量和食品安全意识上公司不断在加强，但仍需持续提高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r>
                    <w:rPr>
                      <w:rFonts w:hint="eastAsia"/>
                      <w:color w:val="000000"/>
                      <w:szCs w:val="21"/>
                    </w:rPr>
                    <w:t>组织优势说明</w:t>
                  </w:r>
                </w:p>
              </w:tc>
              <w:tc>
                <w:tcPr>
                  <w:tcW w:w="7212" w:type="dxa"/>
                </w:tcPr>
                <w:p>
                  <w:r>
                    <w:rPr>
                      <w:rFonts w:hint="eastAsia"/>
                    </w:rPr>
                    <w:t>产品质量稳定；服务客户意识较强；</w:t>
                  </w:r>
                </w:p>
                <w:p>
                  <w:pPr>
                    <w:pStyle w:val="13"/>
                  </w:pPr>
                  <w:r>
                    <w:rPr>
                      <w:rFonts w:hint="eastAsia"/>
                    </w:rPr>
                    <w:t>通过多年的体系管理，监管部门检查结果均较优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r>
                    <w:rPr>
                      <w:rFonts w:hint="eastAsia"/>
                      <w:color w:val="000000"/>
                      <w:szCs w:val="21"/>
                    </w:rPr>
                    <w:t>组织劣势说明</w:t>
                  </w:r>
                </w:p>
              </w:tc>
              <w:tc>
                <w:tcPr>
                  <w:tcW w:w="7212" w:type="dxa"/>
                </w:tcPr>
                <w:p>
                  <w:pPr>
                    <w:rPr>
                      <w:rFonts w:ascii="宋体" w:hAnsi="宋体"/>
                      <w:kern w:val="0"/>
                      <w:szCs w:val="21"/>
                    </w:rPr>
                  </w:pPr>
                  <w:r>
                    <w:rPr>
                      <w:rFonts w:hint="eastAsia" w:ascii="宋体" w:hAnsi="宋体"/>
                      <w:kern w:val="0"/>
                      <w:szCs w:val="21"/>
                    </w:rPr>
                    <w:t>核心人才招聘困难、品牌影响力度还不够大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r>
                    <w:rPr>
                      <w:rFonts w:hint="eastAsia"/>
                      <w:color w:val="000000"/>
                      <w:szCs w:val="21"/>
                    </w:rPr>
                    <w:t>主要风险的说明</w:t>
                  </w:r>
                </w:p>
              </w:tc>
              <w:tc>
                <w:tcPr>
                  <w:tcW w:w="7212" w:type="dxa"/>
                </w:tcPr>
                <w:p>
                  <w:r>
                    <w:rPr>
                      <w:rFonts w:hint="eastAsia"/>
                    </w:rPr>
                    <w:t>果蔬等易腐产品，分拣不够细致，易导致退换货，甚至客户投诉等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r>
                    <w:rPr>
                      <w:rFonts w:hint="eastAsia"/>
                      <w:color w:val="000000"/>
                      <w:szCs w:val="21"/>
                    </w:rPr>
                    <w:t>机遇的说明</w:t>
                  </w:r>
                </w:p>
              </w:tc>
              <w:tc>
                <w:tcPr>
                  <w:tcW w:w="7212" w:type="dxa"/>
                </w:tcPr>
                <w:p>
                  <w:r>
                    <w:rPr>
                      <w:rFonts w:hint="eastAsia"/>
                    </w:rPr>
                    <w:t>硬件条件相对占优；通过建立体系强化内部管理</w:t>
                  </w:r>
                </w:p>
              </w:tc>
            </w:tr>
          </w:tbl>
          <w:p>
            <w:pPr>
              <w:rPr>
                <w:color w:val="000000"/>
                <w:szCs w:val="21"/>
              </w:rPr>
            </w:pPr>
          </w:p>
          <w:p>
            <w:pPr>
              <w:rPr>
                <w:color w:val="000000"/>
                <w:szCs w:val="21"/>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《组织内外部环境要素识别表》</w:t>
            </w:r>
            <w:r>
              <w:rPr>
                <w:rFonts w:hint="eastAsia"/>
              </w:rPr>
              <w:t xml:space="preserve"> </w:t>
            </w:r>
            <w:r>
              <w:rPr>
                <w:rFonts w:hint="eastAsia"/>
              </w:rPr>
              <w:sym w:font="Wingdings" w:char="00A8"/>
            </w:r>
            <w:r>
              <w:rPr>
                <w:rFonts w:hint="eastAsia"/>
              </w:rPr>
              <w:t xml:space="preserve">《组织及其环境分析表》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33" w:type="dxa"/>
            <w:vMerge w:val="restart"/>
            <w:shd w:val="clear" w:color="auto" w:fill="auto"/>
          </w:tcPr>
          <w:p>
            <w:r>
              <w:rPr>
                <w:rFonts w:hint="eastAsia"/>
              </w:rPr>
              <w:t>理解相关方的需求和期望/合规义务</w:t>
            </w:r>
          </w:p>
        </w:tc>
        <w:tc>
          <w:tcPr>
            <w:tcW w:w="1040" w:type="dxa"/>
            <w:vMerge w:val="restart"/>
            <w:shd w:val="clear" w:color="auto" w:fill="auto"/>
          </w:tcPr>
          <w:p>
            <w:r>
              <w:rPr>
                <w:rFonts w:hint="eastAsia"/>
              </w:rPr>
              <w:t>F4.2</w:t>
            </w:r>
          </w:p>
          <w:p>
            <w:r>
              <w:rPr>
                <w:rFonts w:hint="eastAsia"/>
              </w:rPr>
              <w:t>H(V1.0)</w:t>
            </w:r>
          </w:p>
          <w:p>
            <w:r>
              <w:rPr>
                <w:rFonts w:hint="eastAsia"/>
              </w:rPr>
              <w:t xml:space="preserve">2.2  </w:t>
            </w:r>
          </w:p>
          <w:p>
            <w:pPr>
              <w:pStyle w:val="6"/>
            </w:pPr>
          </w:p>
        </w:tc>
        <w:tc>
          <w:tcPr>
            <w:tcW w:w="893" w:type="dxa"/>
            <w:shd w:val="clear" w:color="auto" w:fill="auto"/>
          </w:tcPr>
          <w:p>
            <w:r>
              <w:rPr>
                <w:rFonts w:hint="eastAsia"/>
              </w:rPr>
              <w:t>文件名称</w:t>
            </w:r>
          </w:p>
        </w:tc>
        <w:tc>
          <w:tcPr>
            <w:tcW w:w="9373" w:type="dxa"/>
            <w:shd w:val="clear" w:color="auto" w:fill="auto"/>
          </w:tcPr>
          <w:p>
            <w:r>
              <w:rPr>
                <w:rFonts w:hint="eastAsia"/>
              </w:rPr>
              <w:t>如：《相关方需求和期望控制程序》、</w:t>
            </w:r>
            <w:r>
              <w:rPr/>
              <w:sym w:font="Wingdings" w:char="00FE"/>
            </w:r>
            <w:r>
              <w:rPr>
                <w:rFonts w:hint="eastAsia"/>
              </w:rPr>
              <w:t>管理手册第4.2条款</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p>
            <w:pPr>
              <w:rPr>
                <w:color w:val="000000"/>
                <w:szCs w:val="21"/>
              </w:rPr>
            </w:pPr>
            <w:r>
              <w:rPr>
                <w:rFonts w:hint="eastAsia"/>
                <w:color w:val="000000"/>
                <w:szCs w:val="21"/>
              </w:rPr>
              <w:t xml:space="preserve"> </w:t>
            </w:r>
          </w:p>
          <w:tbl>
            <w:tblPr>
              <w:tblStyle w:val="10"/>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43"/>
              <w:gridCol w:w="4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重要的相关方</w:t>
                  </w:r>
                </w:p>
              </w:tc>
              <w:tc>
                <w:tcPr>
                  <w:tcW w:w="2443" w:type="dxa"/>
                </w:tcPr>
                <w:p>
                  <w:r>
                    <w:rPr>
                      <w:rFonts w:hint="eastAsia"/>
                    </w:rPr>
                    <w:t>相关方名称举例</w:t>
                  </w:r>
                </w:p>
              </w:tc>
              <w:tc>
                <w:tcPr>
                  <w:tcW w:w="4987" w:type="dxa"/>
                </w:tcPr>
                <w:p>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主管部门</w:t>
                  </w:r>
                </w:p>
              </w:tc>
              <w:tc>
                <w:tcPr>
                  <w:tcW w:w="2443" w:type="dxa"/>
                </w:tcPr>
                <w:p>
                  <w:r>
                    <w:rPr>
                      <w:rFonts w:hint="eastAsia"/>
                    </w:rPr>
                    <w:t>杭州市市场监督管理局</w:t>
                  </w:r>
                </w:p>
              </w:tc>
              <w:tc>
                <w:tcPr>
                  <w:tcW w:w="4987"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遵守食品安全相关的法律法规</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shd w:val="clear" w:color="auto" w:fill="auto"/>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供方</w:t>
                  </w:r>
                </w:p>
              </w:tc>
              <w:tc>
                <w:tcPr>
                  <w:tcW w:w="2443" w:type="dxa"/>
                  <w:shd w:val="clear" w:color="auto" w:fill="auto"/>
                </w:tcPr>
                <w:p>
                  <w:pPr>
                    <w:pStyle w:val="2"/>
                    <w:ind w:left="0" w:firstLine="0" w:firstLineChars="0"/>
                  </w:pPr>
                  <w:r>
                    <w:rPr>
                      <w:rFonts w:hint="eastAsia"/>
                    </w:rPr>
                    <w:t>临安魏宇水产商行、浙江省盐业集团临安区盐业有限公司、杭州喜膳食品有限公司等</w:t>
                  </w:r>
                </w:p>
              </w:tc>
              <w:tc>
                <w:tcPr>
                  <w:tcW w:w="4987" w:type="dxa"/>
                  <w:shd w:val="clear" w:color="auto" w:fill="auto"/>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组织的持续经营、明示质量/食品安全采购要求</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81" w:type="dxa"/>
                </w:tcPr>
                <w:p>
                  <w:r>
                    <w:rPr>
                      <w:rFonts w:hint="eastAsia"/>
                    </w:rPr>
                    <w:t>☑顾客</w:t>
                  </w:r>
                </w:p>
              </w:tc>
              <w:tc>
                <w:tcPr>
                  <w:tcW w:w="2443" w:type="dxa"/>
                </w:tcPr>
                <w:p>
                  <w:pPr>
                    <w:pStyle w:val="2"/>
                    <w:ind w:left="0" w:firstLine="0" w:firstLineChars="0"/>
                  </w:pPr>
                  <w:r>
                    <w:rPr>
                      <w:rFonts w:hint="eastAsia"/>
                    </w:rPr>
                    <w:t>锦城二中、青山初中、大院新城园区、高虹幼儿园德胜校区等</w:t>
                  </w:r>
                </w:p>
              </w:tc>
              <w:tc>
                <w:tcPr>
                  <w:tcW w:w="4987"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按时按质按量交付产品或服务；</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产品/服务质量持续满足要求</w:t>
                  </w:r>
                </w:p>
                <w:p>
                  <w:pPr>
                    <w:ind w:left="210" w:hanging="210" w:hangingChars="100"/>
                  </w:pPr>
                  <w:r>
                    <w:rPr>
                      <w:rFonts w:hint="eastAsia"/>
                    </w:rPr>
                    <w:t>☑不因食品安全问题影响按时按质按量交付产品或服务；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消费者</w:t>
                  </w:r>
                </w:p>
              </w:tc>
              <w:tc>
                <w:tcPr>
                  <w:tcW w:w="2443" w:type="dxa"/>
                </w:tcPr>
                <w:p>
                  <w:r>
                    <w:rPr>
                      <w:rFonts w:hint="eastAsia"/>
                    </w:rPr>
                    <w:t>普通大众</w:t>
                  </w:r>
                </w:p>
              </w:tc>
              <w:tc>
                <w:tcPr>
                  <w:tcW w:w="4987" w:type="dxa"/>
                </w:tcPr>
                <w:p>
                  <w:r>
                    <w:rPr>
                      <w:rFonts w:hint="eastAsia"/>
                    </w:rPr>
                    <w:t>☑良好的使用感受</w:t>
                  </w:r>
                </w:p>
                <w:p>
                  <w:r>
                    <w:rPr>
                      <w:rFonts w:hint="eastAsia"/>
                    </w:rPr>
                    <w:t>☑不因食品安全问题带来健康损害和生命威胁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sym w:font="Wingdings 2" w:char="0052"/>
                  </w:r>
                  <w:r>
                    <w:rPr>
                      <w:rFonts w:hint="eastAsia"/>
                    </w:rPr>
                    <w:t>员工</w:t>
                  </w:r>
                </w:p>
              </w:tc>
              <w:tc>
                <w:tcPr>
                  <w:tcW w:w="2443" w:type="dxa"/>
                </w:tcPr>
                <w:p>
                  <w:pPr>
                    <w:rPr>
                      <w:szCs w:val="24"/>
                    </w:rPr>
                  </w:pPr>
                  <w:r>
                    <w:rPr>
                      <w:rFonts w:hint="eastAsia"/>
                      <w:szCs w:val="24"/>
                    </w:rPr>
                    <w:t>企业员工</w:t>
                  </w:r>
                </w:p>
              </w:tc>
              <w:tc>
                <w:tcPr>
                  <w:tcW w:w="4987" w:type="dxa"/>
                </w:tcPr>
                <w:p>
                  <w:r>
                    <w:rPr>
                      <w:rFonts w:hint="eastAsia"/>
                    </w:rPr>
                    <w:t>☑组织的持续经营、自我发展</w:t>
                  </w:r>
                </w:p>
                <w:p>
                  <w:r>
                    <w:rPr>
                      <w:rFonts w:hint="eastAsia"/>
                    </w:rPr>
                    <w:t>☑不因食品安全问题停产，组织持续经营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□投资方</w:t>
                  </w:r>
                </w:p>
              </w:tc>
              <w:tc>
                <w:tcPr>
                  <w:tcW w:w="2443" w:type="dxa"/>
                </w:tcPr>
                <w:p>
                  <w:r>
                    <w:rPr>
                      <w:rFonts w:hint="eastAsia"/>
                    </w:rPr>
                    <w:t>——</w:t>
                  </w:r>
                </w:p>
              </w:tc>
              <w:tc>
                <w:tcPr>
                  <w:tcW w:w="4987"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组织的持续经营、盈利</w:t>
                  </w:r>
                </w:p>
                <w:p>
                  <w:r>
                    <w:rPr>
                      <w:rFonts w:hint="eastAsia"/>
                    </w:rPr>
                    <w:t>□不因食品安全问题停产，组织持续经营、盈利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r>
                    <w:rPr>
                      <w:rFonts w:hint="eastAsia"/>
                    </w:rPr>
                    <w:sym w:font="Wingdings 2" w:char="0052"/>
                  </w:r>
                  <w:r>
                    <w:rPr>
                      <w:rFonts w:hint="eastAsia"/>
                    </w:rPr>
                    <w:t>社区</w:t>
                  </w:r>
                </w:p>
              </w:tc>
              <w:tc>
                <w:tcPr>
                  <w:tcW w:w="2443" w:type="dxa"/>
                </w:tcPr>
                <w:p>
                  <w:r>
                    <w:rPr>
                      <w:rFonts w:hint="eastAsia"/>
                    </w:rPr>
                    <w:t>——</w:t>
                  </w:r>
                </w:p>
              </w:tc>
              <w:tc>
                <w:tcPr>
                  <w:tcW w:w="4987" w:type="dxa"/>
                </w:tcPr>
                <w:p>
                  <w:r>
                    <w:rPr>
                      <w:rFonts w:hint="eastAsia"/>
                    </w:rPr>
                    <w:sym w:font="Wingdings 2" w:char="0052"/>
                  </w:r>
                  <w:r>
                    <w:rPr>
                      <w:rFonts w:hint="eastAsia"/>
                    </w:rPr>
                    <w:t>不因食品安全问题影响周围人员的就业</w:t>
                  </w:r>
                </w:p>
                <w:p>
                  <w:r>
                    <w:rPr>
                      <w:rFonts w:hint="eastAsia"/>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sym w:font="Wingdings 2" w:char="00A3"/>
                  </w:r>
                  <w:r>
                    <w:rPr>
                      <w:rFonts w:hint="eastAsia"/>
                    </w:rPr>
                    <w:t>其他</w:t>
                  </w:r>
                </w:p>
              </w:tc>
              <w:tc>
                <w:tcPr>
                  <w:tcW w:w="2443" w:type="dxa"/>
                </w:tcPr>
                <w:p>
                  <w:r>
                    <w:rPr>
                      <w:rFonts w:hint="eastAsia"/>
                    </w:rPr>
                    <w:t>——</w:t>
                  </w:r>
                </w:p>
              </w:tc>
              <w:tc>
                <w:tcPr>
                  <w:tcW w:w="4987" w:type="dxa"/>
                </w:tcPr>
                <w:p>
                  <w:r>
                    <w:rPr>
                      <w:rFonts w:hint="eastAsia"/>
                    </w:rPr>
                    <w:sym w:font="Wingdings 2" w:char="00A3"/>
                  </w:r>
                  <w:r>
                    <w:rPr>
                      <w:rFonts w:hint="eastAsia"/>
                    </w:rPr>
                    <w:t>不因食品安全问题影响周围人员的就业/企业经营</w:t>
                  </w:r>
                </w:p>
                <w:p>
                  <w:r>
                    <w:rPr>
                      <w:rFonts w:hint="eastAsia"/>
                    </w:rPr>
                    <w:sym w:font="Wingdings 2" w:char="00A3"/>
                  </w:r>
                </w:p>
              </w:tc>
            </w:tr>
          </w:tbl>
          <w:p/>
          <w:p>
            <w:r>
              <w:rPr>
                <w:rFonts w:hint="eastAsia"/>
              </w:rPr>
              <w:t>查看HACCP相关的《法律法规清单》</w:t>
            </w:r>
          </w:p>
          <w:p>
            <w:r>
              <w:rPr>
                <w:rFonts w:hint="eastAsia"/>
              </w:rPr>
              <w:sym w:font="Wingdings" w:char="00FE"/>
            </w:r>
            <w:r>
              <w:t xml:space="preserve"> </w:t>
            </w:r>
            <w:r>
              <w:rPr>
                <w:rFonts w:hint="eastAsia"/>
              </w:rPr>
              <w:t xml:space="preserve">全面 </w:t>
            </w:r>
            <w:r>
              <w:t xml:space="preserve"> </w:t>
            </w:r>
            <w:r>
              <w:rPr>
                <w:rFonts w:hint="eastAsia"/>
              </w:rPr>
              <w:sym w:font="Wingdings" w:char="00A8"/>
            </w:r>
            <w:r>
              <w:rPr>
                <w:rFonts w:hint="eastAsia"/>
              </w:rPr>
              <w:t>不全面，说明：</w:t>
            </w:r>
            <w:r>
              <w:rPr>
                <w:rFonts w:hint="eastAsia"/>
                <w:u w:val="single"/>
              </w:rPr>
              <w:t xml:space="preserve"> </w:t>
            </w:r>
            <w:r>
              <w:rPr>
                <w:u w:val="single"/>
              </w:rPr>
              <w:t xml:space="preserve">                      </w:t>
            </w:r>
            <w:r>
              <w:t xml:space="preserve"> </w:t>
            </w:r>
          </w:p>
          <w:p>
            <w:r>
              <w:rPr>
                <w:rFonts w:hint="eastAsia"/>
              </w:rPr>
              <w:sym w:font="Wingdings" w:char="00FE"/>
            </w:r>
            <w:r>
              <w:t xml:space="preserve"> </w:t>
            </w:r>
            <w:r>
              <w:rPr>
                <w:rFonts w:hint="eastAsia"/>
              </w:rPr>
              <w:t xml:space="preserve">现行有效 </w:t>
            </w:r>
            <w:r>
              <w:t xml:space="preserve"> </w:t>
            </w:r>
            <w:r>
              <w:rPr>
                <w:rFonts w:hint="eastAsia"/>
              </w:rPr>
              <w:sym w:font="Wingdings" w:char="00A8"/>
            </w:r>
            <w:r>
              <w:rPr>
                <w:rFonts w:hint="eastAsia"/>
              </w:rPr>
              <w:t>有实效法规，说明：</w:t>
            </w:r>
            <w:r>
              <w:rPr>
                <w:rFonts w:hint="eastAsia"/>
                <w:u w:val="single"/>
              </w:rPr>
              <w:t xml:space="preserve"> </w:t>
            </w:r>
            <w:r>
              <w:rPr>
                <w:u w:val="single"/>
              </w:rPr>
              <w:t xml:space="preserve">                           </w:t>
            </w:r>
          </w:p>
          <w:p>
            <w:pPr>
              <w:rPr>
                <w:color w:val="000000"/>
                <w:szCs w:val="21"/>
              </w:rPr>
            </w:pPr>
          </w:p>
          <w:p>
            <w:pPr>
              <w:rPr>
                <w:color w:val="000000"/>
                <w:szCs w:val="21"/>
              </w:rPr>
            </w:pPr>
            <w:r>
              <w:rPr>
                <w:rFonts w:hint="eastAsia"/>
                <w:color w:val="000000"/>
                <w:szCs w:val="21"/>
              </w:rPr>
              <w:t>主要证据体现在</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《相关方期望要求识别表》、</w:t>
            </w:r>
            <w:r>
              <w:rPr/>
              <w:sym w:font="Wingdings 2" w:char="00A3"/>
            </w:r>
            <w:r>
              <w:rPr>
                <w:rFonts w:hint="eastAsia"/>
              </w:rPr>
              <w:t>《合规义务清单》、</w:t>
            </w:r>
            <w:r>
              <w:rPr/>
              <w:sym w:font="Wingdings 2" w:char="0052"/>
            </w:r>
            <w:r>
              <w:rPr>
                <w:rFonts w:hint="eastAsia"/>
              </w:rPr>
              <w:t>《法律法规及其他要求清单》</w:t>
            </w:r>
            <w:r>
              <w:rPr>
                <w:rFonts w:hint="eastAsia"/>
              </w:rPr>
              <w:sym w:font="Wingdings" w:char="00A8"/>
            </w:r>
            <w:r>
              <w:rPr>
                <w:rFonts w:hint="eastAsia"/>
              </w:rPr>
              <w:t xml:space="preserve">《相关方的需求和期望分析表》、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33" w:type="dxa"/>
            <w:vMerge w:val="restart"/>
            <w:shd w:val="clear" w:color="auto" w:fill="auto"/>
          </w:tcPr>
          <w:p>
            <w:r>
              <w:rPr>
                <w:rFonts w:hint="eastAsia"/>
              </w:rPr>
              <w:t>确定食品安全管理体系的范围</w:t>
            </w:r>
          </w:p>
        </w:tc>
        <w:tc>
          <w:tcPr>
            <w:tcW w:w="1040" w:type="dxa"/>
            <w:vMerge w:val="restart"/>
            <w:shd w:val="clear" w:color="auto" w:fill="auto"/>
          </w:tcPr>
          <w:p>
            <w:r>
              <w:rPr>
                <w:rFonts w:hint="eastAsia"/>
              </w:rPr>
              <w:t>F4.3</w:t>
            </w:r>
          </w:p>
          <w:p>
            <w:r>
              <w:rPr>
                <w:rFonts w:hint="eastAsia"/>
              </w:rPr>
              <w:t>H(V1.0)</w:t>
            </w:r>
          </w:p>
          <w:p>
            <w:pPr>
              <w:pStyle w:val="6"/>
            </w:pPr>
            <w:r>
              <w:rPr>
                <w:rFonts w:hint="eastAsia"/>
              </w:rPr>
              <w:t>1</w:t>
            </w:r>
            <w:r>
              <w:t>.1</w:t>
            </w:r>
          </w:p>
        </w:tc>
        <w:tc>
          <w:tcPr>
            <w:tcW w:w="893" w:type="dxa"/>
            <w:shd w:val="clear" w:color="auto" w:fill="auto"/>
          </w:tcPr>
          <w:p>
            <w:r>
              <w:rPr>
                <w:rFonts w:hint="eastAsia"/>
              </w:rPr>
              <w:t>文件名称</w:t>
            </w:r>
          </w:p>
        </w:tc>
        <w:tc>
          <w:tcPr>
            <w:tcW w:w="9373" w:type="dxa"/>
            <w:shd w:val="clear" w:color="auto" w:fill="auto"/>
          </w:tcPr>
          <w:p>
            <w:r>
              <w:rPr>
                <w:rFonts w:hint="eastAsia"/>
              </w:rPr>
              <w:t>如：</w:t>
            </w:r>
            <w:r>
              <w:rPr/>
              <w:sym w:font="Wingdings" w:char="00FE"/>
            </w:r>
            <w:r>
              <w:rPr>
                <w:rFonts w:hint="eastAsia"/>
              </w:rPr>
              <w:t>管理手册第4.3章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p>
            <w:r>
              <w:rPr>
                <w:rFonts w:hint="eastAsia"/>
              </w:rPr>
              <w:t>组织应明确相关管理体系的范围；</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544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范围的项目</w:t>
                  </w:r>
                </w:p>
              </w:tc>
              <w:tc>
                <w:tcPr>
                  <w:tcW w:w="5446" w:type="dxa"/>
                </w:tcPr>
                <w:p>
                  <w:r>
                    <w:rPr>
                      <w:rFonts w:hint="eastAsia"/>
                    </w:rPr>
                    <w:t>内容描述</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产品/服务的活动</w:t>
                  </w:r>
                </w:p>
              </w:tc>
              <w:tc>
                <w:tcPr>
                  <w:tcW w:w="5446" w:type="dxa"/>
                </w:tcPr>
                <w:p>
                  <w:pPr>
                    <w:rPr>
                      <w:szCs w:val="21"/>
                    </w:rPr>
                  </w:pP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 xml:space="preserve">审核范围描述 </w:t>
                  </w:r>
                </w:p>
              </w:tc>
              <w:tc>
                <w:tcPr>
                  <w:tcW w:w="5446" w:type="dxa"/>
                </w:tcPr>
                <w:p>
                  <w:pPr>
                    <w:rPr>
                      <w:rFonts w:hint="eastAsia"/>
                      <w:szCs w:val="21"/>
                    </w:rPr>
                  </w:pPr>
                  <w:r>
                    <w:rPr>
                      <w:rFonts w:hint="eastAsia"/>
                      <w:szCs w:val="21"/>
                    </w:rPr>
                    <w:t>H：位于浙江省杭州市临安区玲珑街道双源村杭州临安鼎新农业科技有限公司预包装食品（含冷藏冷冻食品）销售及散装食品（不含冷藏冷冻食品）销售</w:t>
                  </w:r>
                </w:p>
                <w:p>
                  <w:r>
                    <w:rPr>
                      <w:rFonts w:hint="eastAsia"/>
                      <w:szCs w:val="21"/>
                    </w:rPr>
                    <w:t>F：位于浙江省杭州市临安区玲珑街道双源村杭州临安鼎新农业科技有限公司预包装食品（含冷藏冷冻食品）销售及散装食品（不含冷藏冷冻食品）销售</w:t>
                  </w:r>
                </w:p>
              </w:tc>
              <w:tc>
                <w:tcPr>
                  <w:tcW w:w="168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注册地址</w:t>
                  </w:r>
                </w:p>
              </w:tc>
              <w:tc>
                <w:tcPr>
                  <w:tcW w:w="5446" w:type="dxa"/>
                </w:tcPr>
                <w:p>
                  <w:pPr>
                    <w:rPr>
                      <w:rFonts w:asciiTheme="minorEastAsia" w:hAnsiTheme="minorEastAsia" w:eastAsiaTheme="minorEastAsia"/>
                      <w:szCs w:val="21"/>
                    </w:rPr>
                  </w:pPr>
                  <w:r>
                    <w:t>浙江省杭州市临安区玲珑街道双源村</w:t>
                  </w:r>
                </w:p>
              </w:tc>
              <w:tc>
                <w:tcPr>
                  <w:tcW w:w="168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11" w:type="dxa"/>
                </w:tcPr>
                <w:p>
                  <w:r>
                    <w:rPr>
                      <w:rFonts w:hint="eastAsia"/>
                    </w:rPr>
                    <w:t>经营地址</w:t>
                  </w:r>
                </w:p>
              </w:tc>
              <w:tc>
                <w:tcPr>
                  <w:tcW w:w="5446" w:type="dxa"/>
                </w:tcPr>
                <w:p>
                  <w:pPr>
                    <w:rPr>
                      <w:rFonts w:asciiTheme="minorEastAsia" w:hAnsiTheme="minorEastAsia" w:eastAsiaTheme="minorEastAsia"/>
                      <w:szCs w:val="21"/>
                    </w:rPr>
                  </w:pPr>
                  <w:r>
                    <w:t>浙江省杭州市临安区玲珑街道双源村</w:t>
                  </w:r>
                </w:p>
              </w:tc>
              <w:tc>
                <w:tcPr>
                  <w:tcW w:w="168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临时现场</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多场所</w:t>
                  </w:r>
                </w:p>
              </w:tc>
              <w:tc>
                <w:tcPr>
                  <w:tcW w:w="5446" w:type="dxa"/>
                </w:tcPr>
                <w:p>
                  <w:r>
                    <w:rPr>
                      <w:rFonts w:hint="eastAsia"/>
                    </w:rPr>
                    <w:t>——</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r>
                    <w:rPr>
                      <w:u w:val="single"/>
                    </w:rPr>
                    <w:t xml:space="preserve">   </w:t>
                  </w:r>
                  <w:r>
                    <w:rPr>
                      <w:rFonts w:hint="eastAsia"/>
                      <w:u w:val="single"/>
                    </w:rPr>
                    <w:t xml:space="preserve">   </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544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体系建立以来，</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 体系运行以来，202</w:t>
                  </w:r>
                  <w:r>
                    <w:t>2</w:t>
                  </w:r>
                  <w:r>
                    <w:rPr>
                      <w:rFonts w:hint="eastAsia"/>
                    </w:rPr>
                    <w:t>-1-</w:t>
                  </w:r>
                  <w:r>
                    <w:t>1</w:t>
                  </w:r>
                  <w:r>
                    <w:rPr>
                      <w:rFonts w:hint="eastAsia"/>
                    </w:rPr>
                    <w:t>进行转版修改，转机构，体系已运行多年</w:t>
                  </w:r>
                </w:p>
                <w:p>
                  <w:r>
                    <w:rPr>
                      <w:rFonts w:hint="eastAsia"/>
                    </w:rPr>
                    <w:sym w:font="Wingdings" w:char="00A8"/>
                  </w:r>
                  <w:r>
                    <w:rPr>
                      <w:rFonts w:hint="eastAsia"/>
                    </w:rPr>
                    <w:t xml:space="preserve"> </w:t>
                  </w:r>
                </w:p>
              </w:tc>
              <w:tc>
                <w:tcPr>
                  <w:tcW w:w="168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trike/>
                      <w:szCs w:val="24"/>
                    </w:rPr>
                  </w:pPr>
                  <w:r>
                    <w:rPr>
                      <w:rFonts w:hint="eastAsia"/>
                      <w:strike/>
                    </w:rPr>
                    <w:t>不适用ISO9001的条款</w:t>
                  </w:r>
                </w:p>
              </w:tc>
              <w:tc>
                <w:tcPr>
                  <w:tcW w:w="5446" w:type="dxa"/>
                </w:tcPr>
                <w:p>
                  <w:pPr>
                    <w:rPr>
                      <w:strike/>
                    </w:rPr>
                  </w:pPr>
                  <w:r>
                    <w:rPr>
                      <w:rFonts w:ascii="宋体" w:hAnsi="宋体"/>
                      <w:strike/>
                    </w:rPr>
                    <w:fldChar w:fldCharType="begin"/>
                  </w:r>
                  <w:r>
                    <w:rPr>
                      <w:rFonts w:ascii="宋体" w:hAnsi="宋体"/>
                      <w:strike/>
                    </w:rPr>
                    <w:instrText xml:space="preserve"> </w:instrText>
                  </w:r>
                  <w:r>
                    <w:rPr>
                      <w:rFonts w:hint="eastAsia" w:ascii="宋体" w:hAnsi="宋体"/>
                      <w:strike/>
                    </w:rPr>
                    <w:instrText xml:space="preserve">eq \o\ac(□)</w:instrText>
                  </w:r>
                  <w:r>
                    <w:rPr>
                      <w:rFonts w:ascii="宋体" w:hAnsi="宋体"/>
                      <w:strike/>
                    </w:rPr>
                    <w:fldChar w:fldCharType="end"/>
                  </w:r>
                  <w:r>
                    <w:rPr>
                      <w:rFonts w:hint="eastAsia"/>
                      <w:strike/>
                    </w:rPr>
                    <w:t>8.3产品和服务的设计和开发</w:t>
                  </w:r>
                </w:p>
              </w:tc>
              <w:tc>
                <w:tcPr>
                  <w:tcW w:w="1686" w:type="dxa"/>
                </w:tcPr>
                <w:p>
                  <w:pPr>
                    <w:rPr>
                      <w:strike/>
                    </w:rPr>
                  </w:pPr>
                  <w:r>
                    <w:rPr>
                      <w:rFonts w:hint="eastAsia"/>
                      <w:strike/>
                    </w:rPr>
                    <w:sym w:font="Wingdings" w:char="00A8"/>
                  </w:r>
                  <w:r>
                    <w:rPr>
                      <w:rFonts w:hint="eastAsia"/>
                      <w:strike/>
                    </w:rPr>
                    <w:t>其他——无</w:t>
                  </w:r>
                </w:p>
                <w:p>
                  <w:pPr>
                    <w:pStyle w:val="13"/>
                    <w:rPr>
                      <w:strike/>
                    </w:rPr>
                  </w:pPr>
                  <w:r>
                    <w:rPr>
                      <w:rFonts w:hint="eastAsia"/>
                      <w:strike/>
                    </w:rPr>
                    <w:sym w:font="Wingdings" w:char="00A8"/>
                  </w:r>
                  <w:r>
                    <w:rPr>
                      <w:rFonts w:hint="eastAsia"/>
                      <w:strike/>
                    </w:rPr>
                    <w:t>其他——不适用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trike/>
                      <w:szCs w:val="24"/>
                    </w:rPr>
                  </w:pPr>
                  <w:r>
                    <w:rPr>
                      <w:rFonts w:hint="eastAsia"/>
                      <w:strike/>
                    </w:rPr>
                    <w:t>不适用的理由（可多选）</w:t>
                  </w:r>
                </w:p>
              </w:tc>
              <w:tc>
                <w:tcPr>
                  <w:tcW w:w="5446" w:type="dxa"/>
                  <w:vAlign w:val="center"/>
                </w:tcPr>
                <w:p>
                  <w:pPr>
                    <w:rPr>
                      <w:strike/>
                    </w:rPr>
                  </w:pPr>
                  <w:r>
                    <w:rPr>
                      <w:rFonts w:hint="eastAsia"/>
                      <w:strike/>
                    </w:rPr>
                    <w:t xml:space="preserve">□受审核组织没有设计开发的责任    </w:t>
                  </w:r>
                </w:p>
                <w:p>
                  <w:pPr>
                    <w:rPr>
                      <w:strike/>
                    </w:rPr>
                  </w:pPr>
                  <w:r>
                    <w:rPr>
                      <w:rFonts w:hint="eastAsia"/>
                      <w:strike/>
                    </w:rPr>
                    <w:t xml:space="preserve">□受审核组织没有设计开发的能力   </w:t>
                  </w:r>
                </w:p>
                <w:p>
                  <w:pPr>
                    <w:rPr>
                      <w:strike/>
                    </w:rPr>
                  </w:pPr>
                  <w:r>
                    <w:rPr>
                      <w:rFonts w:hint="eastAsia"/>
                      <w:strike/>
                    </w:rPr>
                    <w:t>□受审核组织没有设计开发修改的权力</w:t>
                  </w:r>
                </w:p>
                <w:p>
                  <w:pPr>
                    <w:rPr>
                      <w:strike/>
                    </w:rPr>
                  </w:pPr>
                  <w:r>
                    <w:rPr>
                      <w:rFonts w:hint="eastAsia"/>
                      <w:strike/>
                    </w:rPr>
                    <w:t>□受审核组织按照顾客图纸和合同要求提供生产和服务</w:t>
                  </w:r>
                </w:p>
                <w:p>
                  <w:pPr>
                    <w:rPr>
                      <w:strike/>
                    </w:rPr>
                  </w:pPr>
                  <w:r>
                    <w:rPr>
                      <w:rFonts w:hint="eastAsia"/>
                      <w:strike/>
                    </w:rPr>
                    <w:t>□受审核组织按照公司总部的技术要求提供生产和服务</w:t>
                  </w:r>
                </w:p>
                <w:p>
                  <w:pPr>
                    <w:rPr>
                      <w:strike/>
                    </w:rPr>
                  </w:pPr>
                  <w:r>
                    <w:rPr>
                      <w:rFonts w:ascii="宋体" w:hAnsi="宋体"/>
                      <w:strike/>
                    </w:rPr>
                    <w:fldChar w:fldCharType="begin"/>
                  </w:r>
                  <w:r>
                    <w:rPr>
                      <w:rFonts w:ascii="宋体" w:hAnsi="宋体"/>
                      <w:strike/>
                    </w:rPr>
                    <w:instrText xml:space="preserve"> </w:instrText>
                  </w:r>
                  <w:r>
                    <w:rPr>
                      <w:rFonts w:hint="eastAsia" w:ascii="宋体" w:hAnsi="宋体"/>
                      <w:strike/>
                    </w:rPr>
                    <w:instrText xml:space="preserve">eq \o\ac(□,√)</w:instrText>
                  </w:r>
                  <w:r>
                    <w:rPr>
                      <w:rFonts w:ascii="宋体" w:hAnsi="宋体"/>
                      <w:strike/>
                    </w:rPr>
                    <w:fldChar w:fldCharType="end"/>
                  </w:r>
                  <w:r>
                    <w:rPr>
                      <w:rFonts w:hint="eastAsia"/>
                      <w:strike/>
                    </w:rPr>
                    <w:t>受审核组织按照传统工艺提供生产和服务</w:t>
                  </w:r>
                </w:p>
                <w:p>
                  <w:pPr>
                    <w:rPr>
                      <w:strike/>
                    </w:rPr>
                  </w:pPr>
                  <w:r>
                    <w:rPr>
                      <w:rFonts w:hint="eastAsia"/>
                      <w:strike/>
                    </w:rPr>
                    <w:t>□其他：</w:t>
                  </w:r>
                  <w:r>
                    <w:rPr>
                      <w:strike/>
                    </w:rPr>
                    <w:t xml:space="preserve"> </w:t>
                  </w:r>
                </w:p>
              </w:tc>
              <w:tc>
                <w:tcPr>
                  <w:tcW w:w="1686" w:type="dxa"/>
                </w:tcPr>
                <w:p>
                  <w:pPr>
                    <w:rPr>
                      <w:strike/>
                    </w:rPr>
                  </w:pPr>
                  <w:r>
                    <w:rPr>
                      <w:rFonts w:hint="eastAsia"/>
                      <w:strike/>
                    </w:rPr>
                    <w:t>不适用</w:t>
                  </w:r>
                </w:p>
              </w:tc>
            </w:tr>
          </w:tbl>
          <w:p/>
          <w:p>
            <w:pPr>
              <w:rPr>
                <w:color w:val="000000"/>
                <w:szCs w:val="21"/>
              </w:rPr>
            </w:pPr>
            <w:r>
              <w:rPr>
                <w:rFonts w:hint="eastAsia"/>
                <w:color w:val="000000"/>
                <w:szCs w:val="21"/>
              </w:rPr>
              <w:t>在企业的管理手册中有描述。</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33" w:type="dxa"/>
            <w:vMerge w:val="restart"/>
            <w:shd w:val="clear" w:color="auto" w:fill="auto"/>
          </w:tcPr>
          <w:p>
            <w:r>
              <w:rPr>
                <w:rFonts w:hint="eastAsia"/>
              </w:rPr>
              <w:t>HACCP体系</w:t>
            </w:r>
          </w:p>
          <w:p>
            <w:r>
              <w:rPr>
                <w:rFonts w:hint="eastAsia"/>
              </w:rPr>
              <w:t>总要求</w:t>
            </w:r>
          </w:p>
        </w:tc>
        <w:tc>
          <w:tcPr>
            <w:tcW w:w="1040" w:type="dxa"/>
            <w:vMerge w:val="restart"/>
            <w:shd w:val="clear" w:color="auto" w:fill="auto"/>
          </w:tcPr>
          <w:p>
            <w:r>
              <w:rPr>
                <w:rFonts w:hint="eastAsia"/>
              </w:rPr>
              <w:t>H(V1.0)</w:t>
            </w:r>
          </w:p>
          <w:p>
            <w:r>
              <w:rPr>
                <w:rFonts w:hint="eastAsia"/>
              </w:rPr>
              <w:t>1</w:t>
            </w:r>
            <w:r>
              <w:t>.1</w:t>
            </w:r>
          </w:p>
        </w:tc>
        <w:tc>
          <w:tcPr>
            <w:tcW w:w="893" w:type="dxa"/>
            <w:shd w:val="clear" w:color="auto" w:fill="auto"/>
          </w:tcPr>
          <w:p>
            <w:r>
              <w:rPr>
                <w:rFonts w:hint="eastAsia"/>
              </w:rPr>
              <w:t>文件名称</w:t>
            </w:r>
          </w:p>
        </w:tc>
        <w:tc>
          <w:tcPr>
            <w:tcW w:w="9373" w:type="dxa"/>
            <w:shd w:val="clear" w:color="auto" w:fill="auto"/>
          </w:tcPr>
          <w:p>
            <w:r>
              <w:rPr/>
              <w:sym w:font="Wingdings 2" w:char="0052"/>
            </w:r>
            <w:r>
              <w:rPr>
                <w:rFonts w:hint="eastAsia"/>
              </w:rPr>
              <w:t>《管理手册》4.4 条款</w:t>
            </w:r>
          </w:p>
        </w:tc>
        <w:tc>
          <w:tcPr>
            <w:tcW w:w="1585" w:type="dxa"/>
            <w:vMerge w:val="restart"/>
            <w:shd w:val="clear" w:color="auto" w:fill="auto"/>
          </w:tcPr>
          <w:p>
            <w:r>
              <w:rPr/>
              <w:sym w:font="Wingdings 2" w:char="0052"/>
            </w:r>
            <w:r>
              <w:rPr>
                <w:rFonts w:hint="eastAsia"/>
              </w:rPr>
              <w:t>符合</w:t>
            </w:r>
          </w:p>
          <w:p>
            <w:r>
              <w:rPr>
                <w:rFonts w:hint="eastAsia"/>
              </w:rPr>
              <w:sym w:font="Wingdings 2" w:char="0052"/>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p>
            <w:pPr>
              <w:pStyle w:val="19"/>
              <w:adjustRightInd w:val="0"/>
              <w:snapToGrid w:val="0"/>
              <w:spacing w:line="360" w:lineRule="auto"/>
            </w:pPr>
            <w:r>
              <w:rPr>
                <w:rFonts w:hint="eastAsia" w:ascii="Times New Roman" w:hAnsi="Times New Roman"/>
              </w:rPr>
              <w:t>企业于</w:t>
            </w:r>
            <w:r>
              <w:rPr>
                <w:rFonts w:hint="eastAsia"/>
                <w:u w:val="single"/>
              </w:rPr>
              <w:t xml:space="preserve">  202</w:t>
            </w:r>
            <w:r>
              <w:rPr>
                <w:u w:val="single"/>
              </w:rPr>
              <w:t>2</w:t>
            </w:r>
            <w:r>
              <w:rPr>
                <w:rFonts w:hint="eastAsia"/>
                <w:u w:val="single"/>
              </w:rPr>
              <w:t xml:space="preserve">  年 1 月1 日</w:t>
            </w:r>
            <w:r>
              <w:rPr>
                <w:rFonts w:hint="eastAsia"/>
              </w:rPr>
              <w:t>建立了文件化HACCP体系；【主要为转版】</w:t>
            </w:r>
          </w:p>
          <w:p>
            <w:pPr>
              <w:pStyle w:val="19"/>
              <w:adjustRightInd w:val="0"/>
              <w:snapToGrid w:val="0"/>
              <w:spacing w:line="360" w:lineRule="auto"/>
              <w:rPr>
                <w:u w:val="single"/>
              </w:rPr>
            </w:pPr>
            <w:r>
              <w:rPr>
                <w:rFonts w:hint="eastAsia" w:ascii="Times New Roman" w:hAnsi="Times New Roman"/>
              </w:rPr>
              <w:t>提供所需的资源：</w:t>
            </w:r>
            <w:r>
              <w:rPr>
                <w:rFonts w:hint="eastAsia" w:hAnsi="宋体"/>
              </w:rPr>
              <w:sym w:font="Wingdings 2" w:char="0052"/>
            </w:r>
            <w:r>
              <w:rPr>
                <w:rFonts w:hint="eastAsia" w:ascii="Times New Roman" w:hAnsi="Times New Roman"/>
              </w:rPr>
              <w:t xml:space="preserve">充分  </w:t>
            </w:r>
            <w:r>
              <w:rPr>
                <w:rFonts w:hint="eastAsia" w:hAnsi="宋体"/>
              </w:rPr>
              <w:t>□</w:t>
            </w:r>
            <w:r>
              <w:rPr>
                <w:rFonts w:hint="eastAsia" w:ascii="Times New Roman" w:hAnsi="Times New Roman"/>
              </w:rPr>
              <w:t xml:space="preserve">基本充分  </w:t>
            </w:r>
            <w:r>
              <w:rPr>
                <w:rFonts w:hint="eastAsia" w:hAnsi="宋体"/>
              </w:rPr>
              <w:t>□不充分，说明</w:t>
            </w:r>
            <w:r>
              <w:rPr>
                <w:rFonts w:hint="eastAsia"/>
                <w:u w:val="single"/>
              </w:rPr>
              <w:t xml:space="preserve">                         ；</w:t>
            </w:r>
          </w:p>
          <w:p>
            <w:pPr>
              <w:pStyle w:val="19"/>
              <w:adjustRightInd w:val="0"/>
              <w:snapToGrid w:val="0"/>
              <w:spacing w:line="360" w:lineRule="auto"/>
              <w:rPr>
                <w:rFonts w:ascii="Times New Roman" w:hAnsi="Times New Roman"/>
              </w:rPr>
            </w:pPr>
            <w:r>
              <w:rPr>
                <w:rFonts w:hint="eastAsia" w:ascii="Times New Roman" w:hAnsi="Times New Roman"/>
              </w:rPr>
              <w:t>HACCP体系范围：</w:t>
            </w:r>
          </w:p>
          <w:p>
            <w:pPr>
              <w:pStyle w:val="19"/>
              <w:adjustRightInd w:val="0"/>
              <w:snapToGrid w:val="0"/>
              <w:spacing w:line="360" w:lineRule="auto"/>
              <w:rPr>
                <w:u w:val="single"/>
              </w:rPr>
            </w:pPr>
            <w:r>
              <w:rPr>
                <w:rFonts w:hint="eastAsia" w:ascii="Times New Roman" w:hAnsi="Times New Roman"/>
              </w:rPr>
              <w:t>位于</w:t>
            </w:r>
            <w:r>
              <w:rPr>
                <w:rFonts w:hint="eastAsia"/>
                <w:u w:val="single"/>
              </w:rPr>
              <w:t xml:space="preserve">   H：位于浙江省杭州市临安区玲珑街道双源村杭州临安鼎新农业科技有限公司预包装食品（含冷藏冷冻食品）销售及散装食品（不含冷藏冷冻食品）销售；</w:t>
            </w:r>
          </w:p>
          <w:p>
            <w:pPr>
              <w:pStyle w:val="19"/>
              <w:adjustRightInd w:val="0"/>
              <w:snapToGrid w:val="0"/>
              <w:spacing w:line="360" w:lineRule="auto"/>
              <w:rPr>
                <w:rFonts w:ascii="Times New Roman" w:hAnsi="Times New Roman"/>
              </w:rPr>
            </w:pPr>
            <w:r>
              <w:rPr>
                <w:rFonts w:hint="eastAsia"/>
              </w:rPr>
              <w:t>在食品链中的位置，</w:t>
            </w:r>
            <w:r>
              <w:rPr>
                <w:rFonts w:hint="eastAsia" w:ascii="Times New Roman" w:hAnsi="Times New Roman"/>
              </w:rPr>
              <w:t>企业为：</w:t>
            </w:r>
          </w:p>
          <w:p>
            <w:pPr>
              <w:pStyle w:val="19"/>
              <w:adjustRightInd w:val="0"/>
              <w:snapToGrid w:val="0"/>
              <w:spacing w:line="360" w:lineRule="auto"/>
            </w:pPr>
            <w:r>
              <w:rPr>
                <w:rFonts w:hint="eastAsia" w:hAnsi="宋体"/>
              </w:rPr>
              <w:sym w:font="Wingdings 2" w:char="0052"/>
            </w:r>
            <w:r>
              <w:rPr>
                <w:rFonts w:hint="eastAsia"/>
              </w:rPr>
              <w:t xml:space="preserve">食品及其辅料的生产、加工 </w:t>
            </w:r>
            <w:r>
              <w:rPr>
                <w:rFonts w:hint="eastAsia" w:hAnsi="宋体"/>
              </w:rPr>
              <w:sym w:font="Wingdings 2" w:char="00A3"/>
            </w:r>
            <w:r>
              <w:rPr>
                <w:rFonts w:hint="eastAsia"/>
              </w:rPr>
              <w:t>分销、</w:t>
            </w:r>
            <w:r>
              <w:rPr>
                <w:rFonts w:hint="eastAsia" w:hAnsi="宋体"/>
              </w:rPr>
              <w:t>□</w:t>
            </w:r>
            <w:r>
              <w:rPr>
                <w:rFonts w:hint="eastAsia"/>
              </w:rPr>
              <w:t>贮存、</w:t>
            </w:r>
            <w:r>
              <w:rPr>
                <w:rFonts w:hint="eastAsia" w:hAnsi="宋体"/>
              </w:rPr>
              <w:t>□</w:t>
            </w:r>
            <w:r>
              <w:rPr>
                <w:rFonts w:hint="eastAsia"/>
              </w:rPr>
              <w:t>处理、</w:t>
            </w:r>
            <w:r>
              <w:rPr>
                <w:rFonts w:hint="eastAsia" w:hAnsi="宋体"/>
              </w:rPr>
              <w:t>□</w:t>
            </w:r>
            <w:r>
              <w:rPr>
                <w:rFonts w:hint="eastAsia"/>
              </w:rPr>
              <w:t>饲料生产、</w:t>
            </w:r>
            <w:r>
              <w:rPr>
                <w:rFonts w:hint="eastAsia" w:hAnsi="宋体"/>
              </w:rPr>
              <w:t>□</w:t>
            </w:r>
            <w:r>
              <w:rPr>
                <w:rFonts w:hint="eastAsia"/>
              </w:rPr>
              <w:t>食品接触材料、</w:t>
            </w:r>
            <w:r>
              <w:rPr>
                <w:rFonts w:hint="eastAsia" w:hAnsi="宋体"/>
              </w:rPr>
              <w:sym w:font="Wingdings 2" w:char="00A3"/>
            </w:r>
            <w:r>
              <w:rPr>
                <w:rFonts w:hint="eastAsia"/>
              </w:rPr>
              <w:t>生产服务提供</w:t>
            </w:r>
          </w:p>
          <w:p>
            <w:pPr>
              <w:pStyle w:val="19"/>
              <w:adjustRightInd w:val="0"/>
              <w:snapToGrid w:val="0"/>
              <w:spacing w:line="360" w:lineRule="auto"/>
              <w:rPr>
                <w:u w:val="single"/>
              </w:rPr>
            </w:pPr>
            <w:r>
              <w:rPr>
                <w:rFonts w:hint="eastAsia"/>
              </w:rPr>
              <w:t>外包过程包括：</w:t>
            </w:r>
            <w:r>
              <w:rPr>
                <w:rFonts w:hint="eastAsia"/>
                <w:u w:val="single"/>
              </w:rPr>
              <w:t xml:space="preserve">   目前识别为无；    </w:t>
            </w:r>
          </w:p>
          <w:p>
            <w:pPr>
              <w:spacing w:line="360" w:lineRule="auto"/>
            </w:pPr>
            <w:r>
              <w:rPr>
                <w:rFonts w:hint="eastAsia"/>
              </w:rPr>
              <w:t>是否发生食品安全系统性偏差，</w:t>
            </w:r>
            <w:r>
              <w:rPr>
                <w:rFonts w:hint="eastAsia" w:ascii="宋体" w:hAnsi="宋体"/>
              </w:rPr>
              <w:t xml:space="preserve">□ </w:t>
            </w:r>
            <w:r>
              <w:rPr>
                <w:rFonts w:hint="eastAsia"/>
              </w:rPr>
              <w:t xml:space="preserve">是   </w:t>
            </w:r>
            <w:r>
              <w:rPr>
                <w:rFonts w:hint="eastAsia" w:ascii="宋体" w:hAnsi="宋体"/>
              </w:rPr>
              <w:t xml:space="preserve">☑ </w:t>
            </w:r>
            <w:r>
              <w:rPr>
                <w:rFonts w:hint="eastAsia"/>
              </w:rPr>
              <w:t>否</w:t>
            </w:r>
          </w:p>
          <w:p>
            <w:pPr>
              <w:spacing w:line="360" w:lineRule="auto"/>
            </w:pPr>
            <w:r>
              <w:rPr>
                <w:rFonts w:hint="eastAsia"/>
              </w:rPr>
              <w:t>是否对HACCP计划进行重新确认，持续改进HACCP体系。</w:t>
            </w:r>
            <w:r>
              <w:rPr>
                <w:rFonts w:hint="eastAsia" w:ascii="宋体" w:hAnsi="宋体"/>
              </w:rPr>
              <w:sym w:font="Wingdings 2" w:char="0052"/>
            </w:r>
            <w:r>
              <w:rPr>
                <w:rFonts w:hint="eastAsia" w:ascii="宋体" w:hAnsi="宋体"/>
              </w:rPr>
              <w:t xml:space="preserve"> </w:t>
            </w:r>
            <w:r>
              <w:rPr>
                <w:rFonts w:hint="eastAsia"/>
              </w:rPr>
              <w:t xml:space="preserve">是   </w:t>
            </w:r>
            <w:r>
              <w:rPr>
                <w:rFonts w:hint="eastAsia" w:ascii="宋体" w:hAnsi="宋体"/>
              </w:rPr>
              <w:sym w:font="Wingdings 2" w:char="00A3"/>
            </w:r>
            <w:r>
              <w:rPr>
                <w:rFonts w:hint="eastAsia" w:ascii="宋体" w:hAnsi="宋体"/>
              </w:rPr>
              <w:t xml:space="preserve"> </w:t>
            </w:r>
            <w:r>
              <w:rPr>
                <w:rFonts w:hint="eastAsia"/>
              </w:rPr>
              <w:t xml:space="preserve">否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33" w:type="dxa"/>
            <w:vMerge w:val="restart"/>
            <w:shd w:val="clear" w:color="auto" w:fill="auto"/>
          </w:tcPr>
          <w:p>
            <w:pPr>
              <w:jc w:val="left"/>
            </w:pPr>
            <w:r>
              <w:rPr>
                <w:rFonts w:hint="eastAsia"/>
              </w:rPr>
              <w:t>食品安全管理体系及其过程</w:t>
            </w:r>
          </w:p>
        </w:tc>
        <w:tc>
          <w:tcPr>
            <w:tcW w:w="1040" w:type="dxa"/>
            <w:vMerge w:val="restart"/>
            <w:shd w:val="clear" w:color="auto" w:fill="auto"/>
          </w:tcPr>
          <w:p>
            <w:r>
              <w:rPr>
                <w:rFonts w:hint="eastAsia"/>
              </w:rPr>
              <w:t xml:space="preserve">F4.4 </w:t>
            </w:r>
          </w:p>
        </w:tc>
        <w:tc>
          <w:tcPr>
            <w:tcW w:w="893" w:type="dxa"/>
            <w:shd w:val="clear" w:color="auto" w:fill="auto"/>
          </w:tcPr>
          <w:p>
            <w:r>
              <w:rPr>
                <w:rFonts w:hint="eastAsia"/>
              </w:rPr>
              <w:t>文件名称</w:t>
            </w:r>
          </w:p>
        </w:tc>
        <w:tc>
          <w:tcPr>
            <w:tcW w:w="9373"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管理手册第4.4章、</w:t>
            </w:r>
            <w:r>
              <w:rPr/>
              <w:sym w:font="Wingdings" w:char="00A8"/>
            </w:r>
            <w:r>
              <w:rPr>
                <w:rFonts w:hint="eastAsia"/>
              </w:rPr>
              <w:t>《过程清单》</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p>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jc w:val="left"/>
            </w:pPr>
          </w:p>
          <w:p>
            <w:pPr>
              <w:spacing w:before="40" w:after="40"/>
              <w:jc w:val="left"/>
            </w:pPr>
            <w:r>
              <w:rPr>
                <w:rFonts w:hint="eastAsia"/>
              </w:rPr>
              <w:t>FSMS：</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pPr>
            <w:r>
              <w:rPr>
                <w:rFonts w:hint="eastAsia"/>
              </w:rPr>
              <w:sym w:font="Wingdings 2" w:char="00A3"/>
            </w:r>
            <w:r>
              <w:rPr>
                <w:rFonts w:hint="eastAsia"/>
              </w:rPr>
              <w:t xml:space="preserve">特种设备管理 ☑控制措施组合确认  ☑PRP和危害控制措施的效果验证  </w:t>
            </w:r>
            <w:r>
              <w:rPr>
                <w:rFonts w:ascii="Segoe UI Symbol" w:hAnsi="Segoe UI Symbol" w:cs="Segoe UI Symbol"/>
              </w:rPr>
              <w:t>☑</w:t>
            </w:r>
            <w:r>
              <w:rPr>
                <w:rFonts w:hint="eastAsia"/>
              </w:rPr>
              <w:t>其他——车辆管理</w:t>
            </w:r>
          </w:p>
          <w:p>
            <w:pPr>
              <w:pStyle w:val="6"/>
            </w:pP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□建立FSMS □危害分析 □制订PRP和OPRP、HACCP计划 □生产/服务过程  □产品运输 </w:t>
            </w:r>
          </w:p>
          <w:p>
            <w:pPr>
              <w:pStyle w:val="19"/>
              <w:adjustRightInd w:val="0"/>
              <w:snapToGrid w:val="0"/>
              <w:spacing w:line="360" w:lineRule="auto"/>
              <w:rPr>
                <w:u w:val="single"/>
              </w:rPr>
            </w:pPr>
            <w:r>
              <w:rPr>
                <w:rFonts w:hint="eastAsia"/>
              </w:rPr>
              <w:t>□设备维修   □人员培训 □PRP和OPRP、HACCP验证 ☑其他—</w:t>
            </w:r>
            <w:r>
              <w:rPr>
                <w:rFonts w:hint="eastAsia"/>
                <w:u w:val="single"/>
              </w:rPr>
              <w:t xml:space="preserve"> 无；</w:t>
            </w:r>
          </w:p>
          <w:p>
            <w:pPr>
              <w:spacing w:before="40" w:after="40"/>
              <w:jc w:val="left"/>
            </w:pPr>
          </w:p>
          <w:p>
            <w:pPr>
              <w:spacing w:before="40" w:after="40"/>
            </w:pPr>
            <w:r>
              <w:rPr>
                <w:rFonts w:hint="eastAsia"/>
                <w:lang w:val="en-GB"/>
              </w:rPr>
              <w:t>组织通过</w:t>
            </w:r>
            <w:r>
              <w:rPr>
                <w:rFonts w:hint="eastAsia"/>
              </w:rPr>
              <w:t>食品安全</w:t>
            </w:r>
            <w:r>
              <w:rPr>
                <w:rFonts w:hint="eastAsia"/>
                <w:lang w:val="en-GB"/>
              </w:rPr>
              <w:t>目标的建立、实施、顾客满意的测量、内审和管理评审等方式，充分地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33" w:type="dxa"/>
            <w:vMerge w:val="restart"/>
            <w:shd w:val="clear" w:color="auto" w:fill="auto"/>
          </w:tcPr>
          <w:p>
            <w:r>
              <w:rPr>
                <w:rFonts w:hint="eastAsia"/>
              </w:rPr>
              <w:t>领导作用与承诺</w:t>
            </w:r>
          </w:p>
        </w:tc>
        <w:tc>
          <w:tcPr>
            <w:tcW w:w="1040" w:type="dxa"/>
            <w:vMerge w:val="restart"/>
            <w:shd w:val="clear" w:color="auto" w:fill="auto"/>
          </w:tcPr>
          <w:p>
            <w:r>
              <w:rPr>
                <w:rFonts w:hint="eastAsia"/>
              </w:rPr>
              <w:t>F5.1</w:t>
            </w:r>
          </w:p>
        </w:tc>
        <w:tc>
          <w:tcPr>
            <w:tcW w:w="893" w:type="dxa"/>
            <w:shd w:val="clear" w:color="auto" w:fill="auto"/>
          </w:tcPr>
          <w:p>
            <w:r>
              <w:rPr>
                <w:rFonts w:hint="eastAsia"/>
              </w:rPr>
              <w:t>文件名称</w:t>
            </w:r>
          </w:p>
        </w:tc>
        <w:tc>
          <w:tcPr>
            <w:tcW w:w="9373" w:type="dxa"/>
            <w:shd w:val="clear" w:color="auto" w:fill="auto"/>
          </w:tcPr>
          <w:p>
            <w:r>
              <w:rPr>
                <w:rFonts w:hint="eastAsia"/>
              </w:rPr>
              <w:t>如：</w:t>
            </w:r>
            <w:r>
              <w:rPr/>
              <w:sym w:font="Wingdings" w:char="00FE"/>
            </w:r>
            <w:r>
              <w:rPr>
                <w:rFonts w:hint="eastAsia"/>
              </w:rPr>
              <w:t>管理手册第5.1章和“总经理岗位职责”</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p>
            <w:pPr>
              <w:rPr>
                <w:color w:val="000000"/>
                <w:szCs w:val="21"/>
              </w:rPr>
            </w:pPr>
            <w:r>
              <w:rPr>
                <w:rFonts w:hint="eastAsia"/>
                <w:color w:val="000000"/>
                <w:szCs w:val="21"/>
              </w:rPr>
              <w:t xml:space="preserve"> 与最高管理者沟通其领导作用与承诺：</w:t>
            </w:r>
          </w:p>
          <w:p>
            <w:pPr>
              <w:rPr>
                <w:color w:val="000000"/>
                <w:szCs w:val="21"/>
                <w:shd w:val="clear" w:color="FFFFFF" w:fill="D9D9D9"/>
              </w:rPr>
            </w:pPr>
            <w:r>
              <w:rPr>
                <w:rFonts w:hint="eastAsia"/>
                <w:color w:val="000000"/>
                <w:szCs w:val="21"/>
                <w:shd w:val="clear" w:color="FFFFFF" w:fill="D9D9D9"/>
              </w:rPr>
              <w:t>2018版标准</w:t>
            </w:r>
          </w:p>
          <w:p>
            <w:pPr>
              <w:rPr>
                <w:color w:val="000000"/>
                <w:szCs w:val="21"/>
              </w:rPr>
            </w:pPr>
            <w:r>
              <w:rPr>
                <w:rFonts w:hint="eastAsia"/>
                <w:color w:val="000000"/>
                <w:szCs w:val="21"/>
              </w:rPr>
              <w:sym w:font="Wingdings" w:char="00FE"/>
            </w:r>
            <w:r>
              <w:rPr>
                <w:rFonts w:hint="eastAsia"/>
                <w:b/>
                <w:bCs/>
                <w:color w:val="000000"/>
                <w:szCs w:val="21"/>
              </w:rPr>
              <w:t xml:space="preserve"> 确保为食品安全管理体系制定食品安全方针和食品安全目标， 并与组织的战略方向相一致；</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确保食品安全管理体系要求整合到组织的业务过程中</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确保获得食品安全管理体系所需的资源</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沟通有效食品安全管理的重要性， 符合食品安全管理体系要求、 法律法规要求和与食品安全有关的顾客要求</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确保对FSMS进行评估和保持，以实现其预期结果</w:t>
            </w:r>
            <w:r>
              <w:rPr>
                <w:rFonts w:hint="eastAsia"/>
                <w:color w:val="000000"/>
                <w:szCs w:val="21"/>
              </w:rPr>
              <w:t xml:space="preserve">； </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指导和支持员工为食品安全管理体系的有效性做出贡献</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推动持续改进</w:t>
            </w:r>
            <w:r>
              <w:rPr>
                <w:rFonts w:hint="eastAsia"/>
                <w:color w:val="000000"/>
                <w:szCs w:val="21"/>
              </w:rPr>
              <w:t>；</w:t>
            </w:r>
          </w:p>
          <w:p>
            <w:pPr>
              <w:rPr>
                <w:color w:val="000000"/>
                <w:szCs w:val="21"/>
              </w:rPr>
            </w:pPr>
            <w:r>
              <w:rPr>
                <w:rFonts w:hint="eastAsia"/>
                <w:color w:val="000000"/>
                <w:szCs w:val="21"/>
              </w:rPr>
              <w:sym w:font="Wingdings" w:char="00FE"/>
            </w:r>
            <w:r>
              <w:rPr>
                <w:rFonts w:hint="eastAsia"/>
                <w:color w:val="000000"/>
                <w:szCs w:val="21"/>
              </w:rPr>
              <w:t xml:space="preserve"> </w:t>
            </w:r>
            <w:r>
              <w:rPr>
                <w:rFonts w:hint="eastAsia"/>
                <w:b/>
                <w:bCs/>
                <w:color w:val="000000"/>
                <w:szCs w:val="21"/>
              </w:rPr>
              <w:t>支持其他管理者履行其相关领域的食品安全领导职责</w:t>
            </w:r>
            <w:r>
              <w:rPr>
                <w:rFonts w:hint="eastAsia"/>
                <w:color w:val="000000"/>
                <w:szCs w:val="21"/>
              </w:rPr>
              <w:t>；</w:t>
            </w:r>
          </w:p>
          <w:p>
            <w:pPr>
              <w:snapToGrid w:val="0"/>
              <w:spacing w:line="240" w:lineRule="atLeast"/>
              <w:rPr>
                <w:rFonts w:ascii="黑体" w:eastAsia="黑体"/>
                <w:szCs w:val="21"/>
              </w:rPr>
            </w:pPr>
          </w:p>
          <w:p>
            <w:pP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33" w:type="dxa"/>
            <w:vMerge w:val="restart"/>
            <w:shd w:val="clear" w:color="auto" w:fill="auto"/>
          </w:tcPr>
          <w:p>
            <w:r>
              <w:rPr>
                <w:rFonts w:hint="eastAsia"/>
              </w:rPr>
              <w:t>管理职责</w:t>
            </w:r>
          </w:p>
          <w:p>
            <w:r>
              <w:rPr>
                <w:rFonts w:hint="eastAsia"/>
              </w:rPr>
              <w:t>管理承诺</w:t>
            </w:r>
          </w:p>
        </w:tc>
        <w:tc>
          <w:tcPr>
            <w:tcW w:w="1040" w:type="dxa"/>
            <w:vMerge w:val="restart"/>
            <w:shd w:val="clear" w:color="auto" w:fill="auto"/>
          </w:tcPr>
          <w:p>
            <w:r>
              <w:rPr>
                <w:rFonts w:hint="eastAsia"/>
              </w:rPr>
              <w:t xml:space="preserve"> H(V1.0)</w:t>
            </w:r>
          </w:p>
          <w:p>
            <w:r>
              <w:rPr>
                <w:rFonts w:hint="eastAsia"/>
              </w:rPr>
              <w:t>2.1</w:t>
            </w:r>
          </w:p>
        </w:tc>
        <w:tc>
          <w:tcPr>
            <w:tcW w:w="893" w:type="dxa"/>
            <w:shd w:val="clear" w:color="auto" w:fill="auto"/>
          </w:tcPr>
          <w:p>
            <w:r>
              <w:rPr>
                <w:rFonts w:hint="eastAsia"/>
              </w:rPr>
              <w:t>文件名称</w:t>
            </w:r>
          </w:p>
        </w:tc>
        <w:tc>
          <w:tcPr>
            <w:tcW w:w="9373" w:type="dxa"/>
            <w:shd w:val="clear" w:color="auto" w:fill="auto"/>
          </w:tcPr>
          <w:p>
            <w:pPr>
              <w:spacing w:line="360" w:lineRule="auto"/>
            </w:pPr>
            <w:r>
              <w:rPr/>
              <w:sym w:font="Wingdings 2" w:char="0052"/>
            </w:r>
            <w:r>
              <w:rPr>
                <w:rFonts w:hint="eastAsia"/>
              </w:rPr>
              <w:t>《管理手册》5.1条款</w:t>
            </w:r>
          </w:p>
        </w:tc>
        <w:tc>
          <w:tcPr>
            <w:tcW w:w="1585" w:type="dxa"/>
            <w:vMerge w:val="restart"/>
            <w:shd w:val="clear" w:color="auto" w:fill="auto"/>
          </w:tcPr>
          <w:p>
            <w:r>
              <w:rPr/>
              <w:sym w:font="Wingdings 2" w:char="0052"/>
            </w:r>
            <w:r>
              <w:rPr>
                <w:rFonts w:hint="eastAsia"/>
              </w:rPr>
              <w:t>符合</w:t>
            </w:r>
          </w:p>
          <w:p>
            <w:r>
              <w:rPr>
                <w:rFonts w:hint="eastAsia"/>
              </w:rPr>
              <w:t>口不符合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p>
            <w:pPr>
              <w:spacing w:line="360" w:lineRule="auto"/>
            </w:pPr>
            <w:r>
              <w:rPr>
                <w:rFonts w:hint="eastAsia"/>
              </w:rPr>
              <w:t>最高管理者应通过以下活动，提供建立和实施HACCP体系所作承诺的证据：</w:t>
            </w:r>
          </w:p>
          <w:p>
            <w:pPr>
              <w:spacing w:line="360" w:lineRule="auto"/>
            </w:pPr>
            <w:r>
              <w:rPr>
                <w:rFonts w:hint="eastAsia"/>
              </w:rPr>
              <w:sym w:font="Wingdings" w:char="00FE"/>
            </w:r>
            <w:r>
              <w:t xml:space="preserve"> </w:t>
            </w:r>
            <w:r>
              <w:rPr>
                <w:rFonts w:hint="eastAsia"/>
              </w:rPr>
              <w:t>对HACCP体系的有效性负责；</w:t>
            </w:r>
          </w:p>
          <w:p>
            <w:pPr>
              <w:spacing w:line="360" w:lineRule="auto"/>
            </w:pPr>
            <w:r>
              <w:rPr>
                <w:rFonts w:hint="eastAsia"/>
              </w:rPr>
              <w:sym w:font="Wingdings" w:char="00FE"/>
            </w:r>
            <w:r>
              <w:t xml:space="preserve"> </w:t>
            </w:r>
            <w:r>
              <w:rPr>
                <w:rFonts w:hint="eastAsia"/>
              </w:rPr>
              <w:t>将满足顾客和法律法规对食品安全要求的重要性传达到企业的各级人员；</w:t>
            </w:r>
          </w:p>
          <w:p>
            <w:pPr>
              <w:spacing w:line="360" w:lineRule="auto"/>
            </w:pPr>
            <w:r>
              <w:rPr>
                <w:rFonts w:hint="eastAsia"/>
              </w:rPr>
              <w:sym w:font="Wingdings" w:char="00FE"/>
            </w:r>
            <w:r>
              <w:t xml:space="preserve"> </w:t>
            </w:r>
            <w:r>
              <w:rPr>
                <w:rFonts w:hint="eastAsia"/>
              </w:rPr>
              <w:t>确保制定的食品安全方针和目标与企业的战略方向一致；</w:t>
            </w:r>
          </w:p>
          <w:p>
            <w:pPr>
              <w:spacing w:line="360" w:lineRule="auto"/>
            </w:pPr>
            <w:r>
              <w:rPr>
                <w:rFonts w:hint="eastAsia"/>
              </w:rPr>
              <w:sym w:font="Wingdings" w:char="00FE"/>
            </w:r>
            <w:r>
              <w:t xml:space="preserve"> </w:t>
            </w:r>
            <w:r>
              <w:rPr>
                <w:rFonts w:hint="eastAsia"/>
              </w:rPr>
              <w:t>确保将HACCP体系的要求整合到企业的运营管理之中；</w:t>
            </w:r>
          </w:p>
          <w:p>
            <w:pPr>
              <w:spacing w:line="360" w:lineRule="auto"/>
            </w:pPr>
            <w:r>
              <w:rPr>
                <w:rFonts w:hint="eastAsia"/>
              </w:rPr>
              <w:sym w:font="Wingdings" w:char="00FE"/>
            </w:r>
            <w:r>
              <w:t xml:space="preserve"> </w:t>
            </w:r>
            <w:r>
              <w:rPr>
                <w:rFonts w:hint="eastAsia"/>
              </w:rPr>
              <w:t>确保企业食品安全文化的推行；</w:t>
            </w:r>
          </w:p>
          <w:p>
            <w:pPr>
              <w:spacing w:line="360" w:lineRule="auto"/>
            </w:pPr>
            <w:r>
              <w:rPr>
                <w:rFonts w:hint="eastAsia"/>
              </w:rPr>
              <w:sym w:font="Wingdings" w:char="00FE"/>
            </w:r>
            <w:r>
              <w:t xml:space="preserve"> </w:t>
            </w:r>
            <w:r>
              <w:rPr>
                <w:rFonts w:hint="eastAsia"/>
              </w:rPr>
              <w:t>进行管理评审；</w:t>
            </w:r>
          </w:p>
          <w:p>
            <w:pPr>
              <w:spacing w:line="360" w:lineRule="auto"/>
            </w:pPr>
            <w:r>
              <w:rPr>
                <w:rFonts w:hint="eastAsia"/>
              </w:rPr>
              <w:sym w:font="Wingdings" w:char="00FE"/>
            </w:r>
            <w:r>
              <w:t xml:space="preserve"> </w:t>
            </w:r>
            <w:r>
              <w:rPr>
                <w:rFonts w:hint="eastAsia"/>
              </w:rPr>
              <w:t>确保各级员工关注食品安全问题，并鼓励有效的内部报告；</w:t>
            </w:r>
          </w:p>
          <w:p>
            <w:pPr>
              <w:spacing w:line="360" w:lineRule="auto"/>
            </w:pPr>
            <w:r>
              <w:rPr>
                <w:rFonts w:hint="eastAsia"/>
              </w:rPr>
              <w:sym w:font="Wingdings" w:char="00FE"/>
            </w:r>
            <w:r>
              <w:t xml:space="preserve"> </w:t>
            </w:r>
            <w:r>
              <w:rPr>
                <w:rFonts w:hint="eastAsia"/>
              </w:rPr>
              <w:t>确保资源的获得。</w:t>
            </w:r>
          </w:p>
          <w:p>
            <w:pPr>
              <w:spacing w:line="360" w:lineRule="auto"/>
            </w:pPr>
            <w:r>
              <w:rPr>
                <w:rFonts w:hint="eastAsia"/>
              </w:rPr>
              <w:sym w:font="Wingdings" w:char="00FE"/>
            </w:r>
            <w:r>
              <w:rPr>
                <w:rFonts w:hint="eastAsia"/>
                <w:color w:val="000000"/>
                <w:szCs w:val="21"/>
              </w:rPr>
              <w:t>覆盖了标准第</w:t>
            </w:r>
            <w:r>
              <w:rPr>
                <w:color w:val="000000"/>
                <w:szCs w:val="21"/>
              </w:rPr>
              <w:t>2</w:t>
            </w:r>
            <w:r>
              <w:rPr>
                <w:rFonts w:hint="eastAsia"/>
                <w:color w:val="000000"/>
                <w:szCs w:val="21"/>
              </w:rPr>
              <w:t>.1章的全面要求，</w:t>
            </w:r>
            <w:r>
              <w:rPr>
                <w:rFonts w:hint="eastAsia"/>
                <w:color w:val="000000"/>
                <w:szCs w:val="21"/>
              </w:rPr>
              <w:sym w:font="Wingdings" w:char="00A8"/>
            </w:r>
            <w:r>
              <w:rPr>
                <w:rFonts w:hint="eastAsia"/>
                <w:color w:val="000000"/>
                <w:szCs w:val="21"/>
              </w:rPr>
              <w:t xml:space="preserve"> 未覆盖标准第</w:t>
            </w:r>
            <w:r>
              <w:rPr>
                <w:color w:val="000000"/>
                <w:szCs w:val="21"/>
              </w:rPr>
              <w:t>2</w:t>
            </w:r>
            <w:r>
              <w:rPr>
                <w:rFonts w:hint="eastAsia"/>
                <w:color w:val="000000"/>
                <w:szCs w:val="21"/>
              </w:rPr>
              <w:t>.1章的全面要求，缺少：</w:t>
            </w:r>
            <w:r>
              <w:rPr>
                <w:rFonts w:hint="eastAsia"/>
                <w:color w:val="000000"/>
                <w:szCs w:val="21"/>
                <w:u w:val="single"/>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33" w:type="dxa"/>
            <w:vMerge w:val="restart"/>
            <w:shd w:val="clear" w:color="auto" w:fill="auto"/>
          </w:tcPr>
          <w:p>
            <w:r>
              <w:rPr>
                <w:rFonts w:hint="eastAsia"/>
              </w:rPr>
              <w:t>食品安全文化</w:t>
            </w:r>
          </w:p>
          <w:p/>
        </w:tc>
        <w:tc>
          <w:tcPr>
            <w:tcW w:w="1040" w:type="dxa"/>
            <w:vMerge w:val="restart"/>
            <w:shd w:val="clear" w:color="auto" w:fill="auto"/>
          </w:tcPr>
          <w:p>
            <w:r>
              <w:rPr>
                <w:rFonts w:hint="eastAsia"/>
              </w:rPr>
              <w:t>H(V1.0)</w:t>
            </w:r>
          </w:p>
          <w:p>
            <w:r>
              <w:rPr>
                <w:rFonts w:hint="eastAsia"/>
              </w:rPr>
              <w:t>2.3</w:t>
            </w:r>
          </w:p>
        </w:tc>
        <w:tc>
          <w:tcPr>
            <w:tcW w:w="893" w:type="dxa"/>
            <w:shd w:val="clear" w:color="auto" w:fill="auto"/>
          </w:tcPr>
          <w:p>
            <w:r>
              <w:rPr>
                <w:rFonts w:hint="eastAsia"/>
              </w:rPr>
              <w:t>文件名称</w:t>
            </w:r>
          </w:p>
        </w:tc>
        <w:tc>
          <w:tcPr>
            <w:tcW w:w="9373" w:type="dxa"/>
            <w:shd w:val="clear" w:color="auto" w:fill="auto"/>
          </w:tcPr>
          <w:p>
            <w:r>
              <w:rPr/>
              <w:sym w:font="Wingdings 2" w:char="0052"/>
            </w:r>
            <w:r>
              <w:rPr>
                <w:rFonts w:hint="eastAsia"/>
              </w:rPr>
              <w:t>《管理手册》7.1.8 条款</w:t>
            </w:r>
          </w:p>
        </w:tc>
        <w:tc>
          <w:tcPr>
            <w:tcW w:w="1585" w:type="dxa"/>
            <w:vMerge w:val="restart"/>
            <w:shd w:val="clear" w:color="auto" w:fill="auto"/>
          </w:tcPr>
          <w:p>
            <w:r>
              <w:rPr/>
              <w:sym w:font="Wingdings 2" w:char="0052"/>
            </w:r>
            <w:r>
              <w:rPr>
                <w:rFonts w:hint="eastAsia"/>
              </w:rPr>
              <w:t>符合</w:t>
            </w:r>
          </w:p>
          <w:p>
            <w:r>
              <w:rPr>
                <w:rFonts w:hint="eastAsia"/>
              </w:rPr>
              <w:t>口不符合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p>
            <w:pPr>
              <w:spacing w:line="360" w:lineRule="auto"/>
            </w:pPr>
            <w:r>
              <w:rPr>
                <w:rFonts w:hint="eastAsia"/>
              </w:rPr>
              <w:t>最高管理者确保履行食品安全责任，建立企业的食品安全文化，应包括以下内容：</w:t>
            </w:r>
          </w:p>
          <w:p>
            <w:pPr>
              <w:spacing w:line="360" w:lineRule="auto"/>
            </w:pPr>
            <w:r>
              <w:rPr>
                <w:rFonts w:hint="eastAsia"/>
              </w:rPr>
              <w:sym w:font="Wingdings 2" w:char="0052"/>
            </w:r>
            <w:r>
              <w:rPr>
                <w:rFonts w:hint="eastAsia"/>
              </w:rPr>
              <w:t xml:space="preserve"> 通过培训让员工知晓企业食品安全文化，形成良好的食品安全意识；</w:t>
            </w:r>
          </w:p>
          <w:p>
            <w:pPr>
              <w:spacing w:line="360" w:lineRule="auto"/>
              <w:rPr>
                <w:u w:val="single"/>
              </w:rPr>
            </w:pPr>
            <w:r>
              <w:rPr>
                <w:rFonts w:hint="eastAsia"/>
              </w:rPr>
              <w:t xml:space="preserve">   《培训记录》</w:t>
            </w:r>
            <w:r>
              <w:rPr>
                <w:rFonts w:hint="eastAsia"/>
                <w:u w:val="single"/>
              </w:rPr>
              <w:t xml:space="preserve"> 公司从法律法规、体系文件、HACCP转版培训、检验员检验知识培训等方面开展培训，提高员工的食品安全意识。详见办公室 3.2条款审核记录。</w:t>
            </w:r>
          </w:p>
          <w:p>
            <w:pPr>
              <w:spacing w:line="360" w:lineRule="auto"/>
            </w:pPr>
            <w:r>
              <w:rPr>
                <w:rFonts w:hint="eastAsia"/>
              </w:rPr>
              <w:sym w:font="Wingdings 2" w:char="0052"/>
            </w:r>
            <w:r>
              <w:rPr>
                <w:rFonts w:hint="eastAsia"/>
              </w:rPr>
              <w:t xml:space="preserve"> 传播和有效沟通企业的价值观，确保各级员工积极参与企业的食品安全文化建设，及时获得员工的反馈信息；</w:t>
            </w:r>
          </w:p>
          <w:p>
            <w:pPr>
              <w:spacing w:line="360" w:lineRule="auto"/>
              <w:ind w:firstLine="420"/>
            </w:pPr>
            <w:r>
              <w:rPr>
                <w:rFonts w:hint="eastAsia"/>
              </w:rPr>
              <w:t>传播途径通过：</w:t>
            </w:r>
            <w:r>
              <w:rPr>
                <w:rFonts w:hint="eastAsia"/>
              </w:rPr>
              <w:sym w:font="Wingdings 2" w:char="00A3"/>
            </w:r>
            <w:r>
              <w:rPr>
                <w:rFonts w:hint="eastAsia"/>
              </w:rPr>
              <w:t xml:space="preserve">展板  </w:t>
            </w:r>
            <w:r>
              <w:rPr>
                <w:rFonts w:hint="eastAsia"/>
              </w:rPr>
              <w:sym w:font="Wingdings 2" w:char="00A3"/>
            </w:r>
            <w:r>
              <w:rPr>
                <w:rFonts w:hint="eastAsia"/>
              </w:rPr>
              <w:t xml:space="preserve">标语  </w:t>
            </w:r>
            <w:r>
              <w:rPr>
                <w:rFonts w:hint="eastAsia"/>
              </w:rPr>
              <w:sym w:font="Wingdings 2" w:char="0052"/>
            </w:r>
            <w:r>
              <w:rPr>
                <w:rFonts w:hint="eastAsia"/>
              </w:rPr>
              <w:t xml:space="preserve">会议  </w:t>
            </w:r>
            <w:r>
              <w:rPr>
                <w:rFonts w:hint="eastAsia"/>
              </w:rPr>
              <w:sym w:font="Wingdings 2" w:char="0052"/>
            </w:r>
            <w:r>
              <w:rPr>
                <w:rFonts w:hint="eastAsia"/>
              </w:rPr>
              <w:t>文件发放   □其他</w:t>
            </w:r>
          </w:p>
          <w:p>
            <w:pPr>
              <w:spacing w:line="360" w:lineRule="auto"/>
              <w:rPr>
                <w:u w:val="single"/>
              </w:rPr>
            </w:pPr>
            <w:r>
              <w:rPr>
                <w:rFonts w:hint="eastAsia"/>
              </w:rPr>
              <w:sym w:font="Wingdings 2" w:char="0052"/>
            </w:r>
            <w:r>
              <w:rPr>
                <w:rFonts w:hint="eastAsia"/>
              </w:rPr>
              <w:t xml:space="preserve"> 对食品安全文化活动及绩效进行评价，必要时加以改进</w:t>
            </w:r>
            <w:r>
              <w:rPr>
                <w:rFonts w:hint="eastAsia"/>
                <w:u w:val="single"/>
              </w:rPr>
              <w:t>。主要体现在内审</w:t>
            </w:r>
          </w:p>
          <w:p>
            <w:pPr>
              <w:spacing w:line="360" w:lineRule="auto"/>
            </w:pPr>
            <w:r>
              <w:rPr>
                <w:rFonts w:hint="eastAsia"/>
              </w:rPr>
              <w:t xml:space="preserve">    食品安全文化评价/改进记录</w:t>
            </w:r>
            <w:r>
              <w:rPr>
                <w:rFonts w:hint="eastAsia"/>
                <w:u w:val="single"/>
              </w:rPr>
              <w:t xml:space="preserve">       年     月     日</w:t>
            </w:r>
            <w:r>
              <w:rPr>
                <w:rFonts w:hint="eastAsia"/>
              </w:rPr>
              <w:t>；结论：——</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33" w:type="dxa"/>
            <w:vMerge w:val="restart"/>
            <w:shd w:val="clear" w:color="auto" w:fill="auto"/>
          </w:tcPr>
          <w:p>
            <w:r>
              <w:rPr>
                <w:rFonts w:hint="eastAsia"/>
              </w:rPr>
              <w:t>食品安全方针</w:t>
            </w:r>
          </w:p>
        </w:tc>
        <w:tc>
          <w:tcPr>
            <w:tcW w:w="1040" w:type="dxa"/>
            <w:vMerge w:val="restart"/>
            <w:shd w:val="clear" w:color="auto" w:fill="auto"/>
          </w:tcPr>
          <w:p>
            <w:r>
              <w:rPr>
                <w:rFonts w:hint="eastAsia"/>
              </w:rPr>
              <w:t>F5.2</w:t>
            </w:r>
          </w:p>
          <w:p>
            <w:r>
              <w:rPr>
                <w:rFonts w:hint="eastAsia"/>
              </w:rPr>
              <w:t>H(V1.0)</w:t>
            </w:r>
          </w:p>
          <w:p>
            <w:r>
              <w:rPr>
                <w:rFonts w:hint="eastAsia"/>
              </w:rPr>
              <w:t>2.4.1</w:t>
            </w:r>
          </w:p>
          <w:p>
            <w:pPr>
              <w:pStyle w:val="6"/>
            </w:pPr>
          </w:p>
        </w:tc>
        <w:tc>
          <w:tcPr>
            <w:tcW w:w="893" w:type="dxa"/>
            <w:shd w:val="clear" w:color="auto" w:fill="auto"/>
          </w:tcPr>
          <w:p>
            <w:r>
              <w:rPr>
                <w:rFonts w:hint="eastAsia"/>
              </w:rPr>
              <w:t>文件名称</w:t>
            </w:r>
          </w:p>
        </w:tc>
        <w:tc>
          <w:tcPr>
            <w:tcW w:w="9373"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《食品安全管理手册》</w:t>
            </w:r>
            <w:r>
              <w:rPr>
                <w:rFonts w:hint="eastAsia"/>
              </w:rPr>
              <w:t>第5.2章和“0.2 公司方针和目标”</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p>
            <w:r>
              <w:rPr>
                <w:rFonts w:hint="eastAsia"/>
              </w:rPr>
              <w:t>最高管理者制定了文件化的管理体系方针：</w:t>
            </w:r>
          </w:p>
          <w:p>
            <w:pPr>
              <w:pStyle w:val="13"/>
              <w:rPr>
                <w:rFonts w:hint="eastAsia"/>
              </w:rPr>
            </w:pPr>
          </w:p>
          <w:p>
            <w:pPr>
              <w:pStyle w:val="13"/>
              <w:rPr>
                <w:b/>
                <w:color w:val="000000"/>
                <w:spacing w:val="0"/>
                <w:szCs w:val="18"/>
                <w:u w:val="single"/>
              </w:rPr>
            </w:pPr>
            <w:r>
              <w:rPr>
                <w:rFonts w:hint="eastAsia"/>
                <w:b/>
                <w:color w:val="000000"/>
                <w:spacing w:val="0"/>
                <w:szCs w:val="18"/>
                <w:u w:val="single"/>
              </w:rPr>
              <w:t>鼎新鲜、鼎便利、鼎快速、鼎安全，打造生鲜配比，5 星级服务体验。</w:t>
            </w:r>
          </w:p>
          <w:p>
            <w:pPr>
              <w:pStyle w:val="13"/>
              <w:rPr>
                <w:rFonts w:hint="eastAsia"/>
              </w:rPr>
            </w:pPr>
          </w:p>
          <w:p>
            <w:pPr>
              <w:spacing w:line="500" w:lineRule="exact"/>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适应组织的宗旨和环境并支持其战略方向</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质量</w:t>
            </w:r>
            <w:r>
              <w:rPr>
                <w:rFonts w:hint="eastAsia"/>
              </w:rPr>
              <w:t>/食品安全</w:t>
            </w:r>
            <w:r>
              <w:rPr>
                <w:rFonts w:hint="eastAsia"/>
                <w:lang w:val="en-GB"/>
              </w:rPr>
              <w:t>方针合理恰当并为</w:t>
            </w:r>
            <w:r>
              <w:rPr>
                <w:rFonts w:hint="eastAsia"/>
                <w:color w:val="0000FF"/>
              </w:rPr>
              <w:t>制定和评审</w:t>
            </w:r>
            <w:r>
              <w:rPr>
                <w:rFonts w:hint="eastAsia"/>
                <w:lang w:val="en-GB"/>
              </w:rPr>
              <w:t>相应的</w:t>
            </w:r>
            <w:r>
              <w:rPr>
                <w:rFonts w:hint="eastAsia"/>
              </w:rPr>
              <w:t>食品安全</w:t>
            </w:r>
            <w:r>
              <w:rPr>
                <w:rFonts w:hint="eastAsia"/>
                <w:lang w:val="en-GB"/>
              </w:rPr>
              <w:t>目标提供了框架。</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包括满足适用要求的承诺； </w:t>
            </w:r>
          </w:p>
          <w:p>
            <w:r>
              <w:rPr>
                <w:rFonts w:hint="eastAsia"/>
              </w:rPr>
              <w:t>☑包括满足适用食品安全要求的承诺，包括立法/执法要求和顾客的相互同意的食品安全要求（FSMS）</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包括持续改进管理体系的承诺；</w:t>
            </w:r>
          </w:p>
          <w:p>
            <w:r>
              <w:rPr>
                <w:rFonts w:hint="eastAsia"/>
              </w:rPr>
              <w:t>☑应对内部和外部沟通（FSMS）</w:t>
            </w:r>
          </w:p>
          <w:p>
            <w:r>
              <w:rPr>
                <w:rFonts w:hint="eastAsia"/>
              </w:rPr>
              <w:t>☑解决需求确保食品安全相关的能力（FSMS）</w:t>
            </w:r>
          </w:p>
          <w:p>
            <w:pPr>
              <w:spacing w:line="360" w:lineRule="auto"/>
              <w:rPr>
                <w:color w:val="0000FF"/>
              </w:rPr>
            </w:pPr>
            <w:r>
              <w:rPr>
                <w:rFonts w:hint="eastAsia"/>
                <w:color w:val="0000FF"/>
              </w:rPr>
              <w:sym w:font="Wingdings 2" w:char="0052"/>
            </w:r>
            <w:r>
              <w:rPr>
                <w:rFonts w:hint="eastAsia"/>
                <w:color w:val="0000FF"/>
              </w:rPr>
              <w:t xml:space="preserve"> 包含满足法律法规要求和顾客要求相关的食品安全承诺；（HACCP体系）</w:t>
            </w:r>
          </w:p>
          <w:p>
            <w:pPr>
              <w:spacing w:line="360" w:lineRule="auto"/>
              <w:rPr>
                <w:color w:val="0000FF"/>
              </w:rPr>
            </w:pPr>
            <w:r>
              <w:rPr>
                <w:rFonts w:hint="eastAsia"/>
                <w:color w:val="0000FF"/>
              </w:rPr>
              <w:sym w:font="Wingdings 2" w:char="0052"/>
            </w:r>
            <w:r>
              <w:rPr>
                <w:rFonts w:hint="eastAsia"/>
                <w:color w:val="0000FF"/>
              </w:rPr>
              <w:t xml:space="preserve"> 在持续适宜性方面得到评审。（HACCP体系）</w:t>
            </w:r>
          </w:p>
          <w:p>
            <w:pPr>
              <w:pStyle w:val="6"/>
            </w:pP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在组织内得到沟通、理解和应用，通过：</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展板  </w:t>
            </w:r>
            <w:r>
              <w:rPr>
                <w:rFonts w:hint="eastAsia"/>
              </w:rPr>
              <w:sym w:font="Wingdings" w:char="00FE"/>
            </w:r>
            <w:r>
              <w:rPr>
                <w:rFonts w:hint="eastAsia"/>
              </w:rPr>
              <w:t xml:space="preserve">标语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会议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文件发放   </w:t>
            </w:r>
            <w:r>
              <w:rPr>
                <w:rFonts w:hint="eastAsia"/>
              </w:rPr>
              <w:sym w:font="Wingdings" w:char="00A8"/>
            </w:r>
            <w:r>
              <w:rPr>
                <w:rFonts w:hint="eastAsia"/>
              </w:rPr>
              <w:t xml:space="preserve">其他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在相关方有需要时提供。通过：</w:t>
            </w:r>
            <w:r>
              <w:rPr>
                <w:rFonts w:hint="eastAsia"/>
              </w:rPr>
              <w:sym w:font="Wingdings" w:char="00A8"/>
            </w:r>
            <w:r>
              <w:rPr>
                <w:rFonts w:hint="eastAsia"/>
              </w:rPr>
              <w:t xml:space="preserve">网站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宣传册 </w:t>
            </w:r>
            <w:r>
              <w:rPr>
                <w:rFonts w:hint="eastAsia"/>
              </w:rPr>
              <w:sym w:font="Wingdings" w:char="00FE"/>
            </w:r>
            <w:r>
              <w:rPr>
                <w:rFonts w:hint="eastAsia"/>
              </w:rPr>
              <w:t>其他——合同、招投标等</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33" w:type="dxa"/>
            <w:vMerge w:val="restart"/>
            <w:shd w:val="clear" w:color="auto" w:fill="auto"/>
          </w:tcPr>
          <w:p>
            <w:r>
              <w:rPr>
                <w:rFonts w:hint="eastAsia"/>
              </w:rPr>
              <w:t>组织的岗位、职责和权限</w:t>
            </w:r>
          </w:p>
          <w:p/>
        </w:tc>
        <w:tc>
          <w:tcPr>
            <w:tcW w:w="1040" w:type="dxa"/>
            <w:vMerge w:val="restart"/>
            <w:shd w:val="clear" w:color="auto" w:fill="auto"/>
          </w:tcPr>
          <w:p>
            <w:r>
              <w:rPr>
                <w:rFonts w:hint="eastAsia"/>
              </w:rPr>
              <w:t>F5.3</w:t>
            </w:r>
          </w:p>
          <w:p>
            <w:r>
              <w:rPr>
                <w:rFonts w:hint="eastAsia"/>
              </w:rPr>
              <w:t>H(V1.0)</w:t>
            </w:r>
          </w:p>
          <w:p>
            <w:r>
              <w:rPr>
                <w:rFonts w:hint="eastAsia"/>
              </w:rPr>
              <w:t xml:space="preserve">2.5.1  </w:t>
            </w:r>
          </w:p>
          <w:p>
            <w:pPr>
              <w:pStyle w:val="6"/>
            </w:pPr>
          </w:p>
        </w:tc>
        <w:tc>
          <w:tcPr>
            <w:tcW w:w="893" w:type="dxa"/>
            <w:shd w:val="clear" w:color="auto" w:fill="auto"/>
          </w:tcPr>
          <w:p>
            <w:r>
              <w:rPr>
                <w:rFonts w:hint="eastAsia"/>
              </w:rPr>
              <w:t>文件名称</w:t>
            </w:r>
          </w:p>
        </w:tc>
        <w:tc>
          <w:tcPr>
            <w:tcW w:w="9373"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管理手册第5.3章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8"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p>
            <w:r>
              <w:rPr>
                <w:rFonts w:hint="eastAsia"/>
              </w:rPr>
              <w:t>最高管理者确定了组织架构及相关岗位的职责、权限，并进行了全员的沟通和理解；</w:t>
            </w:r>
          </w:p>
          <w:p>
            <w:r>
              <w:rPr>
                <w:rFonts w:hint="eastAsia"/>
              </w:rPr>
              <w:t>如：</w:t>
            </w:r>
          </w:p>
          <w:p>
            <w:pPr>
              <w:pStyle w:val="6"/>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3"/>
              <w:gridCol w:w="1864"/>
              <w:gridCol w:w="2335"/>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tcPr>
                <w:p>
                  <w:r>
                    <w:rPr>
                      <w:rFonts w:hint="eastAsia"/>
                    </w:rPr>
                    <w:t>过程名称</w:t>
                  </w:r>
                </w:p>
              </w:tc>
              <w:tc>
                <w:tcPr>
                  <w:tcW w:w="1864" w:type="dxa"/>
                </w:tcPr>
                <w:p>
                  <w:r>
                    <w:rPr>
                      <w:rFonts w:hint="eastAsia"/>
                    </w:rPr>
                    <w:t>主管部门名称</w:t>
                  </w:r>
                </w:p>
              </w:tc>
              <w:tc>
                <w:tcPr>
                  <w:tcW w:w="2335"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tcPr>
                <w:p>
                  <w:r>
                    <w:rPr>
                      <w:rFonts w:hint="eastAsia"/>
                    </w:rPr>
                    <w:t>食品安全管理体系/HACCP体系策划和推动</w:t>
                  </w:r>
                </w:p>
              </w:tc>
              <w:tc>
                <w:tcPr>
                  <w:tcW w:w="1864" w:type="dxa"/>
                </w:tcPr>
                <w:p>
                  <w:r>
                    <w:rPr>
                      <w:rFonts w:hint="eastAsia"/>
                    </w:rPr>
                    <w:t>食品安全小组/HACCP小组</w:t>
                  </w:r>
                </w:p>
              </w:tc>
              <w:tc>
                <w:tcPr>
                  <w:tcW w:w="2335" w:type="dxa"/>
                </w:tcPr>
                <w:p>
                  <w:r>
                    <w:rPr>
                      <w:rFonts w:hint="eastAsia"/>
                    </w:rPr>
                    <w:t>设计开发过程</w:t>
                  </w:r>
                </w:p>
              </w:tc>
              <w:tc>
                <w:tcPr>
                  <w:tcW w:w="2261" w:type="dxa"/>
                </w:tcPr>
                <w:p>
                  <w:r>
                    <w:rPr>
                      <w:rFonts w:hint="eastAsia"/>
                    </w:rPr>
                    <w:t>配送部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tcPr>
                <w:p>
                  <w:r>
                    <w:rPr>
                      <w:rFonts w:hint="eastAsia"/>
                    </w:rPr>
                    <w:t>质量管理体系策划和推动</w:t>
                  </w:r>
                </w:p>
              </w:tc>
              <w:tc>
                <w:tcPr>
                  <w:tcW w:w="1864" w:type="dxa"/>
                </w:tcPr>
                <w:p>
                  <w:r>
                    <w:rPr>
                      <w:rFonts w:hint="eastAsia"/>
                    </w:rPr>
                    <w:t>质检部</w:t>
                  </w:r>
                </w:p>
              </w:tc>
              <w:tc>
                <w:tcPr>
                  <w:tcW w:w="2335" w:type="dxa"/>
                </w:tcPr>
                <w:p>
                  <w:r>
                    <w:rPr>
                      <w:rFonts w:hint="eastAsia"/>
                    </w:rPr>
                    <w:t>配合/服务放行过程</w:t>
                  </w:r>
                </w:p>
              </w:tc>
              <w:tc>
                <w:tcPr>
                  <w:tcW w:w="2261" w:type="dxa"/>
                </w:tcPr>
                <w:p>
                  <w:r>
                    <w:rPr>
                      <w:rFonts w:hint="eastAsia"/>
                    </w:rPr>
                    <w:t>配送部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tcPr>
                <w:p>
                  <w:r>
                    <w:rPr>
                      <w:rFonts w:hint="eastAsia"/>
                    </w:rPr>
                    <w:t>采购控制</w:t>
                  </w:r>
                </w:p>
              </w:tc>
              <w:tc>
                <w:tcPr>
                  <w:tcW w:w="1864" w:type="dxa"/>
                </w:tcPr>
                <w:p>
                  <w:r>
                    <w:rPr>
                      <w:rFonts w:hint="eastAsia"/>
                    </w:rPr>
                    <w:t>采购部</w:t>
                  </w:r>
                </w:p>
              </w:tc>
              <w:tc>
                <w:tcPr>
                  <w:tcW w:w="2335" w:type="dxa"/>
                </w:tcPr>
                <w:p>
                  <w:r>
                    <w:rPr>
                      <w:rFonts w:hint="eastAsia"/>
                    </w:rPr>
                    <w:t>FSMS验证和确认</w:t>
                  </w:r>
                </w:p>
              </w:tc>
              <w:tc>
                <w:tcPr>
                  <w:tcW w:w="2261" w:type="dxa"/>
                </w:tcPr>
                <w:p>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tcPr>
                <w:p>
                  <w:r>
                    <w:rPr>
                      <w:rFonts w:hint="eastAsia"/>
                    </w:rPr>
                    <w:t>人员健康</w:t>
                  </w:r>
                </w:p>
              </w:tc>
              <w:tc>
                <w:tcPr>
                  <w:tcW w:w="1864" w:type="dxa"/>
                </w:tcPr>
                <w:p>
                  <w:r>
                    <w:rPr>
                      <w:rFonts w:hint="eastAsia"/>
                    </w:rPr>
                    <w:t>办公室</w:t>
                  </w:r>
                </w:p>
              </w:tc>
              <w:tc>
                <w:tcPr>
                  <w:tcW w:w="2335" w:type="dxa"/>
                </w:tcPr>
                <w:p>
                  <w:r>
                    <w:rPr>
                      <w:rFonts w:hint="eastAsia"/>
                    </w:rPr>
                    <w:t>基础设施</w:t>
                  </w:r>
                </w:p>
              </w:tc>
              <w:tc>
                <w:tcPr>
                  <w:tcW w:w="2261" w:type="dxa"/>
                </w:tcPr>
                <w:p>
                  <w:r>
                    <w:rPr>
                      <w:rFonts w:hint="eastAsia"/>
                    </w:rPr>
                    <w:t>配送部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tcPr>
                <w:p>
                  <w:r>
                    <w:rPr>
                      <w:rFonts w:hint="eastAsia"/>
                    </w:rPr>
                    <w:t>外部供方控制</w:t>
                  </w:r>
                </w:p>
              </w:tc>
              <w:tc>
                <w:tcPr>
                  <w:tcW w:w="1864" w:type="dxa"/>
                </w:tcPr>
                <w:p>
                  <w:r>
                    <w:rPr>
                      <w:rFonts w:hint="eastAsia"/>
                    </w:rPr>
                    <w:t>采购部</w:t>
                  </w:r>
                </w:p>
              </w:tc>
              <w:tc>
                <w:tcPr>
                  <w:tcW w:w="2335" w:type="dxa"/>
                </w:tcPr>
                <w:p>
                  <w:r>
                    <w:rPr>
                      <w:rFonts w:hint="eastAsia"/>
                    </w:rPr>
                    <w:t>OPRP和HACCP的实施</w:t>
                  </w:r>
                </w:p>
              </w:tc>
              <w:tc>
                <w:tcPr>
                  <w:tcW w:w="2261" w:type="dxa"/>
                </w:tcPr>
                <w:p>
                  <w:r>
                    <w:rPr>
                      <w:rFonts w:hint="eastAsia"/>
                    </w:rPr>
                    <w:t>配送部、质检部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tcPr>
                <w:p>
                  <w:r>
                    <w:rPr>
                      <w:rFonts w:hint="eastAsia"/>
                    </w:rPr>
                    <w:t>顾客满意调查分析</w:t>
                  </w:r>
                </w:p>
              </w:tc>
              <w:tc>
                <w:tcPr>
                  <w:tcW w:w="1864" w:type="dxa"/>
                </w:tcPr>
                <w:p>
                  <w:r>
                    <w:rPr>
                      <w:rFonts w:hint="eastAsia"/>
                    </w:rPr>
                    <w:t>客服部</w:t>
                  </w:r>
                </w:p>
              </w:tc>
              <w:tc>
                <w:tcPr>
                  <w:tcW w:w="2335" w:type="dxa"/>
                </w:tcPr>
                <w:p>
                  <w:r>
                    <w:rPr>
                      <w:rFonts w:hint="eastAsia"/>
                    </w:rPr>
                    <w:t>生产/服务提供过程</w:t>
                  </w:r>
                </w:p>
              </w:tc>
              <w:tc>
                <w:tcPr>
                  <w:tcW w:w="2261" w:type="dxa"/>
                </w:tcPr>
                <w:p>
                  <w:r>
                    <w:rPr>
                      <w:rFonts w:hint="eastAsia"/>
                    </w:rPr>
                    <w:t>配送部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tcPr>
                <w:p/>
              </w:tc>
              <w:tc>
                <w:tcPr>
                  <w:tcW w:w="1864" w:type="dxa"/>
                </w:tcPr>
                <w:p/>
              </w:tc>
              <w:tc>
                <w:tcPr>
                  <w:tcW w:w="2335" w:type="dxa"/>
                </w:tcPr>
                <w:p/>
              </w:tc>
              <w:tc>
                <w:tcPr>
                  <w:tcW w:w="2261" w:type="dxa"/>
                </w:tcPr>
                <w:p/>
              </w:tc>
            </w:tr>
          </w:tbl>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3" w:hRule="atLeast"/>
        </w:trPr>
        <w:tc>
          <w:tcPr>
            <w:tcW w:w="1533" w:type="dxa"/>
            <w:shd w:val="clear" w:color="auto" w:fill="auto"/>
          </w:tcPr>
          <w:p/>
        </w:tc>
        <w:tc>
          <w:tcPr>
            <w:tcW w:w="1040" w:type="dxa"/>
            <w:shd w:val="clear" w:color="auto" w:fill="auto"/>
          </w:tcPr>
          <w:p/>
        </w:tc>
        <w:tc>
          <w:tcPr>
            <w:tcW w:w="893" w:type="dxa"/>
            <w:shd w:val="clear" w:color="auto" w:fill="auto"/>
          </w:tcPr>
          <w:p/>
        </w:tc>
        <w:tc>
          <w:tcPr>
            <w:tcW w:w="9373" w:type="dxa"/>
            <w:shd w:val="clear" w:color="auto" w:fill="auto"/>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HACCP小组长/食品安全小组组长：</w:t>
            </w:r>
            <w:r>
              <w:rPr>
                <w:rFonts w:hint="eastAsia"/>
                <w:u w:val="single"/>
              </w:rPr>
              <w:t xml:space="preserve"> </w:t>
            </w:r>
            <w:r>
              <w:rPr>
                <w:rFonts w:hint="eastAsia" w:ascii="宋体" w:hAnsi="宋体" w:eastAsia="仿宋_GB2312"/>
                <w:b/>
                <w:sz w:val="24"/>
                <w:szCs w:val="24"/>
                <w:u w:val="single"/>
              </w:rPr>
              <w:t>卢利芬</w:t>
            </w:r>
            <w:r>
              <w:rPr>
                <w:rFonts w:hint="eastAsia"/>
                <w:u w:val="single"/>
              </w:rPr>
              <w:t xml:space="preserve"> </w:t>
            </w:r>
            <w:r>
              <w:rPr>
                <w:rFonts w:hint="eastAsia"/>
                <w:u w:val="single"/>
                <w:lang w:val="en-US" w:eastAsia="zh-CN"/>
              </w:rPr>
              <w:t>女士</w:t>
            </w:r>
            <w:r>
              <w:rPr>
                <w:rFonts w:hint="eastAsia"/>
                <w:u w:val="single"/>
              </w:rPr>
              <w:t xml:space="preserve">   </w:t>
            </w:r>
            <w:r>
              <w:rPr>
                <w:rFonts w:hint="eastAsia"/>
              </w:rPr>
              <w:t>，</w:t>
            </w:r>
          </w:p>
          <w:p/>
          <w:p>
            <w:r>
              <w:rPr>
                <w:rFonts w:hint="eastAsia"/>
              </w:rPr>
              <w:t>HACCP小组长/</w:t>
            </w:r>
            <w:r>
              <w:t>食品安全组长负责：</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确保FSMS</w:t>
            </w:r>
            <w:r>
              <w:rPr>
                <w:rFonts w:hint="eastAsia"/>
              </w:rPr>
              <w:t>/HACCP体系</w:t>
            </w:r>
            <w:r>
              <w:t>的建立、实施、维护和更新；</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管理和组织食品安全小组</w:t>
            </w:r>
            <w:r>
              <w:rPr>
                <w:rFonts w:hint="eastAsia"/>
              </w:rPr>
              <w:t>/HACCP小组</w:t>
            </w:r>
            <w:r>
              <w:t>的工作；</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确保食品安全团队的相关培训和能力；</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向最高管理层报告FSMS</w:t>
            </w:r>
            <w:r>
              <w:rPr>
                <w:rFonts w:hint="eastAsia"/>
              </w:rPr>
              <w:t>/HACCP体系</w:t>
            </w:r>
            <w:r>
              <w:t>的有效性和适宜性。</w:t>
            </w:r>
          </w:p>
          <w:p/>
          <w:p>
            <w:r>
              <w:t>所有人员有责任向</w:t>
            </w:r>
            <w:r>
              <w:rPr>
                <w:rFonts w:hint="eastAsia"/>
              </w:rPr>
              <w:sym w:font="Wingdings" w:char="00FE"/>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585"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33" w:type="dxa"/>
            <w:vMerge w:val="restart"/>
            <w:shd w:val="clear" w:color="auto" w:fill="auto"/>
          </w:tcPr>
          <w:p>
            <w:pPr>
              <w:rPr>
                <w:color w:val="000000"/>
                <w:szCs w:val="21"/>
              </w:rPr>
            </w:pPr>
            <w:r>
              <w:rPr>
                <w:rFonts w:hint="eastAsia"/>
                <w:color w:val="000000"/>
                <w:szCs w:val="21"/>
              </w:rPr>
              <w:t>应对风险和机遇的措施</w:t>
            </w:r>
          </w:p>
          <w:p/>
        </w:tc>
        <w:tc>
          <w:tcPr>
            <w:tcW w:w="1040" w:type="dxa"/>
            <w:vMerge w:val="restart"/>
            <w:shd w:val="clear" w:color="auto" w:fill="auto"/>
          </w:tcPr>
          <w:p>
            <w:r>
              <w:rPr>
                <w:rFonts w:hint="eastAsia"/>
                <w:color w:val="000000"/>
                <w:szCs w:val="21"/>
              </w:rPr>
              <w:t>F6.1.1</w:t>
            </w:r>
          </w:p>
        </w:tc>
        <w:tc>
          <w:tcPr>
            <w:tcW w:w="893" w:type="dxa"/>
            <w:shd w:val="clear" w:color="auto" w:fill="auto"/>
          </w:tcPr>
          <w:p>
            <w:r>
              <w:rPr>
                <w:rFonts w:hint="eastAsia"/>
              </w:rPr>
              <w:t>文件名称</w:t>
            </w:r>
          </w:p>
        </w:tc>
        <w:tc>
          <w:tcPr>
            <w:tcW w:w="9373" w:type="dxa"/>
            <w:shd w:val="clear" w:color="auto" w:fill="auto"/>
          </w:tcPr>
          <w:p>
            <w:r>
              <w:rPr>
                <w:rFonts w:hint="eastAsia"/>
              </w:rPr>
              <w:t>如：</w:t>
            </w:r>
            <w:r>
              <w:rPr>
                <w:rFonts w:hint="eastAsia"/>
              </w:rPr>
              <w:sym w:font="Wingdings" w:char="00FE"/>
            </w:r>
            <w:r>
              <w:rPr>
                <w:rFonts w:hint="eastAsia"/>
              </w:rPr>
              <w:t>《</w:t>
            </w:r>
            <w:r>
              <w:rPr>
                <w:rFonts w:hint="eastAsia"/>
                <w:color w:val="000000"/>
                <w:szCs w:val="21"/>
              </w:rPr>
              <w:t>风险和机遇应对</w:t>
            </w:r>
            <w:r>
              <w:rPr>
                <w:rFonts w:hint="eastAsia"/>
              </w:rPr>
              <w:t>控制程序》、</w:t>
            </w:r>
            <w:r>
              <w:rPr>
                <w:rFonts w:hint="eastAsia"/>
              </w:rPr>
              <w:sym w:font="Wingdings" w:char="00FE"/>
            </w:r>
            <w:r>
              <w:rPr>
                <w:rFonts w:hint="eastAsia"/>
              </w:rPr>
              <w:t>管理手册第6.1章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6"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p>
            <w:r>
              <w:rPr>
                <w:rFonts w:hint="eastAsia"/>
              </w:rPr>
              <w:t>分析风险的方法：</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A8"/>
            </w:r>
            <w:r>
              <w:rPr>
                <w:rFonts w:hint="eastAsia"/>
              </w:rPr>
              <w:t>其他</w:t>
            </w:r>
          </w:p>
          <w:p/>
          <w:p>
            <w:r>
              <w:rPr>
                <w:rFonts w:hint="eastAsia"/>
              </w:rPr>
              <w:t xml:space="preserve">应对风险的措施类型包括：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规避风险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为寻求机遇承担风险、</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消除风险源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改变风险的可能性和后果、</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分担风险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通过信息充分的决策而保留风险 </w:t>
            </w:r>
            <w:r>
              <w:rPr>
                <w:rFonts w:hint="eastAsia"/>
              </w:rPr>
              <w:sym w:font="Wingdings" w:char="00A8"/>
            </w:r>
            <w:r>
              <w:rPr>
                <w:rFonts w:hint="eastAsia"/>
              </w:rPr>
              <w:t>其他</w:t>
            </w:r>
          </w:p>
          <w:p/>
          <w:p>
            <w:r>
              <w:rPr>
                <w:rFonts w:hint="eastAsia"/>
              </w:rPr>
              <w:t>列举2~3项应对主要风险的描述：</w:t>
            </w:r>
          </w:p>
          <w:tbl>
            <w:tblPr>
              <w:tblStyle w:val="10"/>
              <w:tblpPr w:leftFromText="180" w:rightFromText="180" w:vertAnchor="text" w:horzAnchor="page" w:tblpX="91" w:tblpY="1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2"/>
              <w:gridCol w:w="407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tcPr>
                <w:p>
                  <w:r>
                    <w:rPr>
                      <w:rFonts w:hint="eastAsia"/>
                    </w:rPr>
                    <w:t>主要的风险描述</w:t>
                  </w:r>
                </w:p>
              </w:tc>
              <w:tc>
                <w:tcPr>
                  <w:tcW w:w="4073" w:type="dxa"/>
                </w:tcPr>
                <w:p>
                  <w:pPr>
                    <w:rPr>
                      <w:szCs w:val="24"/>
                    </w:rPr>
                  </w:pPr>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tcPr>
                <w:p>
                  <w:pPr>
                    <w:rPr>
                      <w:szCs w:val="24"/>
                    </w:rPr>
                  </w:pPr>
                  <w:r>
                    <w:rPr>
                      <w:rFonts w:hint="eastAsia"/>
                      <w:szCs w:val="24"/>
                    </w:rPr>
                    <w:t>来料与成品检验</w:t>
                  </w:r>
                </w:p>
              </w:tc>
              <w:tc>
                <w:tcPr>
                  <w:tcW w:w="4073" w:type="dxa"/>
                </w:tcPr>
                <w:p>
                  <w:pPr>
                    <w:pStyle w:val="13"/>
                    <w:rPr>
                      <w:rFonts w:hint="eastAsia"/>
                    </w:rPr>
                  </w:pPr>
                  <w:r>
                    <w:rPr>
                      <w:rFonts w:hint="eastAsia"/>
                    </w:rPr>
                    <w:t>1.制订抽样计划。</w:t>
                  </w:r>
                </w:p>
                <w:p>
                  <w:pPr>
                    <w:pStyle w:val="13"/>
                    <w:rPr>
                      <w:rFonts w:hint="eastAsia"/>
                    </w:rPr>
                  </w:pPr>
                  <w:r>
                    <w:rPr>
                      <w:rFonts w:hint="eastAsia"/>
                    </w:rPr>
                    <w:t>2.设置待检区域。</w:t>
                  </w:r>
                </w:p>
                <w:p>
                  <w:pPr>
                    <w:pStyle w:val="13"/>
                    <w:rPr>
                      <w:rFonts w:hint="eastAsia"/>
                    </w:rPr>
                  </w:pPr>
                  <w:r>
                    <w:rPr>
                      <w:rFonts w:hint="eastAsia"/>
                    </w:rPr>
                    <w:t>3.建立检验合格与不合格标识。</w:t>
                  </w:r>
                </w:p>
                <w:p>
                  <w:pPr>
                    <w:pStyle w:val="13"/>
                  </w:pPr>
                  <w:r>
                    <w:rPr>
                      <w:rFonts w:hint="eastAsia"/>
                    </w:rPr>
                    <w:t>4.对不符合报告设立关闭期限。</w:t>
                  </w:r>
                </w:p>
              </w:tc>
              <w:tc>
                <w:tcPr>
                  <w:tcW w:w="1717"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tcPr>
                <w:p>
                  <w:pPr>
                    <w:rPr>
                      <w:szCs w:val="24"/>
                    </w:rPr>
                  </w:pPr>
                  <w:r>
                    <w:rPr>
                      <w:rFonts w:hint="eastAsia"/>
                      <w:szCs w:val="24"/>
                    </w:rPr>
                    <w:t>内部审核及监管</w:t>
                  </w:r>
                </w:p>
              </w:tc>
              <w:tc>
                <w:tcPr>
                  <w:tcW w:w="4073" w:type="dxa"/>
                </w:tcPr>
                <w:p>
                  <w:pPr>
                    <w:pStyle w:val="13"/>
                    <w:rPr>
                      <w:bCs w:val="0"/>
                      <w:spacing w:val="0"/>
                      <w:szCs w:val="24"/>
                    </w:rPr>
                  </w:pPr>
                  <w:r>
                    <w:rPr>
                      <w:rFonts w:hint="eastAsia"/>
                      <w:bCs w:val="0"/>
                      <w:spacing w:val="0"/>
                      <w:szCs w:val="24"/>
                    </w:rPr>
                    <w:t>1.对内审员实施培训，经考核合格后获取内审证书。安排内审员时必须是获得内审员资格证书的人员。</w:t>
                  </w:r>
                </w:p>
                <w:p>
                  <w:pPr>
                    <w:pStyle w:val="13"/>
                    <w:rPr>
                      <w:rFonts w:hint="eastAsia"/>
                      <w:bCs w:val="0"/>
                      <w:spacing w:val="0"/>
                      <w:szCs w:val="24"/>
                    </w:rPr>
                  </w:pPr>
                  <w:r>
                    <w:rPr>
                      <w:rFonts w:hint="eastAsia"/>
                      <w:bCs w:val="0"/>
                      <w:spacing w:val="0"/>
                      <w:szCs w:val="24"/>
                    </w:rPr>
                    <w:t xml:space="preserve">2.对内审开出的不符合项目，责任部门必须落实改善对策，审核员持续跟进，直至不符合项目关闭。 </w:t>
                  </w:r>
                </w:p>
                <w:p>
                  <w:pPr>
                    <w:pStyle w:val="13"/>
                    <w:rPr>
                      <w:bCs w:val="0"/>
                      <w:spacing w:val="0"/>
                      <w:szCs w:val="24"/>
                    </w:rPr>
                  </w:pPr>
                  <w:r>
                    <w:rPr>
                      <w:rFonts w:hint="eastAsia"/>
                      <w:bCs w:val="0"/>
                      <w:spacing w:val="0"/>
                      <w:szCs w:val="24"/>
                    </w:rPr>
                    <w:t>3.安监人员上取证上岗</w:t>
                  </w:r>
                </w:p>
              </w:tc>
              <w:tc>
                <w:tcPr>
                  <w:tcW w:w="1717" w:type="dxa"/>
                </w:tcPr>
                <w:p>
                  <w:pPr>
                    <w:rPr>
                      <w:highlight w:val="yellow"/>
                    </w:rPr>
                  </w:pPr>
                  <w:r>
                    <w:rPr>
                      <w:rFonts w:hint="eastAsia"/>
                    </w:rPr>
                    <w:t>基本有效</w:t>
                  </w:r>
                </w:p>
              </w:tc>
            </w:tr>
          </w:tbl>
          <w:p/>
          <w:p>
            <w:pPr>
              <w:pStyle w:val="13"/>
            </w:pPr>
          </w:p>
          <w:p>
            <w:pPr>
              <w:pStyle w:val="13"/>
            </w:pPr>
          </w:p>
          <w:p>
            <w:pPr>
              <w:pStyle w:val="13"/>
            </w:pPr>
          </w:p>
          <w:p>
            <w:pPr>
              <w:pStyle w:val="13"/>
            </w:pPr>
          </w:p>
          <w:p>
            <w:pPr>
              <w:pStyle w:val="13"/>
            </w:pPr>
          </w:p>
          <w:p>
            <w:r>
              <w:rPr>
                <w:rFonts w:hint="eastAsia"/>
              </w:rPr>
              <w:t xml:space="preserve">应对机遇的措施类型包括： </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采用新实践 </w:t>
            </w:r>
            <w:r>
              <w:rPr>
                <w:rFonts w:hint="eastAsia"/>
              </w:rPr>
              <w:sym w:font="Wingdings" w:char="00A8"/>
            </w:r>
            <w:r>
              <w:rPr>
                <w:rFonts w:hint="eastAsia"/>
              </w:rPr>
              <w:t xml:space="preserve">推出新产品  </w:t>
            </w:r>
            <w:r>
              <w:rPr>
                <w:rFonts w:hint="eastAsia"/>
              </w:rPr>
              <w:sym w:font="Wingdings" w:char="00A8"/>
            </w:r>
            <w:r>
              <w:rPr>
                <w:rFonts w:hint="eastAsia"/>
              </w:rPr>
              <w:t xml:space="preserve">开辟新市场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赢得新顾客  </w:t>
            </w:r>
            <w:r>
              <w:rPr>
                <w:rFonts w:hint="eastAsia"/>
              </w:rPr>
              <w:sym w:font="Wingdings" w:char="00A8"/>
            </w:r>
            <w:r>
              <w:rPr>
                <w:rFonts w:hint="eastAsia"/>
              </w:rPr>
              <w:t xml:space="preserve">建立合作伙伴关系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利用新技术  </w:t>
            </w:r>
            <w:r>
              <w:rPr>
                <w:rFonts w:hint="eastAsia"/>
              </w:rPr>
              <w:sym w:font="Wingdings" w:char="00A8"/>
            </w:r>
            <w:r>
              <w:rPr>
                <w:rFonts w:hint="eastAsia"/>
              </w:rPr>
              <w:t>其他</w:t>
            </w:r>
          </w:p>
          <w:p>
            <w:r>
              <w:rPr>
                <w:rFonts w:hint="eastAsia"/>
              </w:rPr>
              <w:t>列举2~3项应对重要机遇的描述：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4"/>
              <w:gridCol w:w="4688"/>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434" w:type="dxa"/>
                </w:tcPr>
                <w:p>
                  <w:r>
                    <w:rPr>
                      <w:rFonts w:hint="eastAsia"/>
                    </w:rPr>
                    <w:t>主要的机遇描述</w:t>
                  </w:r>
                </w:p>
              </w:tc>
              <w:tc>
                <w:tcPr>
                  <w:tcW w:w="4688" w:type="dxa"/>
                </w:tcPr>
                <w:p>
                  <w:pPr>
                    <w:rPr>
                      <w:szCs w:val="24"/>
                    </w:rPr>
                  </w:pPr>
                  <w:r>
                    <w:rPr>
                      <w:rFonts w:hint="eastAsia"/>
                    </w:rPr>
                    <w:t>应对措施</w:t>
                  </w:r>
                </w:p>
              </w:tc>
              <w:tc>
                <w:tcPr>
                  <w:tcW w:w="179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2434" w:type="dxa"/>
                </w:tcPr>
                <w:p>
                  <w:r>
                    <w:rPr>
                      <w:rFonts w:hint="eastAsia"/>
                    </w:rPr>
                    <w:t>财务状况良好，资金充足等</w:t>
                  </w:r>
                </w:p>
              </w:tc>
              <w:tc>
                <w:tcPr>
                  <w:tcW w:w="4688" w:type="dxa"/>
                </w:tcPr>
                <w:p>
                  <w:pPr>
                    <w:pStyle w:val="2"/>
                    <w:ind w:left="0" w:firstLine="0" w:firstLineChars="0"/>
                  </w:pPr>
                  <w:r>
                    <w:rPr>
                      <w:rFonts w:hint="eastAsia"/>
                    </w:rPr>
                    <w:t>按财务制度严格管理，积极做好各项扩张的策划。</w:t>
                  </w:r>
                </w:p>
              </w:tc>
              <w:tc>
                <w:tcPr>
                  <w:tcW w:w="1797"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34" w:type="dxa"/>
                </w:tcPr>
                <w:p>
                  <w:r>
                    <w:rPr>
                      <w:rFonts w:hint="eastAsia"/>
                    </w:rPr>
                    <w:t>硬件条件较好</w:t>
                  </w:r>
                </w:p>
              </w:tc>
              <w:tc>
                <w:tcPr>
                  <w:tcW w:w="4688" w:type="dxa"/>
                </w:tcPr>
                <w:p>
                  <w:pPr>
                    <w:pStyle w:val="13"/>
                    <w:rPr>
                      <w:rFonts w:hint="eastAsia"/>
                      <w:bCs w:val="0"/>
                      <w:spacing w:val="0"/>
                    </w:rPr>
                  </w:pPr>
                  <w:r>
                    <w:rPr>
                      <w:rFonts w:hint="eastAsia"/>
                      <w:bCs w:val="0"/>
                      <w:spacing w:val="0"/>
                    </w:rPr>
                    <w:t>在招投标中积极争取更大优势。</w:t>
                  </w:r>
                </w:p>
              </w:tc>
              <w:tc>
                <w:tcPr>
                  <w:tcW w:w="1797"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434" w:type="dxa"/>
                </w:tcPr>
                <w:p/>
              </w:tc>
              <w:tc>
                <w:tcPr>
                  <w:tcW w:w="4688" w:type="dxa"/>
                </w:tcPr>
                <w:p/>
              </w:tc>
              <w:tc>
                <w:tcPr>
                  <w:tcW w:w="1797" w:type="dxa"/>
                </w:tcPr>
                <w:p/>
              </w:tc>
            </w:tr>
          </w:tbl>
          <w:p/>
          <w:p>
            <w:r>
              <w:rPr>
                <w:rFonts w:hint="eastAsia"/>
              </w:rPr>
              <w:t>FSMS：</w:t>
            </w:r>
          </w:p>
          <w:p>
            <w:pPr>
              <w:jc w:val="left"/>
            </w:pPr>
            <w:r>
              <w:rPr>
                <w:rFonts w:hint="eastAsia"/>
              </w:rPr>
              <w:t>组织食品安全管理体系范围内的潜在紧急情况，如</w:t>
            </w:r>
            <w:r>
              <w:rPr>
                <w:rFonts w:hint="eastAsia"/>
                <w:u w:val="single"/>
              </w:rPr>
              <w:t xml:space="preserve"> </w:t>
            </w:r>
            <w:r>
              <w:rPr>
                <w:rFonts w:hint="eastAsia"/>
                <w:u w:val="single"/>
              </w:rPr>
              <w:sym w:font="Wingdings" w:char="00FE"/>
            </w:r>
            <w:r>
              <w:rPr>
                <w:rFonts w:hint="eastAsia"/>
                <w:u w:val="single"/>
              </w:rPr>
              <w:t xml:space="preserve">法规未识别  </w:t>
            </w:r>
            <w:r>
              <w:rPr>
                <w:rFonts w:hint="eastAsia"/>
                <w:u w:val="single"/>
              </w:rPr>
              <w:sym w:font="Wingdings" w:char="00FE"/>
            </w:r>
            <w:r>
              <w:rPr>
                <w:rFonts w:hint="eastAsia"/>
                <w:u w:val="single"/>
              </w:rPr>
              <w:t xml:space="preserve">违规操作  </w:t>
            </w:r>
            <w:r>
              <w:rPr>
                <w:rFonts w:hint="eastAsia"/>
                <w:u w:val="single"/>
              </w:rPr>
              <w:sym w:font="Wingdings" w:char="00A8"/>
            </w:r>
            <w:r>
              <w:rPr>
                <w:rFonts w:hint="eastAsia"/>
                <w:u w:val="single"/>
              </w:rPr>
              <w:t xml:space="preserve">其他                      </w:t>
            </w:r>
          </w:p>
          <w:p/>
          <w:p>
            <w:pPr>
              <w:rPr>
                <w:u w:val="single"/>
              </w:rPr>
            </w:pPr>
            <w:r>
              <w:rPr>
                <w:rFonts w:hint="eastAsia"/>
              </w:rPr>
              <w:t>可能具有食品安全危害的潜在紧急情况，如</w:t>
            </w:r>
            <w:r>
              <w:rPr>
                <w:rFonts w:hint="eastAsia"/>
                <w:u w:val="single"/>
              </w:rPr>
              <w:t xml:space="preserve">  </w:t>
            </w:r>
            <w:r>
              <w:rPr>
                <w:rFonts w:hint="eastAsia"/>
                <w:u w:val="single"/>
              </w:rPr>
              <w:sym w:font="Wingdings" w:char="00FE"/>
            </w:r>
            <w:r>
              <w:rPr>
                <w:rFonts w:hint="eastAsia"/>
                <w:u w:val="single"/>
              </w:rPr>
              <w:t xml:space="preserve">食物中毒 </w:t>
            </w:r>
            <w:r>
              <w:rPr>
                <w:rFonts w:hint="eastAsia"/>
                <w:u w:val="single"/>
              </w:rPr>
              <w:sym w:font="Wingdings" w:char="00FE"/>
            </w:r>
            <w:r>
              <w:rPr>
                <w:rFonts w:hint="eastAsia"/>
                <w:u w:val="single"/>
              </w:rPr>
              <w:t xml:space="preserve">停水  </w:t>
            </w:r>
            <w:r>
              <w:rPr>
                <w:rFonts w:hint="eastAsia"/>
                <w:u w:val="single"/>
              </w:rPr>
              <w:sym w:font="Wingdings" w:char="00FE"/>
            </w:r>
            <w:r>
              <w:rPr>
                <w:rFonts w:hint="eastAsia"/>
                <w:u w:val="single"/>
              </w:rPr>
              <w:t xml:space="preserve">停电  </w:t>
            </w:r>
            <w:r>
              <w:rPr>
                <w:rFonts w:hint="eastAsia"/>
                <w:u w:val="single"/>
              </w:rPr>
              <w:sym w:font="Wingdings" w:char="00A8"/>
            </w:r>
            <w:r>
              <w:rPr>
                <w:rFonts w:hint="eastAsia"/>
                <w:u w:val="single"/>
              </w:rPr>
              <w:t xml:space="preserve"> 停蒸汽   </w:t>
            </w:r>
          </w:p>
          <w:p>
            <w:r>
              <w:rPr>
                <w:rFonts w:hint="eastAsia"/>
                <w:u w:val="single"/>
              </w:rPr>
              <w:t xml:space="preserve">    </w:t>
            </w:r>
            <w:r>
              <w:rPr>
                <w:rFonts w:hint="eastAsia"/>
                <w:u w:val="single"/>
              </w:rPr>
              <w:sym w:font="Wingdings" w:char="00FE"/>
            </w:r>
            <w:r>
              <w:rPr>
                <w:rFonts w:hint="eastAsia"/>
                <w:u w:val="single"/>
              </w:rPr>
              <w:t xml:space="preserve">制冷设备故障  </w:t>
            </w:r>
            <w:r>
              <w:rPr>
                <w:rFonts w:hint="eastAsia"/>
                <w:u w:val="single"/>
              </w:rPr>
              <w:sym w:font="Wingdings" w:char="00FE"/>
            </w:r>
            <w:r>
              <w:rPr>
                <w:rFonts w:hint="eastAsia"/>
                <w:u w:val="single"/>
              </w:rPr>
              <w:t xml:space="preserve">车辆故障   </w:t>
            </w:r>
            <w:r>
              <w:rPr>
                <w:rFonts w:hint="eastAsia"/>
                <w:u w:val="single"/>
              </w:rPr>
              <w:sym w:font="Wingdings" w:char="00FE"/>
            </w:r>
            <w:r>
              <w:rPr>
                <w:rFonts w:hint="eastAsia"/>
                <w:u w:val="single"/>
              </w:rPr>
              <w:t xml:space="preserve">其他—食品供应链的突变、疫情影响           </w:t>
            </w:r>
          </w:p>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确保FSMS 能够达到其预期结果;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提高理想效果;</w:t>
            </w:r>
          </w:p>
          <w:p>
            <w:pPr>
              <w:jc w:val="left"/>
              <w:rPr>
                <w:rFonts w:ascii="CIDFont+F5" w:hAnsi="CIDFont+F5" w:eastAsia="CIDFont+F5"/>
              </w:rPr>
            </w:pPr>
            <w:r>
              <w:rPr>
                <w:rFonts w:hint="eastAsia"/>
              </w:rPr>
              <w:sym w:font="Wingdings" w:char="00FE"/>
            </w:r>
            <w:r>
              <w:rPr>
                <w:rFonts w:hint="eastAsia"/>
              </w:rPr>
              <w:t xml:space="preserve"> </w:t>
            </w:r>
            <w:r>
              <w:rPr>
                <w:rFonts w:hint="eastAsia" w:ascii="CIDFont+F5" w:hAnsi="CIDFont+F5" w:eastAsia="CIDFont+F5"/>
              </w:rPr>
              <w:t xml:space="preserve"> 防止或减少不良后果;</w:t>
            </w:r>
          </w:p>
          <w:p>
            <w:r>
              <w:rPr>
                <w:rFonts w:hint="eastAsia"/>
              </w:rPr>
              <w:sym w:font="Wingdings" w:char="00FE"/>
            </w:r>
            <w:r>
              <w:rPr>
                <w:rFonts w:hint="eastAsia"/>
              </w:rPr>
              <w:t xml:space="preserve"> </w:t>
            </w:r>
            <w:r>
              <w:rPr>
                <w:rFonts w:hint="eastAsia" w:ascii="CIDFont+F5" w:hAnsi="CIDFont+F5" w:eastAsia="CIDFont+F5"/>
              </w:rPr>
              <w:t xml:space="preserve"> 实现持续改进。</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533" w:type="dxa"/>
            <w:vMerge w:val="restart"/>
            <w:shd w:val="clear" w:color="auto" w:fill="auto"/>
          </w:tcPr>
          <w:p/>
        </w:tc>
        <w:tc>
          <w:tcPr>
            <w:tcW w:w="1040" w:type="dxa"/>
            <w:shd w:val="clear" w:color="auto" w:fill="auto"/>
          </w:tcPr>
          <w:p>
            <w:r>
              <w:rPr>
                <w:rFonts w:hint="eastAsia"/>
                <w:color w:val="000000"/>
                <w:szCs w:val="21"/>
              </w:rPr>
              <w:t>F6.1.2</w:t>
            </w:r>
          </w:p>
        </w:tc>
        <w:tc>
          <w:tcPr>
            <w:tcW w:w="893" w:type="dxa"/>
            <w:shd w:val="clear" w:color="auto" w:fill="auto"/>
          </w:tcPr>
          <w:p>
            <w:r>
              <w:rPr>
                <w:rFonts w:hint="eastAsia"/>
              </w:rPr>
              <w:t>运行证据</w:t>
            </w:r>
          </w:p>
        </w:tc>
        <w:tc>
          <w:tcPr>
            <w:tcW w:w="9373" w:type="dxa"/>
            <w:shd w:val="clear" w:color="auto" w:fill="auto"/>
          </w:tcPr>
          <w:p>
            <w:pPr>
              <w:rPr>
                <w:rFonts w:ascii="CIDFont+F5" w:hAnsi="CIDFont+F5" w:eastAsia="CIDFont+F5"/>
              </w:rPr>
            </w:pPr>
            <w:r>
              <w:rPr>
                <w:rFonts w:hint="eastAsia" w:ascii="CIDFont+F5" w:hAnsi="CIDFont+F5" w:eastAsia="CIDFont+F5"/>
              </w:rPr>
              <w:t>该组织策划了：</w:t>
            </w:r>
          </w:p>
          <w:p>
            <w:pPr>
              <w:jc w:val="left"/>
              <w:rPr>
                <w:rFonts w:ascii="CIDFont+F5" w:hAnsi="CIDFont+F5" w:eastAsia="CIDFont+F5"/>
              </w:rPr>
            </w:pPr>
            <w:r>
              <w:rPr>
                <w:rFonts w:hint="eastAsia" w:ascii="CIDFont+F5" w:hAnsi="CIDFont+F5" w:eastAsia="CIDFont+F5"/>
              </w:rPr>
              <w:t>a) 解决这些风险和机遇的行动;——《风险和机遇及其应对措施表》；</w:t>
            </w:r>
          </w:p>
          <w:p>
            <w:pPr>
              <w:jc w:val="left"/>
              <w:rPr>
                <w:rFonts w:ascii="CIDFont+F5" w:hAnsi="CIDFont+F5" w:eastAsia="CIDFont+F5"/>
              </w:rPr>
            </w:pPr>
            <w:r>
              <w:rPr>
                <w:rFonts w:hint="eastAsia" w:ascii="CIDFont+F5" w:hAnsi="CIDFont+F5" w:eastAsia="CIDFont+F5"/>
              </w:rPr>
              <w:t>b) 并进行了:</w:t>
            </w:r>
          </w:p>
          <w:p>
            <w:pPr>
              <w:ind w:firstLine="210" w:firstLineChars="100"/>
              <w:jc w:val="left"/>
              <w:rPr>
                <w:rFonts w:ascii="CIDFont+F5" w:hAnsi="CIDFont+F5" w:eastAsia="CIDFont+F5"/>
              </w:rPr>
            </w:pPr>
            <w:r>
              <w:rPr>
                <w:rFonts w:hint="eastAsia" w:ascii="CIDFont+F5" w:hAnsi="CIDFont+F5" w:eastAsia="CIDFont+F5"/>
              </w:rPr>
              <w:t>1) 将行动整合并实施到其FSMS流程中;</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ind w:firstLine="210" w:firstLineChars="100"/>
              <w:jc w:val="left"/>
              <w:rPr>
                <w:rFonts w:ascii="CIDFont+F5" w:hAnsi="CIDFont+F5" w:eastAsia="CIDFont+F5"/>
              </w:rPr>
            </w:pPr>
            <w:r>
              <w:rPr>
                <w:rFonts w:hint="eastAsia" w:ascii="CIDFont+F5" w:hAnsi="CIDFont+F5" w:eastAsia="CIDFont+F5"/>
              </w:rPr>
              <w:t>2) 评估这些行动的有效性。</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5"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533" w:type="dxa"/>
            <w:vMerge w:val="continue"/>
            <w:shd w:val="clear" w:color="auto" w:fill="auto"/>
          </w:tcPr>
          <w:p/>
        </w:tc>
        <w:tc>
          <w:tcPr>
            <w:tcW w:w="1040" w:type="dxa"/>
            <w:shd w:val="clear" w:color="auto" w:fill="auto"/>
          </w:tcPr>
          <w:p>
            <w:r>
              <w:rPr>
                <w:rFonts w:hint="eastAsia"/>
                <w:color w:val="000000"/>
                <w:szCs w:val="21"/>
              </w:rPr>
              <w:t>F6.1.3</w:t>
            </w:r>
          </w:p>
        </w:tc>
        <w:tc>
          <w:tcPr>
            <w:tcW w:w="893" w:type="dxa"/>
            <w:shd w:val="clear" w:color="auto" w:fill="auto"/>
          </w:tcPr>
          <w:p>
            <w:r>
              <w:rPr>
                <w:rFonts w:hint="eastAsia"/>
              </w:rPr>
              <w:t>运行证据</w:t>
            </w:r>
          </w:p>
        </w:tc>
        <w:tc>
          <w:tcPr>
            <w:tcW w:w="9373" w:type="dxa"/>
            <w:shd w:val="clear" w:color="auto" w:fill="auto"/>
          </w:tcPr>
          <w:p>
            <w:pPr>
              <w:jc w:val="left"/>
              <w:rPr>
                <w:rFonts w:ascii="CIDFont+F5" w:hAnsi="CIDFont+F5" w:eastAsia="CIDFont+F5"/>
              </w:rPr>
            </w:pPr>
            <w:r>
              <w:rPr>
                <w:rFonts w:hint="eastAsia" w:ascii="CIDFont+F5" w:hAnsi="CIDFont+F5" w:eastAsia="CIDFont+F5"/>
              </w:rPr>
              <w:t>该组织为应对风险和机遇而采取的行动与以下方面相称：</w:t>
            </w:r>
          </w:p>
          <w:p>
            <w:pPr>
              <w:jc w:val="left"/>
              <w:rPr>
                <w:rFonts w:ascii="CIDFont+F5" w:hAnsi="CIDFont+F5" w:eastAsia="CIDFont+F5"/>
              </w:rPr>
            </w:pPr>
            <w:r>
              <w:rPr>
                <w:rFonts w:hint="eastAsia" w:ascii="CIDFont+F5" w:hAnsi="CIDFont+F5" w:eastAsia="CIDFont+F5"/>
              </w:rPr>
              <w:t xml:space="preserve">a) 对食品安全要求的影响;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rPr>
                <w:rFonts w:ascii="CIDFont+F5" w:hAnsi="CIDFont+F5" w:eastAsia="CIDFont+F5"/>
              </w:rPr>
            </w:pPr>
            <w:r>
              <w:rPr>
                <w:rFonts w:hint="eastAsia" w:ascii="CIDFont+F5" w:hAnsi="CIDFont+F5" w:eastAsia="CIDFont+F5"/>
              </w:rPr>
              <w:t>b) 为顾客提供一致的食品产品与服务;</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p>
            <w:pPr>
              <w:jc w:val="left"/>
            </w:pPr>
            <w:r>
              <w:rPr>
                <w:rFonts w:hint="eastAsia" w:ascii="CIDFont+F5" w:hAnsi="CIDFont+F5" w:eastAsia="CIDFont+F5"/>
              </w:rPr>
              <w:t xml:space="preserve">c) 食品链中相关方的要求。         </w:t>
            </w:r>
            <w:r>
              <w:rPr>
                <w:rFonts w:hint="eastAsia"/>
              </w:rPr>
              <w:sym w:font="Wingdings" w:char="00FE"/>
            </w:r>
            <w:r>
              <w:rPr>
                <w:rFonts w:hint="eastAsia" w:ascii="CIDFont+F5" w:hAnsi="CIDFont+F5" w:eastAsia="CIDFont+F5"/>
              </w:rPr>
              <w:t xml:space="preserve">是  </w:t>
            </w:r>
            <w:r>
              <w:rPr>
                <w:rFonts w:hint="eastAsia"/>
              </w:rPr>
              <w:sym w:font="Wingdings" w:char="00A8"/>
            </w:r>
            <w:r>
              <w:rPr>
                <w:rFonts w:hint="eastAsia" w:ascii="CIDFont+F5" w:hAnsi="CIDFont+F5" w:eastAsia="CIDFont+F5"/>
              </w:rPr>
              <w:t>否，说明</w:t>
            </w:r>
            <w:r>
              <w:rPr>
                <w:rFonts w:hint="eastAsia" w:ascii="CIDFont+F5" w:hAnsi="CIDFont+F5" w:eastAsia="CIDFont+F5"/>
                <w:u w:val="single"/>
              </w:rPr>
              <w:t xml:space="preserve">                    </w:t>
            </w:r>
            <w:r>
              <w:rPr>
                <w:rFonts w:hint="eastAsia" w:ascii="CIDFont+F5" w:hAnsi="CIDFont+F5" w:eastAsia="CIDFont+F5"/>
              </w:rPr>
              <w:t xml:space="preserve">  </w:t>
            </w:r>
          </w:p>
        </w:tc>
        <w:tc>
          <w:tcPr>
            <w:tcW w:w="1585"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33" w:type="dxa"/>
            <w:vMerge w:val="restart"/>
            <w:shd w:val="clear" w:color="auto" w:fill="auto"/>
          </w:tcPr>
          <w:p>
            <w:pPr>
              <w:rPr>
                <w:color w:val="000000"/>
                <w:szCs w:val="21"/>
              </w:rPr>
            </w:pPr>
            <w:r>
              <w:rPr>
                <w:rFonts w:hint="eastAsia"/>
                <w:color w:val="000000"/>
                <w:szCs w:val="21"/>
              </w:rPr>
              <w:t>食品安全目标及其实现的策划</w:t>
            </w:r>
          </w:p>
          <w:p/>
        </w:tc>
        <w:tc>
          <w:tcPr>
            <w:tcW w:w="1040" w:type="dxa"/>
            <w:vMerge w:val="restart"/>
            <w:shd w:val="clear" w:color="auto" w:fill="auto"/>
          </w:tcPr>
          <w:p>
            <w:r>
              <w:rPr>
                <w:rFonts w:hint="eastAsia"/>
              </w:rPr>
              <w:t>F6.2</w:t>
            </w:r>
          </w:p>
          <w:p>
            <w:r>
              <w:rPr>
                <w:rFonts w:hint="eastAsia"/>
              </w:rPr>
              <w:t>H(V1.0)</w:t>
            </w:r>
          </w:p>
          <w:p>
            <w:r>
              <w:rPr>
                <w:rFonts w:hint="eastAsia"/>
              </w:rPr>
              <w:t>2.4.2</w:t>
            </w:r>
          </w:p>
          <w:p>
            <w:pPr>
              <w:pStyle w:val="13"/>
            </w:pPr>
          </w:p>
        </w:tc>
        <w:tc>
          <w:tcPr>
            <w:tcW w:w="893" w:type="dxa"/>
            <w:shd w:val="clear" w:color="auto" w:fill="auto"/>
          </w:tcPr>
          <w:p>
            <w:r>
              <w:rPr>
                <w:rFonts w:hint="eastAsia"/>
              </w:rPr>
              <w:t>文件名称</w:t>
            </w:r>
          </w:p>
        </w:tc>
        <w:tc>
          <w:tcPr>
            <w:tcW w:w="9373" w:type="dxa"/>
            <w:shd w:val="clear" w:color="auto" w:fill="auto"/>
          </w:tcPr>
          <w:p>
            <w:r>
              <w:rPr>
                <w:rFonts w:hint="eastAsia"/>
              </w:rPr>
              <w:t>如：</w:t>
            </w:r>
            <w:r>
              <w:rPr/>
              <w:sym w:font="Wingdings" w:char="00FE"/>
            </w:r>
            <w:r>
              <w:rPr>
                <w:rFonts w:hint="eastAsia"/>
              </w:rPr>
              <w:t>手册第6.2章、</w:t>
            </w:r>
            <w:r>
              <w:rPr/>
              <w:sym w:font="Wingdings" w:char="00FE"/>
            </w:r>
            <w:r>
              <w:rPr>
                <w:rFonts w:hint="eastAsia"/>
              </w:rPr>
              <w:t>《目标考核</w:t>
            </w:r>
            <w:r>
              <w:rPr>
                <w:rFonts w:hint="eastAsia"/>
                <w:lang w:val="en-US" w:eastAsia="zh-CN"/>
              </w:rPr>
              <w:t>统计表</w:t>
            </w:r>
            <w:r>
              <w:rPr>
                <w:rFonts w:hint="eastAsia"/>
              </w:rPr>
              <w:t>》</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p>
            <w:r>
              <w:rPr>
                <w:rFonts w:hint="eastAsia"/>
              </w:rPr>
              <w:t>组织建立了与方针一致的文件化的管理目标。为实现总的</w:t>
            </w:r>
            <w:r>
              <w:rPr>
                <w:rFonts w:hint="eastAsia" w:ascii="宋体" w:hAnsi="宋体"/>
                <w:szCs w:val="21"/>
              </w:rPr>
              <w:t>食品安全</w:t>
            </w:r>
            <w:r>
              <w:rPr>
                <w:rFonts w:hint="eastAsia"/>
              </w:rPr>
              <w:t>目标而建立的各层级</w:t>
            </w:r>
            <w:r>
              <w:rPr>
                <w:rFonts w:hint="eastAsia" w:ascii="宋体" w:hAnsi="宋体"/>
                <w:szCs w:val="21"/>
              </w:rPr>
              <w:t>食品安全</w:t>
            </w:r>
            <w:r>
              <w:rPr>
                <w:rFonts w:hint="eastAsia"/>
              </w:rPr>
              <w:t>目标具体、有针对性、可测量并且可实现。</w:t>
            </w:r>
          </w:p>
          <w:p>
            <w:r>
              <w:rPr>
                <w:rFonts w:hint="eastAsia"/>
              </w:rPr>
              <w:t>总</w:t>
            </w:r>
            <w:r>
              <w:rPr>
                <w:rFonts w:hint="eastAsia" w:ascii="宋体" w:hAnsi="宋体"/>
                <w:szCs w:val="21"/>
              </w:rPr>
              <w:t>食品安全</w:t>
            </w:r>
            <w:r>
              <w:rPr>
                <w:rFonts w:hint="eastAsia"/>
              </w:rPr>
              <w:t>目标实现情况的评价，及其测量方法是：</w:t>
            </w:r>
          </w:p>
          <w:tbl>
            <w:tblPr>
              <w:tblStyle w:val="9"/>
              <w:tblW w:w="8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1080"/>
              <w:gridCol w:w="2253"/>
              <w:gridCol w:w="1117"/>
              <w:gridCol w:w="2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trPr>
              <w:tc>
                <w:tcPr>
                  <w:tcW w:w="1911" w:type="dxa"/>
                  <w:shd w:val="clear" w:color="auto" w:fill="auto"/>
                </w:tcPr>
                <w:p>
                  <w:pPr>
                    <w:rPr>
                      <w:szCs w:val="22"/>
                      <w:highlight w:val="none"/>
                    </w:rPr>
                  </w:pPr>
                  <w:r>
                    <w:rPr>
                      <w:rFonts w:hint="eastAsia"/>
                      <w:szCs w:val="22"/>
                      <w:highlight w:val="none"/>
                    </w:rPr>
                    <w:t>食品安全目标</w:t>
                  </w:r>
                </w:p>
              </w:tc>
              <w:tc>
                <w:tcPr>
                  <w:tcW w:w="1080" w:type="dxa"/>
                  <w:shd w:val="clear" w:color="auto" w:fill="auto"/>
                </w:tcPr>
                <w:p>
                  <w:pPr>
                    <w:rPr>
                      <w:szCs w:val="22"/>
                      <w:highlight w:val="none"/>
                    </w:rPr>
                  </w:pPr>
                  <w:r>
                    <w:rPr>
                      <w:rFonts w:hint="eastAsia"/>
                      <w:szCs w:val="22"/>
                      <w:highlight w:val="none"/>
                    </w:rPr>
                    <w:t>考核频率</w:t>
                  </w:r>
                </w:p>
              </w:tc>
              <w:tc>
                <w:tcPr>
                  <w:tcW w:w="2253" w:type="dxa"/>
                  <w:shd w:val="clear" w:color="auto" w:fill="auto"/>
                </w:tcPr>
                <w:p>
                  <w:pPr>
                    <w:rPr>
                      <w:szCs w:val="22"/>
                      <w:highlight w:val="none"/>
                    </w:rPr>
                  </w:pPr>
                  <w:r>
                    <w:rPr>
                      <w:rFonts w:hint="eastAsia"/>
                      <w:szCs w:val="22"/>
                      <w:highlight w:val="none"/>
                    </w:rPr>
                    <w:t>计算方法</w:t>
                  </w:r>
                </w:p>
              </w:tc>
              <w:tc>
                <w:tcPr>
                  <w:tcW w:w="1117" w:type="dxa"/>
                  <w:shd w:val="clear" w:color="auto" w:fill="auto"/>
                </w:tcPr>
                <w:p>
                  <w:pPr>
                    <w:rPr>
                      <w:szCs w:val="22"/>
                      <w:highlight w:val="none"/>
                    </w:rPr>
                  </w:pPr>
                  <w:r>
                    <w:rPr>
                      <w:rFonts w:hint="eastAsia"/>
                      <w:szCs w:val="22"/>
                      <w:highlight w:val="none"/>
                    </w:rPr>
                    <w:t>责任部门</w:t>
                  </w:r>
                </w:p>
              </w:tc>
              <w:tc>
                <w:tcPr>
                  <w:tcW w:w="2621" w:type="dxa"/>
                  <w:shd w:val="clear" w:color="auto" w:fill="auto"/>
                </w:tcPr>
                <w:p>
                  <w:pPr>
                    <w:widowControl/>
                    <w:spacing w:before="40"/>
                    <w:jc w:val="left"/>
                    <w:rPr>
                      <w:color w:val="000000"/>
                      <w:szCs w:val="18"/>
                      <w:highlight w:val="none"/>
                    </w:rPr>
                  </w:pPr>
                  <w:r>
                    <w:rPr>
                      <w:rFonts w:hint="eastAsia"/>
                      <w:color w:val="000000"/>
                      <w:szCs w:val="18"/>
                      <w:highlight w:val="none"/>
                    </w:rPr>
                    <w:t>完成情况</w:t>
                  </w:r>
                </w:p>
                <w:p>
                  <w:pPr>
                    <w:rPr>
                      <w:szCs w:val="22"/>
                      <w:highlight w:val="none"/>
                    </w:rPr>
                  </w:pPr>
                  <w:r>
                    <w:rPr>
                      <w:rFonts w:hint="eastAsia"/>
                      <w:color w:val="000000"/>
                      <w:szCs w:val="18"/>
                      <w:highlight w:val="none"/>
                    </w:rPr>
                    <w:t>（审核周期</w:t>
                  </w:r>
                  <w:r>
                    <w:rPr>
                      <w:color w:val="000000"/>
                      <w:szCs w:val="18"/>
                      <w:highlight w:val="none"/>
                    </w:rPr>
                    <w:t>2021</w:t>
                  </w:r>
                  <w:r>
                    <w:rPr>
                      <w:rFonts w:hint="eastAsia"/>
                      <w:color w:val="000000"/>
                      <w:szCs w:val="18"/>
                      <w:highlight w:val="none"/>
                      <w:lang w:val="en-US" w:eastAsia="zh-CN"/>
                    </w:rPr>
                    <w:t>年度-2022年05月</w:t>
                  </w:r>
                  <w:r>
                    <w:rPr>
                      <w:rFonts w:hint="eastAsia"/>
                      <w:color w:val="000000"/>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911" w:type="dxa"/>
                  <w:vAlign w:val="top"/>
                </w:tcPr>
                <w:p>
                  <w:pPr>
                    <w:pStyle w:val="20"/>
                    <w:spacing w:before="75"/>
                    <w:ind w:left="108" w:leftChars="0"/>
                    <w:rPr>
                      <w:rFonts w:ascii="宋体" w:hAnsi="宋体" w:eastAsia="宋体" w:cs="宋体"/>
                      <w:kern w:val="2"/>
                      <w:sz w:val="24"/>
                      <w:lang w:val="zh-CN" w:eastAsia="zh-CN" w:bidi="zh-CN"/>
                    </w:rPr>
                  </w:pPr>
                  <w:r>
                    <w:rPr>
                      <w:sz w:val="24"/>
                    </w:rPr>
                    <w:t>超标配送为 0</w:t>
                  </w:r>
                </w:p>
              </w:tc>
              <w:tc>
                <w:tcPr>
                  <w:tcW w:w="1080" w:type="dxa"/>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r>
                    <w:rPr>
                      <w:sz w:val="24"/>
                    </w:rPr>
                    <w:t>每年</w:t>
                  </w:r>
                </w:p>
              </w:tc>
              <w:tc>
                <w:tcPr>
                  <w:tcW w:w="2253"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按照实际发生次数</w:t>
                  </w:r>
                </w:p>
              </w:tc>
              <w:tc>
                <w:tcPr>
                  <w:tcW w:w="1117"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eastAsia="宋体" w:cs="Times New Roman"/>
                      <w:color w:val="000000"/>
                      <w:kern w:val="2"/>
                      <w:sz w:val="21"/>
                      <w:szCs w:val="18"/>
                      <w:highlight w:val="none"/>
                      <w:lang w:val="en-US" w:eastAsia="zh-CN" w:bidi="ar-SA"/>
                    </w:rPr>
                    <w:t>配送部</w:t>
                  </w:r>
                </w:p>
              </w:tc>
              <w:tc>
                <w:tcPr>
                  <w:tcW w:w="2621"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2021年度已完成；2022年1月至今在实施中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911" w:type="dxa"/>
                  <w:vAlign w:val="top"/>
                </w:tcPr>
                <w:p>
                  <w:pPr>
                    <w:pStyle w:val="20"/>
                    <w:spacing w:before="49"/>
                    <w:ind w:left="108" w:leftChars="0"/>
                    <w:rPr>
                      <w:rFonts w:hint="eastAsia" w:ascii="宋体" w:hAnsi="宋体" w:eastAsia="宋体" w:cs="宋体"/>
                      <w:kern w:val="2"/>
                      <w:sz w:val="24"/>
                      <w:lang w:val="zh-CN" w:eastAsia="zh-CN" w:bidi="zh-CN"/>
                    </w:rPr>
                  </w:pPr>
                  <w:r>
                    <w:rPr>
                      <w:sz w:val="24"/>
                    </w:rPr>
                    <w:t>安全事故为 0</w:t>
                  </w:r>
                </w:p>
              </w:tc>
              <w:tc>
                <w:tcPr>
                  <w:tcW w:w="1080" w:type="dxa"/>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r>
                    <w:rPr>
                      <w:sz w:val="24"/>
                    </w:rPr>
                    <w:t>每年</w:t>
                  </w:r>
                </w:p>
              </w:tc>
              <w:tc>
                <w:tcPr>
                  <w:tcW w:w="2253" w:type="dxa"/>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按照实际发生次数</w:t>
                  </w:r>
                </w:p>
              </w:tc>
              <w:tc>
                <w:tcPr>
                  <w:tcW w:w="1117"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各部门</w:t>
                  </w:r>
                </w:p>
              </w:tc>
              <w:tc>
                <w:tcPr>
                  <w:tcW w:w="2621" w:type="dxa"/>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2021年度已完成；2022年1月至今在实施中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911" w:type="dxa"/>
                  <w:vAlign w:val="top"/>
                </w:tcPr>
                <w:p>
                  <w:pPr>
                    <w:pStyle w:val="20"/>
                    <w:spacing w:before="23"/>
                    <w:ind w:left="108" w:leftChars="0"/>
                    <w:rPr>
                      <w:rFonts w:ascii="宋体" w:hAnsi="宋体" w:eastAsia="宋体" w:cs="宋体"/>
                      <w:kern w:val="2"/>
                      <w:sz w:val="24"/>
                      <w:lang w:val="zh-CN" w:eastAsia="zh-CN" w:bidi="zh-CN"/>
                    </w:rPr>
                  </w:pPr>
                  <w:r>
                    <w:rPr>
                      <w:sz w:val="24"/>
                    </w:rPr>
                    <w:t>违纪违规为 0</w:t>
                  </w:r>
                </w:p>
              </w:tc>
              <w:tc>
                <w:tcPr>
                  <w:tcW w:w="1080" w:type="dxa"/>
                  <w:vAlign w:val="top"/>
                </w:tcPr>
                <w:p>
                  <w:pPr>
                    <w:widowControl/>
                    <w:spacing w:before="40"/>
                    <w:jc w:val="left"/>
                    <w:rPr>
                      <w:rFonts w:ascii="Times New Roman" w:hAnsi="Times New Roman" w:eastAsia="宋体" w:cs="Times New Roman"/>
                      <w:color w:val="000000"/>
                      <w:kern w:val="2"/>
                      <w:sz w:val="21"/>
                      <w:szCs w:val="18"/>
                      <w:highlight w:val="cyan"/>
                      <w:lang w:val="en-US" w:eastAsia="zh-CN" w:bidi="ar-SA"/>
                    </w:rPr>
                  </w:pPr>
                  <w:r>
                    <w:rPr>
                      <w:sz w:val="24"/>
                    </w:rPr>
                    <w:t>每年</w:t>
                  </w:r>
                </w:p>
              </w:tc>
              <w:tc>
                <w:tcPr>
                  <w:tcW w:w="2253" w:type="dxa"/>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按照实际发生次数</w:t>
                  </w:r>
                </w:p>
              </w:tc>
              <w:tc>
                <w:tcPr>
                  <w:tcW w:w="1117" w:type="dxa"/>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各部门</w:t>
                  </w:r>
                </w:p>
              </w:tc>
              <w:tc>
                <w:tcPr>
                  <w:tcW w:w="2621" w:type="dxa"/>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2021年度已完成；2022年1月至今在实施中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911" w:type="dxa"/>
                  <w:vAlign w:val="center"/>
                </w:tcPr>
                <w:p>
                  <w:pPr>
                    <w:widowControl/>
                    <w:spacing w:before="40"/>
                    <w:jc w:val="left"/>
                    <w:rPr>
                      <w:color w:val="000000"/>
                      <w:szCs w:val="18"/>
                      <w:highlight w:val="yellow"/>
                    </w:rPr>
                  </w:pPr>
                </w:p>
              </w:tc>
              <w:tc>
                <w:tcPr>
                  <w:tcW w:w="1080" w:type="dxa"/>
                </w:tcPr>
                <w:p>
                  <w:pPr>
                    <w:widowControl/>
                    <w:spacing w:before="40"/>
                    <w:jc w:val="left"/>
                    <w:rPr>
                      <w:color w:val="000000"/>
                      <w:szCs w:val="18"/>
                      <w:highlight w:val="yellow"/>
                    </w:rPr>
                  </w:pPr>
                </w:p>
              </w:tc>
              <w:tc>
                <w:tcPr>
                  <w:tcW w:w="2253" w:type="dxa"/>
                </w:tcPr>
                <w:p>
                  <w:pPr>
                    <w:widowControl/>
                    <w:spacing w:before="40"/>
                    <w:jc w:val="left"/>
                    <w:rPr>
                      <w:color w:val="000000"/>
                      <w:szCs w:val="18"/>
                      <w:highlight w:val="yellow"/>
                    </w:rPr>
                  </w:pPr>
                </w:p>
              </w:tc>
              <w:tc>
                <w:tcPr>
                  <w:tcW w:w="1117" w:type="dxa"/>
                </w:tcPr>
                <w:p>
                  <w:pPr>
                    <w:widowControl/>
                    <w:spacing w:before="40"/>
                    <w:jc w:val="left"/>
                    <w:rPr>
                      <w:color w:val="000000"/>
                      <w:szCs w:val="18"/>
                      <w:highlight w:val="yellow"/>
                    </w:rPr>
                  </w:pPr>
                </w:p>
              </w:tc>
              <w:tc>
                <w:tcPr>
                  <w:tcW w:w="2621" w:type="dxa"/>
                </w:tcPr>
                <w:p>
                  <w:pPr>
                    <w:rPr>
                      <w:bCs/>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911" w:type="dxa"/>
                </w:tcPr>
                <w:p>
                  <w:pPr>
                    <w:widowControl/>
                    <w:spacing w:before="40"/>
                    <w:jc w:val="left"/>
                    <w:rPr>
                      <w:color w:val="000000"/>
                      <w:szCs w:val="18"/>
                      <w:highlight w:val="yellow"/>
                    </w:rPr>
                  </w:pPr>
                </w:p>
              </w:tc>
              <w:tc>
                <w:tcPr>
                  <w:tcW w:w="1080" w:type="dxa"/>
                </w:tcPr>
                <w:p>
                  <w:pPr>
                    <w:widowControl/>
                    <w:spacing w:before="40"/>
                    <w:jc w:val="left"/>
                    <w:rPr>
                      <w:color w:val="000000"/>
                      <w:szCs w:val="18"/>
                      <w:highlight w:val="yellow"/>
                    </w:rPr>
                  </w:pPr>
                </w:p>
              </w:tc>
              <w:tc>
                <w:tcPr>
                  <w:tcW w:w="2253" w:type="dxa"/>
                </w:tcPr>
                <w:p>
                  <w:pPr>
                    <w:widowControl/>
                    <w:spacing w:before="40"/>
                    <w:jc w:val="left"/>
                    <w:rPr>
                      <w:color w:val="000000"/>
                      <w:szCs w:val="18"/>
                      <w:highlight w:val="yellow"/>
                    </w:rPr>
                  </w:pPr>
                </w:p>
              </w:tc>
              <w:tc>
                <w:tcPr>
                  <w:tcW w:w="1117" w:type="dxa"/>
                </w:tcPr>
                <w:p>
                  <w:pPr>
                    <w:widowControl/>
                    <w:spacing w:before="40"/>
                    <w:jc w:val="left"/>
                    <w:rPr>
                      <w:color w:val="000000"/>
                      <w:szCs w:val="18"/>
                      <w:highlight w:val="yellow"/>
                    </w:rPr>
                  </w:pPr>
                </w:p>
              </w:tc>
              <w:tc>
                <w:tcPr>
                  <w:tcW w:w="2621" w:type="dxa"/>
                </w:tcPr>
                <w:p>
                  <w:pPr>
                    <w:rPr>
                      <w:bCs/>
                      <w:szCs w:val="21"/>
                      <w:highlight w:val="yellow"/>
                    </w:rPr>
                  </w:pPr>
                </w:p>
              </w:tc>
            </w:tr>
          </w:tbl>
          <w:p>
            <w:bookmarkStart w:id="0" w:name="_GoBack"/>
            <w:bookmarkEnd w:id="0"/>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33" w:type="dxa"/>
            <w:vMerge w:val="restart"/>
            <w:shd w:val="clear" w:color="auto" w:fill="auto"/>
          </w:tcPr>
          <w:p>
            <w:pPr>
              <w:rPr>
                <w:color w:val="000000"/>
                <w:szCs w:val="21"/>
              </w:rPr>
            </w:pPr>
            <w:r>
              <w:rPr>
                <w:rFonts w:hint="eastAsia"/>
                <w:color w:val="000000"/>
                <w:szCs w:val="21"/>
              </w:rPr>
              <w:t>变更的策划</w:t>
            </w:r>
          </w:p>
          <w:p/>
        </w:tc>
        <w:tc>
          <w:tcPr>
            <w:tcW w:w="1040" w:type="dxa"/>
            <w:vMerge w:val="restart"/>
            <w:shd w:val="clear" w:color="auto" w:fill="auto"/>
          </w:tcPr>
          <w:p>
            <w:r>
              <w:rPr>
                <w:rFonts w:hint="eastAsia"/>
                <w:color w:val="000000"/>
                <w:szCs w:val="21"/>
              </w:rPr>
              <w:t>F6.3</w:t>
            </w:r>
          </w:p>
        </w:tc>
        <w:tc>
          <w:tcPr>
            <w:tcW w:w="893" w:type="dxa"/>
            <w:shd w:val="clear" w:color="auto" w:fill="auto"/>
          </w:tcPr>
          <w:p>
            <w:r>
              <w:rPr>
                <w:rFonts w:hint="eastAsia"/>
              </w:rPr>
              <w:t>文件名称</w:t>
            </w:r>
          </w:p>
        </w:tc>
        <w:tc>
          <w:tcPr>
            <w:tcW w:w="9373"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《食品安全管理手册》</w:t>
            </w:r>
            <w:r>
              <w:rPr>
                <w:rFonts w:hint="eastAsia"/>
              </w:rPr>
              <w:t>第6.3章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5"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t xml:space="preserve">□组织结构变更 □部门职责变更 □主要原材料 □关键人员  □生产工艺/服务流程 </w:t>
            </w:r>
          </w:p>
          <w:p>
            <w:pPr>
              <w:spacing w:before="40" w:after="40"/>
            </w:pPr>
            <w:r>
              <w:rPr>
                <w:rFonts w:hint="eastAsia"/>
              </w:rPr>
              <w:sym w:font="Wingdings 2" w:char="00A3"/>
            </w:r>
            <w:r>
              <w:rPr>
                <w:rFonts w:hint="eastAsia"/>
              </w:rPr>
              <w:t xml:space="preserve">主要设备设施 □主要检测设备 </w:t>
            </w:r>
            <w:r>
              <w:rPr/>
              <w:sym w:font="Wingdings" w:char="00FE"/>
            </w:r>
            <w:r>
              <w:rPr>
                <w:rFonts w:hint="eastAsia"/>
              </w:rPr>
              <w:t>其他——审核周期内未发生</w:t>
            </w:r>
          </w:p>
          <w:p>
            <w:pPr>
              <w:pStyle w:val="6"/>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396" w:type="dxa"/>
                </w:tcPr>
                <w:p>
                  <w:r>
                    <w:rPr>
                      <w:rFonts w:hint="eastAsia"/>
                    </w:rPr>
                    <w:t>体系变更的内容说明</w:t>
                  </w:r>
                </w:p>
              </w:tc>
              <w:tc>
                <w:tcPr>
                  <w:tcW w:w="3632"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评价内容</w:t>
                  </w:r>
                </w:p>
              </w:tc>
              <w:tc>
                <w:tcPr>
                  <w:tcW w:w="3632"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变更目的</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其潜在后果</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6" w:type="dxa"/>
                </w:tcPr>
                <w:p>
                  <w:r>
                    <w:rPr>
                      <w:rFonts w:hint="eastAsia"/>
                    </w:rPr>
                    <w:t>质量管理体系的完整性</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资源的可获得性</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职责和权限的分配或再分配</w:t>
                  </w:r>
                </w:p>
              </w:tc>
              <w:tc>
                <w:tcPr>
                  <w:tcW w:w="3632" w:type="dxa"/>
                </w:tcPr>
                <w:p>
                  <w:r>
                    <w:rPr>
                      <w:rFonts w:hint="eastAsia"/>
                    </w:rPr>
                    <w:t>——</w:t>
                  </w: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r>
              <w:rPr>
                <w:rFonts w:hint="eastAsia"/>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33" w:type="dxa"/>
            <w:vMerge w:val="restart"/>
            <w:shd w:val="clear" w:color="auto" w:fill="auto"/>
          </w:tcPr>
          <w:p>
            <w:r>
              <w:rPr>
                <w:rFonts w:hint="eastAsia"/>
              </w:rPr>
              <w:t>资源（总则）</w:t>
            </w:r>
          </w:p>
        </w:tc>
        <w:tc>
          <w:tcPr>
            <w:tcW w:w="1040" w:type="dxa"/>
            <w:vMerge w:val="restart"/>
            <w:shd w:val="clear" w:color="auto" w:fill="auto"/>
          </w:tcPr>
          <w:p>
            <w:r>
              <w:rPr>
                <w:rFonts w:hint="eastAsia"/>
              </w:rPr>
              <w:t>F7.1.1</w:t>
            </w:r>
          </w:p>
          <w:p>
            <w:pPr>
              <w:pStyle w:val="6"/>
            </w:pPr>
          </w:p>
        </w:tc>
        <w:tc>
          <w:tcPr>
            <w:tcW w:w="893" w:type="dxa"/>
            <w:shd w:val="clear" w:color="auto" w:fill="auto"/>
          </w:tcPr>
          <w:p>
            <w:r>
              <w:rPr>
                <w:rFonts w:hint="eastAsia"/>
              </w:rPr>
              <w:t>文件名称</w:t>
            </w:r>
          </w:p>
        </w:tc>
        <w:tc>
          <w:tcPr>
            <w:tcW w:w="9373" w:type="dxa"/>
            <w:shd w:val="clear" w:color="auto" w:fill="auto"/>
          </w:tcPr>
          <w:p>
            <w:r>
              <w:rPr>
                <w:rFonts w:hint="eastAsia"/>
              </w:rPr>
              <w:t>如：</w:t>
            </w:r>
            <w:r>
              <w:rPr/>
              <w:sym w:font="Wingdings" w:char="00FE"/>
            </w:r>
            <w:r>
              <w:rPr>
                <w:rFonts w:hint="eastAsia" w:ascii="宋体" w:hAnsi="宋体"/>
              </w:rPr>
              <w:t>《食品安全管理手册》</w:t>
            </w:r>
            <w:r>
              <w:rPr>
                <w:rFonts w:hint="eastAsia"/>
              </w:rPr>
              <w:t>第7.1章</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p>
            <w:pPr>
              <w:rPr>
                <w:color w:val="000000"/>
                <w:szCs w:val="21"/>
              </w:rPr>
            </w:pPr>
            <w:r>
              <w:rPr>
                <w:rFonts w:hint="eastAsia"/>
                <w:color w:val="000000"/>
                <w:szCs w:val="21"/>
              </w:rPr>
              <w:t xml:space="preserve">和最高管理层确定并提供所需的资源，以建立、实施、保持和持续改进质量管理体系。 </w:t>
            </w:r>
          </w:p>
          <w:p>
            <w:pPr>
              <w:numPr>
                <w:ilvl w:val="0"/>
                <w:numId w:val="1"/>
              </w:numPr>
              <w:rPr>
                <w:color w:val="000000"/>
                <w:szCs w:val="21"/>
              </w:rPr>
            </w:pPr>
            <w:r>
              <w:rPr>
                <w:rFonts w:hint="eastAsia"/>
                <w:color w:val="000000"/>
                <w:szCs w:val="21"/>
              </w:rPr>
              <w:t>现有内部资源的能力；</w:t>
            </w:r>
          </w:p>
          <w:p>
            <w:pPr>
              <w:rPr>
                <w:rFonts w:hint="eastAsia"/>
              </w:rPr>
            </w:pPr>
            <w:r>
              <w:rPr>
                <w:rFonts w:hint="eastAsia"/>
              </w:rPr>
              <w:t>建筑面积</w:t>
            </w:r>
            <w:r>
              <w:rPr>
                <w:rFonts w:hint="eastAsia"/>
                <w:u w:val="single"/>
              </w:rPr>
              <w:t>5382平方米</w:t>
            </w:r>
            <w:r>
              <w:rPr>
                <w:rFonts w:hint="eastAsia"/>
              </w:rPr>
              <w:t>，厂区面积</w:t>
            </w:r>
            <w:r>
              <w:rPr>
                <w:rFonts w:hint="eastAsia"/>
                <w:u w:val="single"/>
              </w:rPr>
              <w:t>13057平方米</w:t>
            </w:r>
            <w:r>
              <w:rPr>
                <w:rFonts w:hint="eastAsia"/>
              </w:rPr>
              <w:t>；配送大厅</w:t>
            </w:r>
            <w:r>
              <w:rPr>
                <w:rFonts w:hint="eastAsia"/>
                <w:u w:val="single"/>
              </w:rPr>
              <w:t>1个</w:t>
            </w:r>
            <w:r>
              <w:rPr>
                <w:rFonts w:hint="eastAsia"/>
              </w:rPr>
              <w:t>；</w:t>
            </w:r>
            <w:r>
              <w:rPr>
                <w:rFonts w:hint="eastAsia"/>
                <w:u w:val="single"/>
              </w:rPr>
              <w:t xml:space="preserve"> 2个</w:t>
            </w:r>
            <w:r>
              <w:rPr>
                <w:rFonts w:hint="eastAsia"/>
              </w:rPr>
              <w:t xml:space="preserve">冷冻库， </w:t>
            </w:r>
            <w:r>
              <w:rPr>
                <w:rFonts w:hint="eastAsia"/>
                <w:u w:val="single"/>
              </w:rPr>
              <w:t xml:space="preserve"> 2个</w:t>
            </w:r>
            <w:r>
              <w:rPr>
                <w:rFonts w:hint="eastAsia"/>
              </w:rPr>
              <w:t xml:space="preserve">冷藏库， </w:t>
            </w:r>
            <w:r>
              <w:rPr>
                <w:rFonts w:hint="eastAsia"/>
                <w:u w:val="single"/>
              </w:rPr>
              <w:t xml:space="preserve"> 3个</w:t>
            </w:r>
            <w:r>
              <w:rPr>
                <w:rFonts w:hint="eastAsia"/>
              </w:rPr>
              <w:t>常温库，检验室</w:t>
            </w:r>
            <w:r>
              <w:rPr>
                <w:rFonts w:hint="eastAsia"/>
                <w:u w:val="single"/>
              </w:rPr>
              <w:t>1个</w:t>
            </w:r>
            <w:r>
              <w:rPr>
                <w:rFonts w:hint="eastAsia"/>
              </w:rPr>
              <w:t>；</w:t>
            </w:r>
          </w:p>
          <w:p>
            <w:pPr>
              <w:rPr>
                <w:rFonts w:hint="eastAsia"/>
              </w:rPr>
            </w:pPr>
          </w:p>
          <w:p>
            <w:pPr>
              <w:rPr>
                <w:u w:val="single"/>
              </w:rPr>
            </w:pPr>
            <w:r>
              <w:rPr>
                <w:rFonts w:hint="eastAsia"/>
              </w:rPr>
              <w:t>主要生产设备有：</w:t>
            </w:r>
            <w:r>
              <w:rPr>
                <w:rFonts w:hint="eastAsia"/>
                <w:u w:val="single"/>
              </w:rPr>
              <w:t xml:space="preserve"> </w:t>
            </w:r>
            <w:r>
              <w:rPr>
                <w:rFonts w:hint="eastAsia"/>
                <w:color w:val="000000"/>
                <w:szCs w:val="21"/>
                <w:u w:val="single"/>
              </w:rPr>
              <w:t>冷藏车、厢式货车、电子秤等</w:t>
            </w:r>
            <w:r>
              <w:rPr>
                <w:rFonts w:hint="eastAsia"/>
                <w:u w:val="single"/>
              </w:rPr>
              <w:t>（列举2~4种）</w:t>
            </w:r>
          </w:p>
          <w:p>
            <w:pPr>
              <w:pStyle w:val="13"/>
              <w:rPr>
                <w:color w:val="000000"/>
              </w:rPr>
            </w:pPr>
          </w:p>
          <w:p>
            <w:pPr>
              <w:widowControl/>
              <w:spacing w:before="40"/>
              <w:jc w:val="left"/>
              <w:rPr>
                <w:color w:val="000000"/>
              </w:rPr>
            </w:pPr>
            <w:r>
              <w:rPr>
                <w:rFonts w:hint="eastAsia"/>
                <w:color w:val="000000"/>
              </w:rPr>
              <w:t>动力设施和辅助设施的状况，存在下列的场所：</w:t>
            </w:r>
          </w:p>
          <w:p>
            <w:pPr>
              <w:widowControl/>
              <w:spacing w:before="40"/>
              <w:ind w:firstLine="210" w:firstLineChars="100"/>
              <w:jc w:val="left"/>
              <w:rPr>
                <w:color w:val="000000"/>
              </w:rPr>
            </w:pPr>
            <w:r>
              <w:rPr>
                <w:color w:val="000000"/>
              </w:rPr>
              <w:sym w:font="Wingdings" w:char="00A8"/>
            </w:r>
            <w:r>
              <w:rPr>
                <w:rFonts w:hint="eastAsia"/>
                <w:color w:val="000000"/>
              </w:rPr>
              <w:t xml:space="preserve">污水处理站  </w:t>
            </w:r>
            <w:r>
              <w:rPr>
                <w:color w:val="000000"/>
              </w:rPr>
              <w:sym w:font="Wingdings" w:char="00A8"/>
            </w:r>
            <w:r>
              <w:rPr>
                <w:rFonts w:hint="eastAsia"/>
                <w:color w:val="000000"/>
              </w:rPr>
              <w:t xml:space="preserve">锅炉房  </w:t>
            </w:r>
            <w:r>
              <w:rPr>
                <w:color w:val="000000"/>
              </w:rPr>
              <w:sym w:font="Wingdings" w:char="00A8"/>
            </w:r>
            <w:r>
              <w:rPr>
                <w:rFonts w:hint="eastAsia"/>
                <w:color w:val="000000"/>
              </w:rPr>
              <w:t xml:space="preserve">高压配电室  </w:t>
            </w:r>
            <w:r>
              <w:rPr>
                <w:rFonts w:hint="eastAsia"/>
              </w:rPr>
              <w:t>□</w:t>
            </w:r>
            <w:r>
              <w:rPr>
                <w:rFonts w:hint="eastAsia"/>
                <w:color w:val="000000"/>
              </w:rPr>
              <w:t xml:space="preserve">低压配电室 </w:t>
            </w:r>
            <w:r>
              <w:rPr>
                <w:color w:val="000000"/>
              </w:rPr>
              <w:sym w:font="Wingdings" w:char="00A8"/>
            </w:r>
            <w:r>
              <w:rPr>
                <w:rFonts w:hint="eastAsia"/>
                <w:color w:val="000000"/>
              </w:rPr>
              <w:t xml:space="preserve">空压站  </w:t>
            </w:r>
            <w:r>
              <w:rPr>
                <w:color w:val="000000"/>
              </w:rPr>
              <w:sym w:font="Wingdings" w:char="00A8"/>
            </w:r>
            <w:r>
              <w:rPr>
                <w:rFonts w:hint="eastAsia"/>
                <w:color w:val="000000"/>
              </w:rPr>
              <w:t xml:space="preserve">制冷站   </w:t>
            </w:r>
            <w:r>
              <w:rPr>
                <w:color w:val="000000"/>
              </w:rPr>
              <w:sym w:font="Wingdings" w:char="00A8"/>
            </w:r>
            <w:r>
              <w:rPr>
                <w:rFonts w:hint="eastAsia"/>
                <w:color w:val="000000"/>
              </w:rPr>
              <w:t>消防中控室</w:t>
            </w:r>
          </w:p>
          <w:p>
            <w:pPr>
              <w:widowControl/>
              <w:spacing w:before="40"/>
              <w:ind w:left="210" w:leftChars="100"/>
              <w:jc w:val="left"/>
              <w:rPr>
                <w:color w:val="000000"/>
              </w:rPr>
            </w:pPr>
            <w:r>
              <w:rPr>
                <w:color w:val="000000"/>
              </w:rPr>
              <w:sym w:font="Wingdings" w:char="00A8"/>
            </w:r>
            <w:r>
              <w:rPr>
                <w:rFonts w:hint="eastAsia"/>
                <w:color w:val="000000"/>
              </w:rPr>
              <w:t xml:space="preserve">消防泵房   </w:t>
            </w:r>
            <w:r>
              <w:rPr>
                <w:rFonts w:hint="eastAsia"/>
              </w:rPr>
              <w:t>□</w:t>
            </w:r>
            <w:r>
              <w:rPr>
                <w:rFonts w:hint="eastAsia"/>
                <w:color w:val="000000"/>
              </w:rPr>
              <w:t xml:space="preserve">除尘装置 </w:t>
            </w:r>
            <w:r>
              <w:rPr>
                <w:color w:val="000000"/>
              </w:rPr>
              <w:sym w:font="Wingdings" w:char="00A8"/>
            </w:r>
            <w:r>
              <w:rPr>
                <w:rFonts w:hint="eastAsia"/>
                <w:color w:val="000000"/>
              </w:rPr>
              <w:t xml:space="preserve">尾气处理  </w:t>
            </w:r>
            <w:r>
              <w:rPr>
                <w:color w:val="000000"/>
              </w:rPr>
              <w:sym w:font="Wingdings" w:char="00A8"/>
            </w:r>
            <w:r>
              <w:rPr>
                <w:rFonts w:hint="eastAsia"/>
                <w:color w:val="000000"/>
              </w:rPr>
              <w:t xml:space="preserve">危化品库房   </w:t>
            </w:r>
            <w:r>
              <w:rPr>
                <w:color w:val="000000"/>
              </w:rPr>
              <w:sym w:font="Wingdings" w:char="00A8"/>
            </w:r>
            <w:r>
              <w:rPr>
                <w:rFonts w:hint="eastAsia"/>
                <w:color w:val="000000"/>
              </w:rPr>
              <w:t xml:space="preserve">危险废弃物存放处   </w:t>
            </w:r>
            <w:r>
              <w:rPr>
                <w:color w:val="000000"/>
              </w:rPr>
              <w:sym w:font="Wingdings" w:char="00A8"/>
            </w:r>
            <w:r>
              <w:rPr>
                <w:rFonts w:hint="eastAsia"/>
                <w:color w:val="000000"/>
              </w:rPr>
              <w:t xml:space="preserve">改建/扩建施工现场  </w:t>
            </w:r>
            <w:r>
              <w:rPr>
                <w:rFonts w:hint="eastAsia"/>
              </w:rPr>
              <w:t>□</w:t>
            </w:r>
            <w:r>
              <w:rPr>
                <w:rFonts w:hint="eastAsia"/>
                <w:color w:val="000000"/>
              </w:rPr>
              <w:t xml:space="preserve">食堂  </w:t>
            </w:r>
            <w:r>
              <w:rPr>
                <w:color w:val="000000"/>
              </w:rPr>
              <w:sym w:font="Wingdings" w:char="00A8"/>
            </w:r>
            <w:r>
              <w:rPr>
                <w:rFonts w:hint="eastAsia"/>
                <w:color w:val="000000"/>
              </w:rPr>
              <w:t xml:space="preserve">宿舍  </w:t>
            </w:r>
            <w:r>
              <w:rPr>
                <w:color w:val="000000"/>
              </w:rPr>
              <w:sym w:font="Wingdings" w:char="00A8"/>
            </w:r>
            <w:r>
              <w:rPr>
                <w:rFonts w:hint="eastAsia"/>
                <w:color w:val="000000"/>
              </w:rPr>
              <w:t xml:space="preserve">班车  </w:t>
            </w:r>
            <w:r>
              <w:rPr>
                <w:color w:val="000000"/>
              </w:rPr>
              <w:sym w:font="Wingdings" w:char="00FE"/>
            </w:r>
            <w:r>
              <w:rPr>
                <w:rFonts w:hint="eastAsia"/>
                <w:color w:val="000000"/>
              </w:rPr>
              <w:t>其他——不涉及</w:t>
            </w:r>
          </w:p>
          <w:p/>
          <w:p>
            <w:r>
              <w:rPr>
                <w:rFonts w:hint="eastAsia"/>
              </w:rPr>
              <w:t>特种设备：</w:t>
            </w:r>
          </w:p>
          <w:p>
            <w:pPr>
              <w:ind w:firstLine="210" w:firstLineChars="100"/>
            </w:pP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FE"/>
            </w:r>
            <w:r>
              <w:rPr>
                <w:rFonts w:hint="eastAsia"/>
              </w:rPr>
              <w:t>不适用</w:t>
            </w:r>
          </w:p>
          <w:p>
            <w:pPr>
              <w:ind w:firstLine="210" w:firstLineChars="100"/>
            </w:pPr>
          </w:p>
          <w:p>
            <w:pPr>
              <w:rPr>
                <w:color w:val="000000"/>
                <w:szCs w:val="21"/>
              </w:rPr>
            </w:pPr>
            <w:r>
              <w:rPr>
                <w:rFonts w:hint="eastAsia"/>
              </w:rPr>
              <w:t>特种设备管理：</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pStyle w:val="6"/>
              <w:rPr>
                <w:color w:val="000000"/>
                <w:szCs w:val="21"/>
                <w:highlight w:val="yellow"/>
              </w:rPr>
            </w:pPr>
          </w:p>
          <w:p>
            <w:pPr>
              <w:numPr>
                <w:ilvl w:val="0"/>
                <w:numId w:val="2"/>
              </w:numPr>
              <w:rPr>
                <w:color w:val="000000"/>
                <w:szCs w:val="21"/>
                <w:u w:val="single"/>
              </w:rPr>
            </w:pPr>
            <w:r>
              <w:rPr>
                <w:rFonts w:hint="eastAsia"/>
                <w:color w:val="000000"/>
                <w:szCs w:val="21"/>
              </w:rPr>
              <w:t>还存在哪些局限和不足：</w:t>
            </w:r>
            <w:r>
              <w:rPr>
                <w:rFonts w:hint="eastAsia"/>
                <w:color w:val="000000"/>
                <w:szCs w:val="21"/>
                <w:u w:val="single"/>
              </w:rPr>
              <w:t xml:space="preserve">                         </w:t>
            </w:r>
          </w:p>
          <w:p>
            <w:pPr>
              <w:numPr>
                <w:ilvl w:val="0"/>
                <w:numId w:val="1"/>
              </w:numPr>
            </w:pPr>
            <w:r>
              <w:rPr>
                <w:rFonts w:hint="eastAsia"/>
                <w:color w:val="000000"/>
                <w:szCs w:val="21"/>
              </w:rPr>
              <w:t>需要从外部供方获得的资源：</w:t>
            </w:r>
            <w:r>
              <w:rPr>
                <w:rFonts w:hint="eastAsia"/>
              </w:rPr>
              <w:t xml:space="preserve"> </w:t>
            </w:r>
            <w:r>
              <w:rPr>
                <w:rFonts w:hint="eastAsia"/>
                <w:u w:val="single"/>
              </w:rPr>
              <w:t xml:space="preserve">    无     </w:t>
            </w:r>
            <w:r>
              <w:rPr>
                <w:u w:val="single"/>
              </w:rPr>
              <w:t xml:space="preserve"> </w:t>
            </w:r>
            <w:r>
              <w:rPr>
                <w:rFonts w:hint="eastAsia"/>
                <w:u w:val="single"/>
              </w:rPr>
              <w:t xml:space="preserve"> </w:t>
            </w:r>
            <w:r>
              <w:rPr>
                <w:rFonts w:hint="eastAsia"/>
              </w:rPr>
              <w:t xml:space="preserve">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33" w:type="dxa"/>
            <w:vMerge w:val="restart"/>
            <w:shd w:val="clear" w:color="auto" w:fill="auto"/>
          </w:tcPr>
          <w:p>
            <w:r>
              <w:rPr>
                <w:rFonts w:hint="eastAsia"/>
              </w:rPr>
              <w:t>沟通</w:t>
            </w:r>
          </w:p>
        </w:tc>
        <w:tc>
          <w:tcPr>
            <w:tcW w:w="1040" w:type="dxa"/>
            <w:vMerge w:val="restart"/>
            <w:shd w:val="clear" w:color="auto" w:fill="auto"/>
          </w:tcPr>
          <w:p>
            <w:r>
              <w:rPr>
                <w:rFonts w:hint="eastAsia"/>
              </w:rPr>
              <w:t>F7.4</w:t>
            </w:r>
          </w:p>
          <w:p>
            <w:r>
              <w:rPr>
                <w:rFonts w:hint="eastAsia"/>
              </w:rPr>
              <w:t>H(V1.0)</w:t>
            </w:r>
          </w:p>
          <w:p>
            <w:pPr>
              <w:pStyle w:val="6"/>
            </w:pPr>
            <w:r>
              <w:rPr>
                <w:rFonts w:hint="eastAsia"/>
              </w:rPr>
              <w:t>2.5.2</w:t>
            </w:r>
          </w:p>
        </w:tc>
        <w:tc>
          <w:tcPr>
            <w:tcW w:w="893" w:type="dxa"/>
            <w:shd w:val="clear" w:color="auto" w:fill="auto"/>
          </w:tcPr>
          <w:p>
            <w:r>
              <w:rPr>
                <w:rFonts w:hint="eastAsia"/>
              </w:rPr>
              <w:t>文件名称</w:t>
            </w:r>
          </w:p>
        </w:tc>
        <w:tc>
          <w:tcPr>
            <w:tcW w:w="9373" w:type="dxa"/>
            <w:shd w:val="clear" w:color="auto" w:fill="auto"/>
          </w:tcPr>
          <w:p>
            <w:r>
              <w:rPr>
                <w:rFonts w:hint="eastAsia"/>
              </w:rPr>
              <w:t>如：</w:t>
            </w:r>
            <w:r>
              <w:rPr>
                <w:rFonts w:hint="eastAsia"/>
                <w:color w:val="000000"/>
                <w:szCs w:val="21"/>
              </w:rPr>
              <w:t>☑《食品安全管理手册》</w:t>
            </w:r>
            <w:r>
              <w:rPr>
                <w:rFonts w:hint="eastAsia"/>
              </w:rPr>
              <w:t>第7.4章、</w:t>
            </w:r>
            <w:r>
              <w:rPr>
                <w:rFonts w:hint="eastAsia"/>
                <w:color w:val="000000"/>
                <w:szCs w:val="21"/>
              </w:rPr>
              <w:sym w:font="Wingdings 2" w:char="0052"/>
            </w:r>
            <w:r>
              <w:rPr>
                <w:rFonts w:hint="eastAsia"/>
              </w:rPr>
              <w:t>《沟通控制程序》</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p>
            <w:r>
              <w:rPr>
                <w:rFonts w:hint="eastAsia"/>
              </w:rPr>
              <w:t>组织考虑了合规义务，确保食品安全信息与食品安全管理体系形成的信息一致且真实可信。一般由办公室负责。</w:t>
            </w:r>
          </w:p>
          <w:p>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FE"/>
            </w:r>
            <w:r>
              <w:rPr>
                <w:rFonts w:hint="eastAsia"/>
                <w:color w:val="000000"/>
                <w:szCs w:val="21"/>
              </w:rPr>
              <w:t xml:space="preserve">消防大队 ☑顾客 ☑供方 </w:t>
            </w:r>
            <w:r>
              <w:rPr>
                <w:rFonts w:hint="eastAsia"/>
                <w:color w:val="000000"/>
                <w:szCs w:val="21"/>
              </w:rPr>
              <w:sym w:font="Wingdings 2" w:char="0052"/>
            </w:r>
            <w:r>
              <w:rPr>
                <w:rFonts w:hint="eastAsia"/>
                <w:color w:val="000000"/>
                <w:szCs w:val="21"/>
              </w:rPr>
              <w:t>外包方 □网站</w:t>
            </w:r>
          </w:p>
          <w:p/>
          <w:p>
            <w:r>
              <w:rPr>
                <w:rFonts w:hint="eastAsia"/>
              </w:rPr>
              <w:t>内部沟通的控制方式：</w:t>
            </w:r>
            <w:r>
              <w:rPr>
                <w:rFonts w:hint="eastAsia"/>
                <w:color w:val="000000"/>
                <w:szCs w:val="21"/>
              </w:rPr>
              <w:t xml:space="preserve">☑会议 </w:t>
            </w:r>
            <w:r>
              <w:rPr>
                <w:rFonts w:hint="eastAsia"/>
                <w:color w:val="000000"/>
                <w:szCs w:val="21"/>
              </w:rPr>
              <w:sym w:font="Wingdings 2" w:char="0052"/>
            </w:r>
            <w:r>
              <w:rPr>
                <w:rFonts w:hint="eastAsia"/>
                <w:color w:val="000000"/>
                <w:szCs w:val="21"/>
              </w:rPr>
              <w:t xml:space="preserve">表单传递 ☑微信 ☑QQ □展板 </w:t>
            </w:r>
            <w:r>
              <w:rPr>
                <w:rFonts w:hint="eastAsia"/>
                <w:color w:val="000000"/>
                <w:szCs w:val="21"/>
              </w:rPr>
              <w:sym w:font="Wingdings 2" w:char="00A3"/>
            </w:r>
            <w:r>
              <w:rPr>
                <w:rFonts w:hint="eastAsia"/>
                <w:color w:val="000000"/>
                <w:szCs w:val="21"/>
              </w:rPr>
              <w:t>标语</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33" w:type="dxa"/>
            <w:vMerge w:val="restart"/>
            <w:shd w:val="clear" w:color="auto" w:fill="auto"/>
          </w:tcPr>
          <w:p>
            <w:r>
              <w:rPr>
                <w:rFonts w:hint="eastAsia"/>
              </w:rPr>
              <w:t>文件要求</w:t>
            </w:r>
          </w:p>
        </w:tc>
        <w:tc>
          <w:tcPr>
            <w:tcW w:w="1040" w:type="dxa"/>
            <w:vMerge w:val="restart"/>
            <w:shd w:val="clear" w:color="auto" w:fill="auto"/>
          </w:tcPr>
          <w:p>
            <w:r>
              <w:rPr>
                <w:rFonts w:hint="eastAsia"/>
              </w:rPr>
              <w:t>F7.5.1</w:t>
            </w:r>
          </w:p>
          <w:p>
            <w:r>
              <w:rPr>
                <w:rFonts w:hint="eastAsia"/>
              </w:rPr>
              <w:t>H(V1.0)</w:t>
            </w:r>
          </w:p>
          <w:p>
            <w:r>
              <w:rPr>
                <w:rFonts w:hint="eastAsia"/>
              </w:rPr>
              <w:t>1.2.1  HACCP体系文件</w:t>
            </w:r>
          </w:p>
        </w:tc>
        <w:tc>
          <w:tcPr>
            <w:tcW w:w="893" w:type="dxa"/>
            <w:shd w:val="clear" w:color="auto" w:fill="auto"/>
          </w:tcPr>
          <w:p>
            <w:r>
              <w:rPr>
                <w:rFonts w:hint="eastAsia"/>
              </w:rPr>
              <w:t>文件名称</w:t>
            </w:r>
          </w:p>
        </w:tc>
        <w:tc>
          <w:tcPr>
            <w:tcW w:w="9373" w:type="dxa"/>
            <w:shd w:val="clear" w:color="auto" w:fill="auto"/>
          </w:tcPr>
          <w:p>
            <w:r>
              <w:rPr>
                <w:rFonts w:hint="eastAsia"/>
              </w:rPr>
              <w:sym w:font="Wingdings 2" w:char="0052"/>
            </w:r>
            <w:r>
              <w:rPr>
                <w:rFonts w:hint="eastAsia"/>
              </w:rPr>
              <w:t>《体系文件清单》、</w:t>
            </w:r>
            <w:r>
              <w:rPr>
                <w:rFonts w:hint="eastAsia"/>
              </w:rPr>
              <w:sym w:font="Wingdings 2" w:char="0052"/>
            </w:r>
            <w:r>
              <w:rPr>
                <w:rFonts w:hint="eastAsia"/>
              </w:rPr>
              <w:t>《食品安全管理手册》、</w:t>
            </w:r>
            <w:r>
              <w:rPr>
                <w:rFonts w:hint="eastAsia"/>
              </w:rPr>
              <w:sym w:font="Wingdings 2" w:char="0052"/>
            </w:r>
            <w:r>
              <w:rPr>
                <w:rFonts w:hint="eastAsia"/>
              </w:rPr>
              <w:t>《程序文件》</w:t>
            </w:r>
          </w:p>
        </w:tc>
        <w:tc>
          <w:tcPr>
            <w:tcW w:w="1585" w:type="dxa"/>
            <w:vMerge w:val="restart"/>
            <w:shd w:val="clear" w:color="auto" w:fill="auto"/>
          </w:tcPr>
          <w:p>
            <w:r>
              <w:rPr>
                <w:rFonts w:hint="eastAsia"/>
              </w:rPr>
              <w:sym w:font="Wingdings 2" w:char="0052"/>
            </w:r>
            <w:r>
              <w:rPr>
                <w:rFonts w:hint="eastAsia"/>
              </w:rPr>
              <w:t>符合</w:t>
            </w:r>
          </w:p>
          <w:p>
            <w:pPr>
              <w:pStyle w:val="13"/>
            </w:pPr>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p>
            <w:r>
              <w:rPr>
                <w:rFonts w:hint="eastAsia"/>
              </w:rPr>
              <w:t>组织的FSMS/HACCP体系文件包括：</w:t>
            </w:r>
          </w:p>
          <w:p>
            <w:r>
              <w:rPr>
                <w:rFonts w:hint="eastAsia" w:ascii="宋体" w:hAnsi="宋体"/>
              </w:rPr>
              <w:sym w:font="Wingdings 2" w:char="0052"/>
            </w:r>
            <w:r>
              <w:rPr>
                <w:rFonts w:hint="eastAsia" w:ascii="宋体" w:hAnsi="宋体"/>
              </w:rPr>
              <w:t xml:space="preserve"> </w:t>
            </w:r>
            <w:r>
              <w:rPr>
                <w:rFonts w:hint="eastAsia"/>
              </w:rPr>
              <w:t>形成文件的食品安全方针；</w:t>
            </w:r>
          </w:p>
          <w:p>
            <w:r>
              <w:rPr>
                <w:rFonts w:hint="eastAsia" w:ascii="宋体" w:hAnsi="宋体"/>
              </w:rPr>
              <w:sym w:font="Wingdings 2" w:char="0052"/>
            </w:r>
            <w:r>
              <w:rPr>
                <w:rFonts w:hint="eastAsia" w:ascii="宋体" w:hAnsi="宋体"/>
              </w:rPr>
              <w:t xml:space="preserve"> </w:t>
            </w:r>
            <w:r>
              <w:rPr>
                <w:rFonts w:hint="eastAsia"/>
              </w:rPr>
              <w:t>HACCP手册——</w:t>
            </w:r>
            <w:r>
              <w:rPr>
                <w:rFonts w:hint="eastAsia"/>
                <w:u w:val="single"/>
              </w:rPr>
              <w:t>《食品安全管理手册》</w:t>
            </w:r>
          </w:p>
          <w:p>
            <w:r>
              <w:rPr>
                <w:rFonts w:hint="eastAsia" w:ascii="宋体" w:hAnsi="宋体"/>
              </w:rPr>
              <w:sym w:font="Wingdings 2" w:char="0052"/>
            </w:r>
            <w:r>
              <w:rPr>
                <w:rFonts w:hint="eastAsia" w:ascii="宋体" w:hAnsi="宋体"/>
              </w:rPr>
              <w:t xml:space="preserve"> </w:t>
            </w:r>
            <w:r>
              <w:rPr>
                <w:rFonts w:hint="eastAsia"/>
              </w:rPr>
              <w:t>本文件所要求的形成文件的程序；</w:t>
            </w:r>
          </w:p>
          <w:p>
            <w:r>
              <w:rPr>
                <w:rFonts w:hint="eastAsia" w:ascii="宋体" w:hAnsi="宋体"/>
              </w:rPr>
              <w:sym w:font="Wingdings 2" w:char="0052"/>
            </w:r>
            <w:r>
              <w:rPr>
                <w:rFonts w:hint="eastAsia" w:ascii="宋体" w:hAnsi="宋体"/>
              </w:rPr>
              <w:t xml:space="preserve"> </w:t>
            </w:r>
            <w:r>
              <w:rPr>
                <w:rFonts w:hint="eastAsia"/>
              </w:rPr>
              <w:t>企业为确保FSMS/HACCP体系过程的有效策划、运行和控制所需的文件；（三层次文件）</w:t>
            </w:r>
          </w:p>
          <w:p>
            <w:r>
              <w:rPr>
                <w:rFonts w:hint="eastAsia" w:ascii="宋体" w:hAnsi="宋体"/>
              </w:rPr>
              <w:sym w:font="Wingdings 2" w:char="0052"/>
            </w:r>
            <w:r>
              <w:rPr>
                <w:rFonts w:hint="eastAsia" w:ascii="宋体" w:hAnsi="宋体"/>
              </w:rPr>
              <w:t xml:space="preserve"> </w:t>
            </w:r>
            <w:r>
              <w:rPr>
                <w:rFonts w:hint="eastAsia"/>
              </w:rPr>
              <w:t>本文件所要求的记录。</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33" w:type="dxa"/>
            <w:vMerge w:val="continue"/>
            <w:shd w:val="clear" w:color="auto" w:fill="auto"/>
          </w:tcPr>
          <w:p/>
        </w:tc>
        <w:tc>
          <w:tcPr>
            <w:tcW w:w="1040" w:type="dxa"/>
            <w:vMerge w:val="restart"/>
            <w:shd w:val="clear" w:color="auto" w:fill="auto"/>
          </w:tcPr>
          <w:p>
            <w:r>
              <w:rPr>
                <w:rFonts w:hint="eastAsia"/>
              </w:rPr>
              <w:t>F7.5.1H(V1.0)</w:t>
            </w:r>
          </w:p>
          <w:p>
            <w:r>
              <w:rPr>
                <w:rFonts w:hint="eastAsia"/>
              </w:rPr>
              <w:t>1.2.2  HACCP手册</w:t>
            </w:r>
          </w:p>
          <w:p/>
        </w:tc>
        <w:tc>
          <w:tcPr>
            <w:tcW w:w="893" w:type="dxa"/>
            <w:shd w:val="clear" w:color="auto" w:fill="auto"/>
          </w:tcPr>
          <w:p>
            <w:r>
              <w:rPr>
                <w:rFonts w:hint="eastAsia"/>
              </w:rPr>
              <w:t>文件名称</w:t>
            </w:r>
          </w:p>
        </w:tc>
        <w:tc>
          <w:tcPr>
            <w:tcW w:w="9373" w:type="dxa"/>
            <w:shd w:val="clear" w:color="auto" w:fill="auto"/>
          </w:tcPr>
          <w:p>
            <w:r>
              <w:rPr>
                <w:rFonts w:hint="eastAsia"/>
              </w:rPr>
              <w:sym w:font="Wingdings 2" w:char="0052"/>
            </w:r>
            <w:r>
              <w:rPr>
                <w:rFonts w:hint="eastAsia"/>
              </w:rPr>
              <w:t>《食品安全管理手册》7.5条款</w:t>
            </w:r>
          </w:p>
        </w:tc>
        <w:tc>
          <w:tcPr>
            <w:tcW w:w="1585" w:type="dxa"/>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p>
            <w:r>
              <w:rPr>
                <w:rFonts w:hint="eastAsia"/>
              </w:rPr>
              <w:t>企业应编制和保持《食品安全管理手册》，内容包括：</w:t>
            </w:r>
          </w:p>
          <w:p>
            <w:r>
              <w:rPr>
                <w:rFonts w:hint="eastAsia"/>
              </w:rPr>
              <w:sym w:font="Wingdings 2" w:char="0052"/>
            </w:r>
            <w:r>
              <w:rPr>
                <w:rFonts w:hint="eastAsia"/>
              </w:rPr>
              <w:t>管理体系的范围，包括所覆盖产品或产品类别、操作步骤和场所；</w:t>
            </w:r>
          </w:p>
          <w:p>
            <w:r>
              <w:rPr>
                <w:rFonts w:hint="eastAsia"/>
              </w:rPr>
              <w:sym w:font="Wingdings 2" w:char="0052"/>
            </w:r>
            <w:r>
              <w:rPr>
                <w:rFonts w:hint="eastAsia"/>
              </w:rPr>
              <w:t>管理体系程序文件或对其的引用；</w:t>
            </w:r>
          </w:p>
          <w:p>
            <w:r>
              <w:rPr>
                <w:rFonts w:hint="eastAsia"/>
              </w:rPr>
              <w:sym w:font="Wingdings 2" w:char="0052"/>
            </w:r>
            <w:r>
              <w:rPr>
                <w:rFonts w:hint="eastAsia"/>
              </w:rPr>
              <w:t>管理体系过程及其相互作用的表述。</w:t>
            </w:r>
          </w:p>
          <w:p>
            <w:r>
              <w:rPr>
                <w:rFonts w:hint="eastAsia"/>
              </w:rPr>
              <w:sym w:font="Wingdings 2" w:char="0052"/>
            </w:r>
            <w:r>
              <w:rPr>
                <w:rFonts w:hint="eastAsia"/>
              </w:rPr>
              <w:t>其他——外包的识别—</w:t>
            </w:r>
            <w:r>
              <w:rPr>
                <w:rFonts w:hint="eastAsia"/>
                <w:u w:val="single"/>
              </w:rPr>
              <w:t>—无；</w:t>
            </w:r>
          </w:p>
          <w:p>
            <w:pPr>
              <w:pStyle w:val="13"/>
            </w:pPr>
            <w:r>
              <w:rPr>
                <w:rFonts w:hint="eastAsia" w:ascii="宋体" w:hAnsi="宋体"/>
              </w:rPr>
              <w:t>详见</w:t>
            </w:r>
            <w:r>
              <w:rPr>
                <w:rFonts w:hint="eastAsia"/>
                <w:u w:val="single"/>
              </w:rPr>
              <w:t xml:space="preserve">《食品安全管理手册》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33" w:type="dxa"/>
            <w:vMerge w:val="restart"/>
            <w:shd w:val="clear" w:color="auto" w:fill="auto"/>
          </w:tcPr>
          <w:p>
            <w:r>
              <w:rPr>
                <w:rFonts w:hint="eastAsia"/>
              </w:rPr>
              <w:t>运行策划和控制</w:t>
            </w:r>
          </w:p>
        </w:tc>
        <w:tc>
          <w:tcPr>
            <w:tcW w:w="1040" w:type="dxa"/>
            <w:vMerge w:val="restart"/>
            <w:shd w:val="clear" w:color="auto" w:fill="auto"/>
          </w:tcPr>
          <w:p>
            <w:r>
              <w:rPr>
                <w:rFonts w:hint="eastAsia"/>
              </w:rPr>
              <w:t>F8.1</w:t>
            </w:r>
          </w:p>
          <w:p/>
        </w:tc>
        <w:tc>
          <w:tcPr>
            <w:tcW w:w="893" w:type="dxa"/>
            <w:shd w:val="clear" w:color="auto" w:fill="auto"/>
          </w:tcPr>
          <w:p>
            <w:r>
              <w:rPr>
                <w:rFonts w:hint="eastAsia"/>
              </w:rPr>
              <w:t>文件名称</w:t>
            </w:r>
          </w:p>
        </w:tc>
        <w:tc>
          <w:tcPr>
            <w:tcW w:w="9373" w:type="dxa"/>
            <w:shd w:val="clear" w:color="auto" w:fill="auto"/>
          </w:tcPr>
          <w:p>
            <w:r>
              <w:rPr>
                <w:rFonts w:hint="eastAsia"/>
              </w:rPr>
              <w:t>如：</w:t>
            </w:r>
            <w:r>
              <w:rPr/>
              <w:sym w:font="Wingdings" w:char="00FE"/>
            </w:r>
            <w:r>
              <w:rPr>
                <w:rFonts w:hint="eastAsia"/>
              </w:rPr>
              <w:t>手册8.1条款、</w:t>
            </w:r>
            <w:r>
              <w:rPr/>
              <w:sym w:font="Wingdings" w:char="00FE"/>
            </w:r>
            <w:r>
              <w:rPr>
                <w:rFonts w:hint="eastAsia"/>
              </w:rPr>
              <w:t>《人力资源管理程序》</w:t>
            </w:r>
          </w:p>
        </w:tc>
        <w:tc>
          <w:tcPr>
            <w:tcW w:w="1585" w:type="dxa"/>
            <w:vMerge w:val="restart"/>
            <w:shd w:val="clear" w:color="auto" w:fill="auto"/>
          </w:tcPr>
          <w:p>
            <w:r>
              <w:rPr/>
              <w:sym w:font="Wingdings" w:char="00FE"/>
            </w:r>
            <w:r>
              <w:rPr>
                <w:rFonts w:hint="eastAsia"/>
              </w:rPr>
              <w:t>符合</w:t>
            </w:r>
          </w:p>
          <w:p>
            <w:pPr>
              <w:rPr>
                <w:highlight w:val="yellow"/>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p>
            <w:r>
              <w:rPr>
                <w:rFonts w:hint="eastAsia"/>
              </w:rPr>
              <w:t>组织通过采取下列措施，策划、实施、控制和更新满足要求的安全产品所必需的过程，并实施风险和机遇分析所确定的措施：</w:t>
            </w:r>
          </w:p>
          <w:p>
            <w:pPr>
              <w:numPr>
                <w:ilvl w:val="0"/>
                <w:numId w:val="3"/>
              </w:numPr>
            </w:pPr>
            <w:r>
              <w:rPr>
                <w:rFonts w:hint="eastAsia"/>
              </w:rPr>
              <w:t>为过程建立评价准则：</w:t>
            </w:r>
          </w:p>
          <w:p>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前提方案/良好卫生规范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危害控制计划/</w:t>
            </w:r>
            <w:r>
              <w:t>HACCP</w:t>
            </w:r>
          </w:p>
          <w:p>
            <w:pP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原材料和接触材料特性描述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终产品特性描述</w:t>
            </w:r>
          </w:p>
          <w:p>
            <w:pPr>
              <w:numPr>
                <w:ilvl w:val="0"/>
                <w:numId w:val="3"/>
              </w:numPr>
            </w:pPr>
            <w:r>
              <w:rPr>
                <w:rFonts w:hint="eastAsia"/>
              </w:rPr>
              <w:t>按照准则实施过程控制；</w:t>
            </w:r>
          </w:p>
          <w:p>
            <w:pPr>
              <w:rPr>
                <w:u w:val="single"/>
              </w:rPr>
            </w:pPr>
            <w:r>
              <w:rPr>
                <w:rFonts w:hint="eastAsia"/>
              </w:rPr>
              <w:t xml:space="preserve">  </w:t>
            </w:r>
            <w:r>
              <w:rPr>
                <w:rFonts w:hint="eastAsia"/>
                <w:u w:val="single"/>
              </w:rPr>
              <w:t xml:space="preserve"> 见产品配送过程控制记录和检查记录</w:t>
            </w:r>
          </w:p>
          <w:p/>
          <w:p>
            <w:r>
              <w:rPr>
                <w:rFonts w:hint="eastAsia"/>
              </w:rPr>
              <w:t>组织应控制策划的更改，评审非预期变更的后果，必要时，采取措施消除不利影响。（见8.6）</w:t>
            </w:r>
          </w:p>
          <w:p/>
          <w:p>
            <w:r>
              <w:rPr>
                <w:rFonts w:hint="eastAsia"/>
              </w:rPr>
              <w:t>组织的外包过程：</w:t>
            </w:r>
            <w:r>
              <w:rPr>
                <w:rFonts w:hint="eastAsia"/>
                <w:u w:val="single"/>
              </w:rPr>
              <w:t xml:space="preserve"> 无；</w:t>
            </w:r>
            <w:r>
              <w:rPr>
                <w:rFonts w:hint="eastAsia"/>
                <w:color w:val="000000"/>
                <w:u w:val="single"/>
              </w:rPr>
              <w:t xml:space="preserve">  </w:t>
            </w:r>
            <w:r>
              <w:rPr>
                <w:rFonts w:hint="eastAsia"/>
                <w:u w:val="single"/>
              </w:rPr>
              <w:t xml:space="preserve"> </w:t>
            </w:r>
            <w:r>
              <w:rPr>
                <w:rFonts w:hint="eastAsia"/>
              </w:rPr>
              <w:t>。</w:t>
            </w:r>
          </w:p>
          <w:p>
            <w:r>
              <w:rPr>
                <w:rFonts w:hint="eastAsia"/>
              </w:rPr>
              <w:t>若后期有外包过程的控制（见7.1.6）。</w:t>
            </w:r>
          </w:p>
        </w:tc>
        <w:tc>
          <w:tcPr>
            <w:tcW w:w="1585"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33" w:type="dxa"/>
            <w:vMerge w:val="restart"/>
            <w:shd w:val="clear" w:color="auto" w:fill="auto"/>
          </w:tcPr>
          <w:p>
            <w:r>
              <w:rPr>
                <w:rFonts w:hint="eastAsia"/>
              </w:rPr>
              <w:t>前提计划</w:t>
            </w:r>
          </w:p>
          <w:p>
            <w:r>
              <w:rPr>
                <w:rFonts w:hint="eastAsia"/>
              </w:rPr>
              <w:t>总则</w:t>
            </w:r>
          </w:p>
        </w:tc>
        <w:tc>
          <w:tcPr>
            <w:tcW w:w="1040" w:type="dxa"/>
            <w:vMerge w:val="restart"/>
            <w:shd w:val="clear" w:color="auto" w:fill="auto"/>
          </w:tcPr>
          <w:p>
            <w:r>
              <w:rPr>
                <w:rFonts w:hint="eastAsia"/>
              </w:rPr>
              <w:t>H(V1.0)</w:t>
            </w:r>
          </w:p>
          <w:p>
            <w:r>
              <w:rPr>
                <w:rFonts w:hint="eastAsia"/>
              </w:rPr>
              <w:t xml:space="preserve">3.1 </w:t>
            </w:r>
          </w:p>
        </w:tc>
        <w:tc>
          <w:tcPr>
            <w:tcW w:w="893" w:type="dxa"/>
            <w:shd w:val="clear" w:color="auto" w:fill="auto"/>
          </w:tcPr>
          <w:p>
            <w:r>
              <w:rPr>
                <w:rFonts w:hint="eastAsia"/>
              </w:rPr>
              <w:t>文件名称</w:t>
            </w:r>
          </w:p>
        </w:tc>
        <w:tc>
          <w:tcPr>
            <w:tcW w:w="9373" w:type="dxa"/>
            <w:shd w:val="clear" w:color="auto" w:fill="auto"/>
          </w:tcPr>
          <w:p>
            <w:r>
              <w:rPr>
                <w:rFonts w:hint="eastAsia"/>
              </w:rPr>
              <w:sym w:font="Wingdings 2" w:char="0052"/>
            </w:r>
            <w:r>
              <w:rPr>
                <w:rFonts w:hint="eastAsia"/>
              </w:rPr>
              <w:t>手册第6章内容、</w:t>
            </w:r>
            <w:r>
              <w:rPr>
                <w:rFonts w:hint="eastAsia"/>
              </w:rPr>
              <w:sym w:font="Wingdings 2" w:char="0052"/>
            </w:r>
            <w:r>
              <w:rPr>
                <w:rFonts w:hint="eastAsia"/>
              </w:rPr>
              <w:t>《程序文件》、</w:t>
            </w:r>
            <w:r>
              <w:rPr>
                <w:rFonts w:hint="eastAsia"/>
              </w:rPr>
              <w:sym w:font="Wingdings 2" w:char="0052"/>
            </w:r>
            <w:r>
              <w:rPr>
                <w:rFonts w:hint="eastAsia"/>
              </w:rPr>
              <w:t>《良好卫生规范》等</w:t>
            </w:r>
          </w:p>
        </w:tc>
        <w:tc>
          <w:tcPr>
            <w:tcW w:w="1585" w:type="dxa"/>
            <w:vMerge w:val="restart"/>
            <w:shd w:val="clear" w:color="auto" w:fill="auto"/>
          </w:tcPr>
          <w:p>
            <w:r>
              <w:rPr>
                <w:rFonts w:hint="eastAsia"/>
              </w:rPr>
              <w:sym w:font="Wingdings 2" w:char="0052"/>
            </w:r>
            <w:r>
              <w:rPr>
                <w:rFonts w:hint="eastAsia"/>
              </w:rPr>
              <w:t>符合</w:t>
            </w:r>
          </w:p>
          <w:p>
            <w:r>
              <w:rPr>
                <w:rFonts w:hint="eastAsia"/>
              </w:rPr>
              <w:sym w:font="Wingdings 2" w:char="00A3"/>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p>
            <w:r>
              <w:rPr>
                <w:rFonts w:hint="eastAsia"/>
              </w:rPr>
              <w:t>企业应建立、实施、监视、验证、保持并在必要时更新或改进前提计划，以持续满足HACCP体系所需的卫生条件。企业的前提计划应经批准并保留记录。</w:t>
            </w:r>
          </w:p>
          <w:p>
            <w:pPr>
              <w:pStyle w:val="13"/>
              <w:rPr>
                <w:u w:val="single"/>
              </w:rPr>
            </w:pPr>
            <w:r>
              <w:rPr>
                <w:rFonts w:hint="eastAsia"/>
                <w:u w:val="single"/>
              </w:rPr>
              <w:t>见1.2.3审核记录</w:t>
            </w:r>
          </w:p>
          <w:p>
            <w:pPr>
              <w:pStyle w:val="13"/>
              <w:rPr>
                <w:u w:val="single"/>
              </w:rPr>
            </w:pPr>
            <w:r>
              <w:rPr>
                <w:rFonts w:hint="eastAsia"/>
                <w:u w:val="single"/>
              </w:rPr>
              <w:t>策划形成了《良好卫生规范》/《前提方案》、《人力资源管理程序》、《过敏原管理程序》、《预防食品欺诈控制程序》等程序文件，基本满足标准中有关前提计划的要求，详见“3.2至3.13的审核记录”。</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33" w:type="dxa"/>
            <w:vMerge w:val="restart"/>
            <w:shd w:val="clear" w:color="auto" w:fill="auto"/>
          </w:tcPr>
          <w:p>
            <w:r>
              <w:rPr>
                <w:rFonts w:hint="eastAsia"/>
              </w:rPr>
              <w:t>应急准备和响应/应急预案</w:t>
            </w:r>
          </w:p>
        </w:tc>
        <w:tc>
          <w:tcPr>
            <w:tcW w:w="1040" w:type="dxa"/>
            <w:vMerge w:val="restart"/>
            <w:shd w:val="clear" w:color="auto" w:fill="auto"/>
          </w:tcPr>
          <w:p>
            <w:r>
              <w:rPr>
                <w:rFonts w:hint="eastAsia"/>
              </w:rPr>
              <w:t>F8.4</w:t>
            </w:r>
          </w:p>
          <w:p>
            <w:r>
              <w:rPr>
                <w:rFonts w:hint="eastAsia"/>
              </w:rPr>
              <w:t>H(V1.0)</w:t>
            </w:r>
          </w:p>
          <w:p>
            <w:r>
              <w:rPr>
                <w:rFonts w:hint="eastAsia"/>
              </w:rPr>
              <w:t xml:space="preserve">3.13 </w:t>
            </w:r>
          </w:p>
        </w:tc>
        <w:tc>
          <w:tcPr>
            <w:tcW w:w="893" w:type="dxa"/>
            <w:shd w:val="clear" w:color="auto" w:fill="auto"/>
          </w:tcPr>
          <w:p>
            <w:r>
              <w:rPr>
                <w:rFonts w:hint="eastAsia"/>
              </w:rPr>
              <w:t>文件名称</w:t>
            </w:r>
          </w:p>
        </w:tc>
        <w:tc>
          <w:tcPr>
            <w:tcW w:w="9373" w:type="dxa"/>
            <w:shd w:val="clear" w:color="auto" w:fill="auto"/>
          </w:tcPr>
          <w:p>
            <w:r>
              <w:rPr>
                <w:rFonts w:hint="eastAsia"/>
              </w:rPr>
              <w:t>如：</w:t>
            </w:r>
            <w:r>
              <w:rPr>
                <w:rFonts w:hint="eastAsia"/>
              </w:rPr>
              <w:sym w:font="Wingdings" w:char="00FE"/>
            </w:r>
            <w:r>
              <w:rPr>
                <w:rFonts w:hint="eastAsia"/>
              </w:rPr>
              <w:t>《应急准备与响应控制程序》、</w:t>
            </w:r>
            <w:r>
              <w:rPr>
                <w:rFonts w:hint="eastAsia"/>
              </w:rPr>
              <w:sym w:font="Wingdings" w:char="00FE"/>
            </w:r>
            <w:r>
              <w:rPr>
                <w:rFonts w:hint="eastAsia"/>
              </w:rPr>
              <w:t>《应急预案》</w:t>
            </w:r>
          </w:p>
        </w:tc>
        <w:tc>
          <w:tcPr>
            <w:tcW w:w="1585" w:type="dxa"/>
            <w:vMerge w:val="restart"/>
            <w:shd w:val="clear" w:color="auto" w:fill="auto"/>
          </w:tcPr>
          <w:p>
            <w:r>
              <w:rPr/>
              <w:sym w:font="Wingdings 2" w:char="0052"/>
            </w:r>
            <w:r>
              <w:rPr>
                <w:rFonts w:hint="eastAsia"/>
              </w:rPr>
              <w:t>符合</w:t>
            </w:r>
          </w:p>
          <w:p>
            <w:pPr>
              <w:rPr>
                <w:highlight w:val="yellow"/>
              </w:rPr>
            </w:pPr>
            <w:r>
              <w:rPr>
                <w:rFonts w:hint="eastAsia"/>
              </w:rPr>
              <w:t>口不符合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p>
            <w:r>
              <w:rPr>
                <w:rFonts w:hint="eastAsia"/>
              </w:rPr>
              <w:t>经询问了解：审核周期内未发生影响食品安全事故和/或紧急情况，公司已建立</w:t>
            </w:r>
            <w:r>
              <w:rPr>
                <w:rFonts w:hint="eastAsia"/>
              </w:rPr>
              <w:sym w:font="Wingdings" w:char="00FE"/>
            </w:r>
            <w:r>
              <w:rPr>
                <w:rFonts w:hint="eastAsia"/>
              </w:rPr>
              <w:t>《应急准备与响应控制程序》、</w:t>
            </w:r>
            <w:r>
              <w:rPr>
                <w:rFonts w:hint="eastAsia"/>
              </w:rPr>
              <w:sym w:font="Wingdings" w:char="00A8"/>
            </w:r>
            <w:r>
              <w:rPr>
                <w:rFonts w:hint="eastAsia"/>
              </w:rPr>
              <w:t>《应急预案》，并且由食品安全小组牵头组织进行演练，经过评审基本可以达到演练效果，</w:t>
            </w:r>
            <w:r>
              <w:rPr>
                <w:rFonts w:hint="eastAsia"/>
                <w:u w:val="single"/>
              </w:rPr>
              <w:t>具体“见配送部审核记录”</w:t>
            </w:r>
          </w:p>
        </w:tc>
        <w:tc>
          <w:tcPr>
            <w:tcW w:w="1585" w:type="dxa"/>
            <w:vMerge w:val="continue"/>
            <w:shd w:val="clear" w:color="auto" w:fill="auto"/>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33" w:type="dxa"/>
            <w:vMerge w:val="restart"/>
            <w:shd w:val="clear" w:color="auto" w:fill="auto"/>
          </w:tcPr>
          <w:p>
            <w:r>
              <w:rPr>
                <w:rFonts w:hint="eastAsia"/>
              </w:rPr>
              <w:t>监视、测量、分析和评价</w:t>
            </w:r>
          </w:p>
          <w:p/>
        </w:tc>
        <w:tc>
          <w:tcPr>
            <w:tcW w:w="1040" w:type="dxa"/>
            <w:vMerge w:val="restart"/>
            <w:shd w:val="clear" w:color="auto" w:fill="auto"/>
          </w:tcPr>
          <w:p>
            <w:r>
              <w:rPr>
                <w:rFonts w:hint="eastAsia"/>
              </w:rPr>
              <w:t>F9.1.1</w:t>
            </w:r>
          </w:p>
          <w:p/>
        </w:tc>
        <w:tc>
          <w:tcPr>
            <w:tcW w:w="893" w:type="dxa"/>
            <w:shd w:val="clear" w:color="auto" w:fill="auto"/>
          </w:tcPr>
          <w:p>
            <w:r>
              <w:rPr>
                <w:rFonts w:hint="eastAsia"/>
              </w:rPr>
              <w:t>文件名称</w:t>
            </w:r>
          </w:p>
        </w:tc>
        <w:tc>
          <w:tcPr>
            <w:tcW w:w="9373" w:type="dxa"/>
            <w:shd w:val="clear" w:color="auto" w:fill="auto"/>
          </w:tcPr>
          <w:p>
            <w:pPr>
              <w:rPr>
                <w:b/>
                <w:bCs/>
              </w:rPr>
            </w:pPr>
            <w:r>
              <w:rPr>
                <w:rFonts w:hint="eastAsia"/>
              </w:rPr>
              <w:t>如：</w:t>
            </w:r>
            <w:r>
              <w:rPr>
                <w:rFonts w:hint="eastAsia"/>
              </w:rPr>
              <w:sym w:font="Wingdings" w:char="00FE"/>
            </w:r>
            <w:r>
              <w:rPr>
                <w:rFonts w:hint="eastAsia"/>
              </w:rPr>
              <w:t>管理手册9.1.1条款</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p>
            <w:r>
              <w:rPr>
                <w:rFonts w:hint="eastAsia"/>
              </w:rPr>
              <w:t>组织对监视和测量的质量食品安全绩效：</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456"/>
              <w:gridCol w:w="1867"/>
              <w:gridCol w:w="1809"/>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监视和测量的对象</w:t>
                  </w:r>
                </w:p>
              </w:tc>
              <w:tc>
                <w:tcPr>
                  <w:tcW w:w="2456" w:type="dxa"/>
                </w:tcPr>
                <w:p>
                  <w:pPr>
                    <w:rPr>
                      <w:szCs w:val="21"/>
                    </w:rPr>
                  </w:pPr>
                  <w:r>
                    <w:rPr>
                      <w:rFonts w:hint="eastAsia"/>
                      <w:szCs w:val="21"/>
                    </w:rPr>
                    <w:t>监视、测量、分析和评价的方法</w:t>
                  </w:r>
                </w:p>
              </w:tc>
              <w:tc>
                <w:tcPr>
                  <w:tcW w:w="1867" w:type="dxa"/>
                </w:tcPr>
                <w:p>
                  <w:pPr>
                    <w:rPr>
                      <w:szCs w:val="21"/>
                    </w:rPr>
                  </w:pPr>
                  <w:r>
                    <w:rPr>
                      <w:rFonts w:hint="eastAsia"/>
                      <w:szCs w:val="21"/>
                    </w:rPr>
                    <w:t>监视和测量的频次和时机</w:t>
                  </w:r>
                </w:p>
              </w:tc>
              <w:tc>
                <w:tcPr>
                  <w:tcW w:w="1809" w:type="dxa"/>
                </w:tcPr>
                <w:p>
                  <w:pPr>
                    <w:rPr>
                      <w:szCs w:val="21"/>
                    </w:rPr>
                  </w:pPr>
                  <w:r>
                    <w:rPr>
                      <w:rFonts w:hint="eastAsia"/>
                      <w:szCs w:val="21"/>
                    </w:rPr>
                    <w:t>评价其质量/食品安全绩效所依据的准则和适当的参数</w:t>
                  </w:r>
                </w:p>
              </w:tc>
              <w:tc>
                <w:tcPr>
                  <w:tcW w:w="1738" w:type="dxa"/>
                </w:tcPr>
                <w:p>
                  <w:pPr>
                    <w:rPr>
                      <w:szCs w:val="21"/>
                    </w:rPr>
                  </w:pPr>
                  <w:r>
                    <w:rPr>
                      <w:rFonts w:hint="eastAsia"/>
                      <w:szCs w:val="21"/>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水质和产品检测</w:t>
                  </w:r>
                </w:p>
              </w:tc>
              <w:tc>
                <w:tcPr>
                  <w:tcW w:w="2456" w:type="dxa"/>
                </w:tcPr>
                <w:p>
                  <w:pPr>
                    <w:rPr>
                      <w:szCs w:val="21"/>
                    </w:rPr>
                  </w:pPr>
                  <w:r>
                    <w:rPr>
                      <w:rFonts w:hint="eastAsia"/>
                      <w:szCs w:val="21"/>
                    </w:rPr>
                    <w:t>水质：每季度从当地公示网站获取水质报告</w:t>
                  </w:r>
                </w:p>
                <w:p>
                  <w:pPr>
                    <w:pStyle w:val="13"/>
                    <w:rPr>
                      <w:rFonts w:hint="eastAsia"/>
                    </w:rPr>
                  </w:pPr>
                </w:p>
                <w:p>
                  <w:pPr>
                    <w:rPr>
                      <w:szCs w:val="21"/>
                    </w:rPr>
                  </w:pPr>
                  <w:r>
                    <w:rPr>
                      <w:rFonts w:hint="eastAsia"/>
                      <w:szCs w:val="21"/>
                    </w:rPr>
                    <w:t>产品：果蔬等抽取部分每年送检；其他预包装产品以索取供方报告为主</w:t>
                  </w:r>
                </w:p>
              </w:tc>
              <w:tc>
                <w:tcPr>
                  <w:tcW w:w="1867" w:type="dxa"/>
                </w:tcPr>
                <w:p>
                  <w:pPr>
                    <w:widowControl/>
                    <w:spacing w:before="40"/>
                    <w:jc w:val="left"/>
                    <w:rPr>
                      <w:color w:val="000000"/>
                      <w:szCs w:val="21"/>
                    </w:rPr>
                  </w:pPr>
                  <w:r>
                    <w:rPr>
                      <w:rFonts w:hint="eastAsia"/>
                      <w:szCs w:val="21"/>
                    </w:rPr>
                    <w:t>口每月</w:t>
                  </w:r>
                  <w:r>
                    <w:rPr>
                      <w:rFonts w:hint="eastAsia"/>
                      <w:color w:val="000000"/>
                      <w:szCs w:val="21"/>
                    </w:rPr>
                    <w:t xml:space="preserve"> </w:t>
                  </w:r>
                </w:p>
                <w:p>
                  <w:pPr>
                    <w:widowControl/>
                    <w:spacing w:before="40"/>
                    <w:jc w:val="left"/>
                    <w:rPr>
                      <w:szCs w:val="21"/>
                    </w:rPr>
                  </w:pPr>
                  <w:r>
                    <w:rPr>
                      <w:rFonts w:hint="eastAsia"/>
                      <w:color w:val="000000"/>
                      <w:szCs w:val="21"/>
                    </w:rPr>
                    <w:sym w:font="Wingdings 2" w:char="0052"/>
                  </w:r>
                  <w:r>
                    <w:rPr>
                      <w:rFonts w:hint="eastAsia"/>
                      <w:szCs w:val="21"/>
                    </w:rPr>
                    <w:t>每季度</w:t>
                  </w:r>
                </w:p>
                <w:p>
                  <w:pPr>
                    <w:pStyle w:val="13"/>
                    <w:rPr>
                      <w:rFonts w:hint="eastAsia"/>
                    </w:rPr>
                  </w:pPr>
                </w:p>
                <w:p>
                  <w:pPr>
                    <w:widowControl/>
                    <w:spacing w:before="40"/>
                    <w:jc w:val="left"/>
                    <w:rPr>
                      <w:color w:val="000000"/>
                      <w:szCs w:val="21"/>
                    </w:rPr>
                  </w:pPr>
                  <w:r>
                    <w:rPr>
                      <w:rFonts w:hint="eastAsia"/>
                      <w:szCs w:val="21"/>
                    </w:rPr>
                    <w:t xml:space="preserve"> </w:t>
                  </w:r>
                  <w:r>
                    <w:rPr>
                      <w:rFonts w:hint="eastAsia"/>
                      <w:color w:val="000000"/>
                      <w:szCs w:val="21"/>
                    </w:rPr>
                    <w:sym w:font="Wingdings 2" w:char="0052"/>
                  </w:r>
                  <w:r>
                    <w:rPr>
                      <w:rFonts w:hint="eastAsia"/>
                      <w:color w:val="000000"/>
                      <w:szCs w:val="21"/>
                    </w:rPr>
                    <w:t xml:space="preserve">每年 </w:t>
                  </w:r>
                  <w:r>
                    <w:rPr>
                      <w:rFonts w:hint="eastAsia"/>
                      <w:color w:val="000000"/>
                      <w:szCs w:val="21"/>
                    </w:rPr>
                    <w:sym w:font="Wingdings 2" w:char="00A3"/>
                  </w:r>
                  <w:r>
                    <w:rPr>
                      <w:rFonts w:hint="eastAsia"/>
                      <w:szCs w:val="21"/>
                    </w:rPr>
                    <w:t>其他</w:t>
                  </w:r>
                </w:p>
              </w:tc>
              <w:tc>
                <w:tcPr>
                  <w:tcW w:w="1809" w:type="dxa"/>
                </w:tcPr>
                <w:p>
                  <w:pPr>
                    <w:pStyle w:val="6"/>
                    <w:rPr>
                      <w:sz w:val="21"/>
                      <w:szCs w:val="21"/>
                    </w:rPr>
                  </w:pPr>
                  <w:r>
                    <w:rPr>
                      <w:sz w:val="21"/>
                      <w:szCs w:val="21"/>
                    </w:rPr>
                    <w:t>GB5749-2006</w:t>
                  </w:r>
                </w:p>
                <w:p>
                  <w:pPr>
                    <w:pStyle w:val="6"/>
                    <w:rPr>
                      <w:sz w:val="21"/>
                      <w:szCs w:val="21"/>
                    </w:rPr>
                  </w:pPr>
                </w:p>
                <w:p>
                  <w:pPr>
                    <w:pStyle w:val="6"/>
                    <w:rPr>
                      <w:sz w:val="21"/>
                      <w:szCs w:val="21"/>
                    </w:rPr>
                  </w:pPr>
                </w:p>
                <w:p>
                  <w:pPr>
                    <w:pStyle w:val="6"/>
                    <w:rPr>
                      <w:rFonts w:hint="eastAsia"/>
                      <w:sz w:val="21"/>
                      <w:szCs w:val="21"/>
                    </w:rPr>
                  </w:pPr>
                </w:p>
                <w:p>
                  <w:pPr>
                    <w:pStyle w:val="6"/>
                    <w:rPr>
                      <w:rFonts w:hint="eastAsia"/>
                      <w:sz w:val="21"/>
                      <w:szCs w:val="21"/>
                    </w:rPr>
                  </w:pPr>
                  <w:r>
                    <w:rPr>
                      <w:rFonts w:hint="eastAsia"/>
                      <w:sz w:val="21"/>
                      <w:szCs w:val="21"/>
                    </w:rPr>
                    <w:t>各类产品标准</w:t>
                  </w:r>
                </w:p>
              </w:tc>
              <w:tc>
                <w:tcPr>
                  <w:tcW w:w="1738" w:type="dxa"/>
                </w:tcPr>
                <w:p>
                  <w:pPr>
                    <w:widowControl/>
                    <w:spacing w:before="40"/>
                    <w:jc w:val="left"/>
                    <w:rPr>
                      <w:szCs w:val="21"/>
                    </w:rPr>
                  </w:pPr>
                  <w:r>
                    <w:rPr>
                      <w:rFonts w:hint="eastAsia"/>
                      <w:szCs w:val="21"/>
                    </w:rPr>
                    <w:t xml:space="preserve">□每月 </w:t>
                  </w:r>
                </w:p>
                <w:p>
                  <w:pPr>
                    <w:widowControl/>
                    <w:spacing w:before="40"/>
                    <w:jc w:val="left"/>
                    <w:rPr>
                      <w:szCs w:val="21"/>
                    </w:rPr>
                  </w:pPr>
                  <w:r>
                    <w:rPr>
                      <w:rFonts w:ascii="Segoe UI Symbol" w:hAnsi="Segoe UI Symbol" w:cs="Segoe UI Symbol"/>
                      <w:szCs w:val="21"/>
                    </w:rPr>
                    <w:t>☑</w:t>
                  </w:r>
                  <w:r>
                    <w:rPr>
                      <w:rFonts w:hint="eastAsia"/>
                      <w:szCs w:val="21"/>
                    </w:rPr>
                    <w:t>每季度</w:t>
                  </w:r>
                </w:p>
                <w:p>
                  <w:pPr>
                    <w:pStyle w:val="13"/>
                    <w:rPr>
                      <w:bCs w:val="0"/>
                      <w:spacing w:val="0"/>
                      <w:szCs w:val="21"/>
                    </w:rPr>
                  </w:pPr>
                </w:p>
                <w:p>
                  <w:pPr>
                    <w:widowControl/>
                    <w:spacing w:before="40"/>
                    <w:jc w:val="left"/>
                    <w:rPr>
                      <w:szCs w:val="21"/>
                    </w:rPr>
                  </w:pPr>
                  <w:r>
                    <w:rPr>
                      <w:rFonts w:ascii="Segoe UI Symbol" w:hAnsi="Segoe UI Symbol" w:cs="Segoe UI Symbol"/>
                      <w:szCs w:val="21"/>
                    </w:rPr>
                    <w:t>☑</w:t>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过程</w:t>
                  </w:r>
                </w:p>
              </w:tc>
              <w:tc>
                <w:tcPr>
                  <w:tcW w:w="2456" w:type="dxa"/>
                </w:tcPr>
                <w:p>
                  <w:pPr>
                    <w:rPr>
                      <w:szCs w:val="21"/>
                    </w:rPr>
                  </w:pPr>
                  <w:r>
                    <w:rPr>
                      <w:rFonts w:hint="eastAsia"/>
                      <w:szCs w:val="21"/>
                    </w:rPr>
                    <w:t>现场巡视</w:t>
                  </w:r>
                </w:p>
                <w:p>
                  <w:pPr>
                    <w:rPr>
                      <w:szCs w:val="21"/>
                    </w:rPr>
                  </w:pPr>
                  <w:r>
                    <w:rPr>
                      <w:rFonts w:hint="eastAsia"/>
                      <w:szCs w:val="21"/>
                    </w:rPr>
                    <w:t>抽查记录</w:t>
                  </w:r>
                </w:p>
                <w:p>
                  <w:pPr>
                    <w:rPr>
                      <w:szCs w:val="21"/>
                    </w:rPr>
                  </w:pPr>
                  <w:r>
                    <w:rPr>
                      <w:rFonts w:hint="eastAsia"/>
                      <w:szCs w:val="21"/>
                    </w:rPr>
                    <w:t>对目标、供方业绩、过程业绩、满意度进行统计</w:t>
                  </w:r>
                </w:p>
              </w:tc>
              <w:tc>
                <w:tcPr>
                  <w:tcW w:w="1867" w:type="dxa"/>
                </w:tcPr>
                <w:p>
                  <w:pPr>
                    <w:rPr>
                      <w:szCs w:val="21"/>
                    </w:rPr>
                  </w:pPr>
                  <w:r>
                    <w:rPr>
                      <w:rFonts w:ascii="Segoe UI Emoji" w:hAnsi="Segoe UI Emoji" w:cs="Segoe UI Emoji"/>
                      <w:color w:val="000000"/>
                      <w:sz w:val="15"/>
                      <w:szCs w:val="15"/>
                    </w:rPr>
                    <w:t>☑</w:t>
                  </w:r>
                  <w:r>
                    <w:rPr>
                      <w:rFonts w:hint="eastAsia"/>
                      <w:szCs w:val="21"/>
                    </w:rPr>
                    <w:t>定期检查</w:t>
                  </w:r>
                </w:p>
                <w:p>
                  <w:pPr>
                    <w:rPr>
                      <w:szCs w:val="21"/>
                    </w:rPr>
                  </w:pPr>
                  <w:r>
                    <w:rPr>
                      <w:rFonts w:ascii="Segoe UI Emoji" w:hAnsi="Segoe UI Emoji" w:cs="Segoe UI Emoji"/>
                      <w:color w:val="000000"/>
                      <w:sz w:val="15"/>
                      <w:szCs w:val="15"/>
                    </w:rPr>
                    <w:t>☑</w:t>
                  </w:r>
                  <w:r>
                    <w:rPr>
                      <w:rFonts w:hint="eastAsia"/>
                      <w:szCs w:val="21"/>
                    </w:rPr>
                    <w:t>抽查</w:t>
                  </w:r>
                </w:p>
                <w:p>
                  <w:pPr>
                    <w:rPr>
                      <w:szCs w:val="21"/>
                    </w:rPr>
                  </w:pPr>
                  <w:r>
                    <w:rPr>
                      <w:rFonts w:ascii="Segoe UI Emoji" w:hAnsi="Segoe UI Emoji" w:cs="Segoe UI Emoji"/>
                      <w:color w:val="000000"/>
                      <w:sz w:val="15"/>
                      <w:szCs w:val="15"/>
                    </w:rPr>
                    <w:t>☑</w:t>
                  </w:r>
                  <w:r>
                    <w:rPr>
                      <w:rFonts w:hint="eastAsia"/>
                      <w:color w:val="000000"/>
                      <w:szCs w:val="21"/>
                    </w:rPr>
                    <w:t>每年</w:t>
                  </w:r>
                </w:p>
              </w:tc>
              <w:tc>
                <w:tcPr>
                  <w:tcW w:w="1809" w:type="dxa"/>
                </w:tcPr>
                <w:p>
                  <w:pPr>
                    <w:rPr>
                      <w:szCs w:val="21"/>
                    </w:rPr>
                  </w:pPr>
                  <w:r>
                    <w:rPr>
                      <w:rFonts w:hint="eastAsia"/>
                      <w:szCs w:val="21"/>
                    </w:rPr>
                    <w:t>前提方案/良好卫生规范、危害控制计划等</w:t>
                  </w:r>
                </w:p>
              </w:tc>
              <w:tc>
                <w:tcPr>
                  <w:tcW w:w="1738" w:type="dxa"/>
                </w:tcPr>
                <w:p>
                  <w:pPr>
                    <w:widowControl/>
                    <w:spacing w:before="40"/>
                    <w:jc w:val="left"/>
                    <w:rPr>
                      <w:color w:val="000000"/>
                      <w:szCs w:val="21"/>
                    </w:rPr>
                  </w:pPr>
                  <w:r>
                    <w:rPr>
                      <w:rFonts w:ascii="Segoe UI Emoji" w:hAnsi="Segoe UI Emoji" w:cs="Segoe UI Emoji"/>
                      <w:color w:val="000000"/>
                      <w:sz w:val="15"/>
                      <w:szCs w:val="15"/>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w:t>
                  </w:r>
                </w:p>
              </w:tc>
              <w:tc>
                <w:tcPr>
                  <w:tcW w:w="2456" w:type="dxa"/>
                </w:tcPr>
                <w:p>
                  <w:pPr>
                    <w:rPr>
                      <w:szCs w:val="21"/>
                    </w:rPr>
                  </w:pPr>
                  <w:r>
                    <w:rPr>
                      <w:rFonts w:hint="eastAsia"/>
                      <w:szCs w:val="21"/>
                    </w:rPr>
                    <w:t>内部审核；对内审不符合项进行分析</w:t>
                  </w:r>
                </w:p>
              </w:tc>
              <w:tc>
                <w:tcPr>
                  <w:tcW w:w="1867" w:type="dxa"/>
                </w:tcPr>
                <w:p>
                  <w:pPr>
                    <w:rPr>
                      <w:szCs w:val="21"/>
                    </w:rPr>
                  </w:pPr>
                  <w:r>
                    <w:rPr>
                      <w:rFonts w:ascii="Segoe UI Emoji" w:hAnsi="Segoe UI Emoji" w:cs="Segoe UI Emoji"/>
                      <w:color w:val="000000"/>
                      <w:sz w:val="15"/>
                      <w:szCs w:val="15"/>
                    </w:rPr>
                    <w:t>☑</w:t>
                  </w:r>
                  <w:r>
                    <w:rPr>
                      <w:rFonts w:hint="eastAsia"/>
                      <w:szCs w:val="21"/>
                    </w:rPr>
                    <w:t>按年度内审计划</w:t>
                  </w:r>
                </w:p>
                <w:p>
                  <w:pPr>
                    <w:rPr>
                      <w:szCs w:val="21"/>
                    </w:rPr>
                  </w:pPr>
                  <w:r>
                    <w:rPr>
                      <w:rFonts w:hint="eastAsia"/>
                      <w:color w:val="000000"/>
                      <w:szCs w:val="21"/>
                    </w:rPr>
                    <w:sym w:font="Wingdings 2" w:char="0052"/>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1809" w:type="dxa"/>
                </w:tcPr>
                <w:p>
                  <w:r>
                    <w:rPr>
                      <w:rFonts w:hint="eastAsia"/>
                    </w:rPr>
                    <w:t>ISO22000：2018</w:t>
                  </w:r>
                </w:p>
                <w:p>
                  <w:pPr>
                    <w:pStyle w:val="6"/>
                  </w:pPr>
                  <w:r>
                    <w:rPr>
                      <w:rFonts w:hint="eastAsia"/>
                      <w:szCs w:val="21"/>
                    </w:rPr>
                    <w:t>HACCP体系认证要求V1.0</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体系有效性</w:t>
                  </w:r>
                </w:p>
              </w:tc>
              <w:tc>
                <w:tcPr>
                  <w:tcW w:w="2456" w:type="dxa"/>
                </w:tcPr>
                <w:p>
                  <w:pPr>
                    <w:rPr>
                      <w:szCs w:val="21"/>
                    </w:rPr>
                  </w:pPr>
                  <w:r>
                    <w:rPr>
                      <w:rFonts w:hint="eastAsia"/>
                      <w:szCs w:val="21"/>
                    </w:rPr>
                    <w:t>管理评审，对QMS/FSMS存在的需要问题进行分析</w:t>
                  </w:r>
                </w:p>
              </w:tc>
              <w:tc>
                <w:tcPr>
                  <w:tcW w:w="1867"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r>
                    <w:rPr>
                      <w:rFonts w:hint="eastAsia"/>
                      <w:color w:val="000000"/>
                      <w:szCs w:val="21"/>
                    </w:rPr>
                    <w:sym w:font="Wingdings 2" w:char="0052"/>
                  </w:r>
                  <w:r>
                    <w:rPr>
                      <w:rFonts w:hint="eastAsia"/>
                      <w:color w:val="000000"/>
                      <w:szCs w:val="21"/>
                    </w:rPr>
                    <w:t>特殊情况增加</w:t>
                  </w:r>
                </w:p>
              </w:tc>
              <w:tc>
                <w:tcPr>
                  <w:tcW w:w="1809" w:type="dxa"/>
                </w:tcPr>
                <w:p>
                  <w:r>
                    <w:rPr>
                      <w:rFonts w:hint="eastAsia"/>
                    </w:rPr>
                    <w:t>ISO22000：2018</w:t>
                  </w:r>
                </w:p>
                <w:p>
                  <w:pPr>
                    <w:rPr>
                      <w:szCs w:val="21"/>
                    </w:rPr>
                  </w:pPr>
                  <w:r>
                    <w:rPr>
                      <w:rFonts w:hint="eastAsia"/>
                      <w:szCs w:val="21"/>
                    </w:rPr>
                    <w:t>HACCP体系认证要求V1.0</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szCs w:val="21"/>
                    </w:rPr>
                  </w:pPr>
                  <w:r>
                    <w:rPr>
                      <w:rFonts w:hint="eastAsia"/>
                      <w:szCs w:val="21"/>
                    </w:rPr>
                    <w:t>相关方反馈</w:t>
                  </w:r>
                </w:p>
              </w:tc>
              <w:tc>
                <w:tcPr>
                  <w:tcW w:w="2456" w:type="dxa"/>
                </w:tcPr>
                <w:p>
                  <w:pPr>
                    <w:rPr>
                      <w:szCs w:val="21"/>
                    </w:rPr>
                  </w:pPr>
                  <w:r>
                    <w:rPr>
                      <w:rFonts w:hint="eastAsia"/>
                      <w:szCs w:val="21"/>
                    </w:rPr>
                    <w:t>反馈处理，对问题进行统计</w:t>
                  </w:r>
                </w:p>
              </w:tc>
              <w:tc>
                <w:tcPr>
                  <w:tcW w:w="1867" w:type="dxa"/>
                </w:tcPr>
                <w:p>
                  <w:pPr>
                    <w:rPr>
                      <w:szCs w:val="21"/>
                    </w:rPr>
                  </w:pPr>
                  <w:r>
                    <w:rPr>
                      <w:rFonts w:ascii="Segoe UI Symbol" w:hAnsi="Segoe UI Symbol" w:cs="Segoe UI Symbol"/>
                      <w:szCs w:val="21"/>
                    </w:rPr>
                    <w:t>☑</w:t>
                  </w:r>
                  <w:r>
                    <w:rPr>
                      <w:rFonts w:hint="eastAsia"/>
                      <w:szCs w:val="21"/>
                    </w:rPr>
                    <w:t>发生时进行处理</w:t>
                  </w:r>
                </w:p>
                <w:p>
                  <w:pPr>
                    <w:rPr>
                      <w:szCs w:val="21"/>
                    </w:rPr>
                  </w:pPr>
                  <w:r>
                    <w:rPr>
                      <w:rFonts w:hint="eastAsia"/>
                      <w:szCs w:val="21"/>
                    </w:rPr>
                    <w:t>□每年一次</w:t>
                  </w:r>
                </w:p>
              </w:tc>
              <w:tc>
                <w:tcPr>
                  <w:tcW w:w="1809" w:type="dxa"/>
                </w:tcPr>
                <w:p>
                  <w:pPr>
                    <w:rPr>
                      <w:szCs w:val="21"/>
                    </w:rPr>
                  </w:pPr>
                  <w:r>
                    <w:rPr>
                      <w:rFonts w:hint="eastAsia"/>
                      <w:szCs w:val="21"/>
                    </w:rPr>
                    <w:t>按企业程序文件,顾客满意度调查</w:t>
                  </w:r>
                  <w:r>
                    <w:rPr>
                      <w:szCs w:val="21"/>
                    </w:rPr>
                    <w:t xml:space="preserve"> </w:t>
                  </w:r>
                </w:p>
              </w:tc>
              <w:tc>
                <w:tcPr>
                  <w:tcW w:w="1738"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bl>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33" w:type="dxa"/>
            <w:vMerge w:val="restart"/>
            <w:shd w:val="clear" w:color="auto" w:fill="auto"/>
          </w:tcPr>
          <w:p>
            <w:r>
              <w:rPr>
                <w:rFonts w:hint="eastAsia"/>
              </w:rPr>
              <w:t>内部审核</w:t>
            </w:r>
          </w:p>
        </w:tc>
        <w:tc>
          <w:tcPr>
            <w:tcW w:w="1040" w:type="dxa"/>
            <w:vMerge w:val="restart"/>
            <w:shd w:val="clear" w:color="auto" w:fill="auto"/>
          </w:tcPr>
          <w:p>
            <w:r>
              <w:rPr>
                <w:rFonts w:hint="eastAsia"/>
              </w:rPr>
              <w:t>F9.2</w:t>
            </w:r>
          </w:p>
          <w:p>
            <w:r>
              <w:rPr>
                <w:rFonts w:hint="eastAsia"/>
              </w:rPr>
              <w:t>H(V1.0)</w:t>
            </w:r>
          </w:p>
          <w:p>
            <w:r>
              <w:rPr>
                <w:rFonts w:hint="eastAsia"/>
              </w:rPr>
              <w:t>5.3</w:t>
            </w:r>
          </w:p>
          <w:p>
            <w:pPr>
              <w:pStyle w:val="4"/>
            </w:pPr>
          </w:p>
        </w:tc>
        <w:tc>
          <w:tcPr>
            <w:tcW w:w="893" w:type="dxa"/>
            <w:shd w:val="clear" w:color="auto" w:fill="auto"/>
          </w:tcPr>
          <w:p>
            <w:r>
              <w:rPr>
                <w:rFonts w:hint="eastAsia"/>
              </w:rPr>
              <w:t>文件名称</w:t>
            </w:r>
          </w:p>
        </w:tc>
        <w:tc>
          <w:tcPr>
            <w:tcW w:w="9373" w:type="dxa"/>
            <w:shd w:val="clear" w:color="auto" w:fill="auto"/>
          </w:tcPr>
          <w:p>
            <w:r>
              <w:rPr/>
              <w:sym w:font="Wingdings" w:char="00FE"/>
            </w:r>
            <w:r>
              <w:rPr>
                <w:rFonts w:hint="eastAsia"/>
              </w:rPr>
              <w:t>《内审控制程序》</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p>
            <w:pPr>
              <w:widowControl/>
              <w:spacing w:before="40"/>
              <w:jc w:val="left"/>
              <w:rPr>
                <w:color w:val="000000"/>
                <w:szCs w:val="18"/>
              </w:rPr>
            </w:pPr>
            <w:r>
              <w:rPr>
                <w:rFonts w:hint="eastAsia"/>
                <w:color w:val="000000"/>
                <w:szCs w:val="21"/>
              </w:rPr>
              <w:t>☑</w:t>
            </w:r>
            <w:r>
              <w:rPr>
                <w:rFonts w:hint="eastAsia"/>
                <w:color w:val="000000"/>
                <w:szCs w:val="18"/>
              </w:rPr>
              <w:t>自管理体系建立后/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202</w:t>
            </w:r>
            <w:r>
              <w:rPr>
                <w:rFonts w:hint="eastAsia"/>
                <w:color w:val="000000"/>
                <w:szCs w:val="18"/>
                <w:u w:val="single"/>
              </w:rPr>
              <w:t>2</w:t>
            </w:r>
            <w:r>
              <w:rPr>
                <w:color w:val="000000"/>
                <w:szCs w:val="18"/>
                <w:u w:val="single"/>
              </w:rPr>
              <w:t xml:space="preserve"> </w:t>
            </w:r>
            <w:r>
              <w:rPr>
                <w:rFonts w:hint="eastAsia"/>
                <w:color w:val="000000"/>
                <w:szCs w:val="18"/>
              </w:rPr>
              <w:t>年</w:t>
            </w:r>
            <w:r>
              <w:rPr>
                <w:rFonts w:hint="eastAsia"/>
                <w:color w:val="000000"/>
                <w:szCs w:val="18"/>
                <w:u w:val="single"/>
              </w:rPr>
              <w:t xml:space="preserve"> 4</w:t>
            </w:r>
            <w:r>
              <w:rPr>
                <w:rFonts w:hint="eastAsia"/>
                <w:color w:val="000000"/>
                <w:szCs w:val="18"/>
              </w:rPr>
              <w:t>月</w:t>
            </w:r>
            <w:r>
              <w:rPr>
                <w:rFonts w:hint="eastAsia"/>
                <w:color w:val="000000"/>
                <w:szCs w:val="18"/>
                <w:u w:val="single"/>
              </w:rPr>
              <w:t xml:space="preserve"> </w:t>
            </w:r>
            <w:r>
              <w:rPr>
                <w:color w:val="000000"/>
                <w:szCs w:val="18"/>
                <w:u w:val="single"/>
              </w:rPr>
              <w:t>2</w:t>
            </w:r>
            <w:r>
              <w:rPr>
                <w:rFonts w:hint="eastAsia"/>
                <w:color w:val="000000"/>
                <w:szCs w:val="18"/>
                <w:u w:val="single"/>
              </w:rPr>
              <w:t>-</w:t>
            </w:r>
            <w:r>
              <w:rPr>
                <w:color w:val="000000"/>
                <w:szCs w:val="18"/>
                <w:u w:val="single"/>
              </w:rPr>
              <w:t xml:space="preserve">3 </w:t>
            </w:r>
            <w:r>
              <w:rPr>
                <w:rFonts w:hint="eastAsia"/>
                <w:color w:val="000000"/>
                <w:szCs w:val="18"/>
              </w:rPr>
              <w:t>日实施了FSMS/HACCP内部审核；</w:t>
            </w:r>
          </w:p>
          <w:p>
            <w:pPr>
              <w:widowControl/>
              <w:spacing w:before="40"/>
              <w:jc w:val="left"/>
              <w:rPr>
                <w:color w:val="000000"/>
                <w:szCs w:val="18"/>
              </w:rPr>
            </w:pPr>
            <w:r>
              <w:rPr>
                <w:rFonts w:hint="eastAsia"/>
                <w:color w:val="000000"/>
                <w:szCs w:val="18"/>
              </w:rPr>
              <w:t>记录包括：</w:t>
            </w:r>
          </w:p>
          <w:p>
            <w:pPr>
              <w:widowControl/>
              <w:spacing w:before="40"/>
              <w:jc w:val="left"/>
              <w:rPr>
                <w:color w:val="000000"/>
                <w:szCs w:val="18"/>
              </w:rPr>
            </w:pPr>
            <w:r>
              <w:rPr>
                <w:rFonts w:hint="eastAsia"/>
                <w:color w:val="000000"/>
                <w:szCs w:val="18"/>
              </w:rPr>
              <w:t>《内审计划》：有</w:t>
            </w:r>
            <w:r>
              <w:rPr>
                <w:color w:val="000000"/>
                <w:szCs w:val="18"/>
                <w:u w:val="single"/>
              </w:rPr>
              <w:t>3</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 xml:space="preserve">《内审员证书》 </w:t>
            </w:r>
            <w:r>
              <w:rPr>
                <w:rFonts w:ascii="Segoe UI Symbol" w:hAnsi="Segoe UI Symbol" w:cs="Segoe UI Symbol"/>
              </w:rPr>
              <w:t>☑</w:t>
            </w:r>
            <w:r>
              <w:rPr>
                <w:rFonts w:hint="eastAsia"/>
                <w:color w:val="000000"/>
                <w:szCs w:val="21"/>
              </w:rPr>
              <w:t>有内审员培训记录</w:t>
            </w:r>
          </w:p>
          <w:p>
            <w:pPr>
              <w:widowControl/>
              <w:spacing w:before="40"/>
              <w:ind w:firstLine="420" w:firstLineChars="200"/>
              <w:jc w:val="left"/>
              <w:rPr>
                <w:color w:val="000000"/>
                <w:szCs w:val="18"/>
              </w:rPr>
            </w:pPr>
            <w:r>
              <w:rPr>
                <w:rFonts w:hint="eastAsia" w:ascii="Calibri" w:hAnsi="Calibri"/>
              </w:rPr>
              <w:t>☑</w:t>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18"/>
              </w:rPr>
            </w:pPr>
            <w:r>
              <w:rPr>
                <w:rFonts w:hint="eastAsia"/>
                <w:color w:val="000000"/>
                <w:szCs w:val="21"/>
              </w:rPr>
              <w:sym w:font="Wingdings 2" w:char="0052"/>
            </w:r>
            <w:r>
              <w:rPr>
                <w:rFonts w:hint="eastAsia"/>
                <w:color w:val="000000"/>
                <w:szCs w:val="21"/>
              </w:rPr>
              <w:t>覆盖了全部过程和条款，</w:t>
            </w: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         </w:t>
            </w:r>
            <w:r>
              <w:rPr>
                <w:rFonts w:hint="eastAsia"/>
                <w:color w:val="000000"/>
                <w:szCs w:val="21"/>
              </w:rPr>
              <w:t xml:space="preserve">  </w:t>
            </w:r>
          </w:p>
          <w:p>
            <w:pPr>
              <w:widowControl/>
              <w:spacing w:before="40"/>
              <w:jc w:val="left"/>
              <w:rPr>
                <w:color w:val="000000"/>
                <w:szCs w:val="18"/>
              </w:rPr>
            </w:pPr>
            <w:r>
              <w:rPr>
                <w:rFonts w:hint="eastAsia"/>
                <w:color w:val="000000"/>
                <w:szCs w:val="18"/>
              </w:rPr>
              <w:t>《内审检查表》：</w:t>
            </w:r>
            <w:r>
              <w:rPr>
                <w:rFonts w:hint="eastAsia" w:ascii="Calibri" w:hAnsi="Calibri"/>
              </w:rPr>
              <w:sym w:font="Wingdings 2" w:char="0052"/>
            </w:r>
            <w:r>
              <w:rPr>
                <w:rFonts w:hint="eastAsia"/>
                <w:color w:val="000000"/>
                <w:szCs w:val="18"/>
              </w:rPr>
              <w:t xml:space="preserve">与内审计划一致 </w:t>
            </w:r>
            <w:r>
              <w:rPr>
                <w:rFonts w:hint="eastAsia"/>
                <w:color w:val="000000"/>
                <w:szCs w:val="21"/>
              </w:rPr>
              <w:sym w:font="Wingdings 2" w:char="00A3"/>
            </w:r>
            <w:r>
              <w:rPr>
                <w:rFonts w:hint="eastAsia"/>
                <w:color w:val="000000"/>
                <w:szCs w:val="21"/>
              </w:rPr>
              <w:t>与内审计划不一致缺少</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asciiTheme="minorEastAsia" w:hAnsiTheme="minorEastAsia" w:eastAsiaTheme="minorEastAsia"/>
                <w:color w:val="000000"/>
                <w:szCs w:val="21"/>
                <w:u w:val="single"/>
              </w:rPr>
              <w:t xml:space="preserve">管理层/食品安全小组、配送部、质检部、办公室等               </w:t>
            </w:r>
            <w:r>
              <w:rPr>
                <w:rFonts w:hint="eastAsia"/>
                <w:color w:val="000000"/>
                <w:szCs w:val="18"/>
                <w:u w:val="single"/>
              </w:rPr>
              <w:t xml:space="preserve"> </w:t>
            </w:r>
          </w:p>
          <w:p>
            <w:pPr>
              <w:widowControl/>
              <w:spacing w:before="40"/>
              <w:ind w:firstLine="420" w:firstLineChars="200"/>
              <w:jc w:val="left"/>
              <w:rPr>
                <w:color w:val="000000"/>
                <w:szCs w:val="18"/>
              </w:rPr>
            </w:pPr>
            <w:r>
              <w:rPr>
                <w:rFonts w:hint="eastAsia" w:ascii="Calibri" w:hAnsi="Calibri"/>
              </w:rPr>
              <w:t>☑</w:t>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sym w:font="Wingdings 2" w:char="0052"/>
            </w:r>
            <w:r>
              <w:rPr>
                <w:rFonts w:hint="eastAsia"/>
                <w:color w:val="000000"/>
                <w:szCs w:val="21"/>
              </w:rPr>
              <w:t>覆盖了全部过程和条款，</w:t>
            </w:r>
            <w:r>
              <w:rPr>
                <w:rFonts w:hint="eastAsia"/>
                <w:color w:val="000000"/>
                <w:szCs w:val="21"/>
                <w:u w:val="single"/>
              </w:rPr>
              <w:t>但策划中的F7.5条款与内审检查表内容不一致；</w:t>
            </w:r>
            <w:r>
              <w:rPr>
                <w:rFonts w:hint="eastAsia"/>
                <w:u w:val="single"/>
              </w:rPr>
              <w:t>已现场沟通</w:t>
            </w:r>
            <w:r>
              <w:rPr>
                <w:rFonts w:hint="eastAsia"/>
              </w:rPr>
              <w:t xml:space="preserve"> </w:t>
            </w:r>
          </w:p>
          <w:p>
            <w:pPr>
              <w:widowControl/>
              <w:spacing w:before="40"/>
              <w:ind w:firstLine="420" w:firstLineChars="200"/>
              <w:jc w:val="left"/>
              <w:rPr>
                <w:color w:val="000000"/>
                <w:szCs w:val="18"/>
              </w:rPr>
            </w:pPr>
            <w:r>
              <w:rPr>
                <w:rFonts w:hint="eastAsia"/>
                <w:color w:val="000000"/>
                <w:szCs w:val="21"/>
              </w:rPr>
              <w:sym w:font="Wingdings 2" w:char="00A3"/>
            </w: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《不符合项报告》</w:t>
            </w:r>
            <w:r>
              <w:rPr>
                <w:rFonts w:hint="eastAsia"/>
                <w:color w:val="000000"/>
                <w:szCs w:val="18"/>
                <w:u w:val="single"/>
              </w:rPr>
              <w:t xml:space="preserve"> 1</w:t>
            </w:r>
            <w:r>
              <w:rPr>
                <w:color w:val="000000"/>
                <w:szCs w:val="18"/>
                <w:u w:val="single"/>
              </w:rPr>
              <w:t xml:space="preserve">  </w:t>
            </w:r>
            <w:r>
              <w:rPr>
                <w:rFonts w:hint="eastAsia"/>
                <w:color w:val="000000"/>
                <w:szCs w:val="18"/>
              </w:rPr>
              <w:t>份；</w:t>
            </w:r>
          </w:p>
          <w:p>
            <w:pPr>
              <w:spacing w:line="360" w:lineRule="auto"/>
              <w:jc w:val="left"/>
              <w:rPr>
                <w:color w:val="000000"/>
                <w:szCs w:val="21"/>
                <w:u w:val="single"/>
              </w:rPr>
            </w:pPr>
            <w:r>
              <w:rPr>
                <w:rFonts w:hint="eastAsia"/>
                <w:color w:val="000000"/>
                <w:szCs w:val="18"/>
              </w:rPr>
              <w:t>涉及的条款号或问题简述：</w:t>
            </w:r>
            <w:r>
              <w:rPr>
                <w:rFonts w:hint="eastAsia"/>
                <w:color w:val="000000"/>
                <w:szCs w:val="21"/>
                <w:u w:val="single"/>
              </w:rPr>
              <w:t xml:space="preserve">  现场审核时未能提供水质第三方检测报告。不符合 ■ISO22000：2018标准8.2 条款 ■危害分析与关键控制点（HACCP）体系认证要求（V1.0）标准   3.3    条款规定    </w:t>
            </w:r>
          </w:p>
          <w:p>
            <w:pPr>
              <w:widowControl/>
              <w:spacing w:before="40"/>
              <w:ind w:firstLine="420" w:firstLineChars="200"/>
              <w:jc w:val="left"/>
            </w:pPr>
            <w:r>
              <w:rPr>
                <w:rFonts w:hint="eastAsia" w:ascii="Calibri" w:hAnsi="Calibri"/>
              </w:rPr>
              <w:sym w:font="Wingdings 2" w:char="0052"/>
            </w:r>
            <w:r>
              <w:rPr>
                <w:rFonts w:hint="eastAsia"/>
              </w:rPr>
              <w:t>不符合项已关闭，提供了不符合报告并进行了验证。另外提供了培训记录。</w:t>
            </w:r>
          </w:p>
          <w:p>
            <w:pPr>
              <w:widowControl/>
              <w:spacing w:before="40"/>
              <w:ind w:firstLine="420" w:firstLineChars="200"/>
              <w:jc w:val="left"/>
            </w:pPr>
            <w:r>
              <w:rPr>
                <w:rFonts w:hint="eastAsia"/>
              </w:rPr>
              <w:sym w:font="Wingdings" w:char="00A8"/>
            </w:r>
            <w:r>
              <w:rPr>
                <w:rFonts w:hint="eastAsia"/>
              </w:rPr>
              <w:t xml:space="preserve">不符合项部分关闭   </w:t>
            </w:r>
          </w:p>
          <w:p>
            <w:pPr>
              <w:widowControl/>
              <w:spacing w:before="40"/>
              <w:ind w:firstLine="420" w:firstLineChars="20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rPr>
                <w:color w:val="000000"/>
                <w:szCs w:val="21"/>
              </w:rPr>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ascii="Calibri" w:hAnsi="Calibri"/>
              </w:rPr>
              <w:t>☑</w:t>
            </w:r>
            <w:r>
              <w:rPr>
                <w:rFonts w:hint="eastAsia"/>
              </w:rPr>
              <w:t xml:space="preserve">体系运行有效  </w:t>
            </w:r>
            <w:r>
              <w:rPr>
                <w:rFonts w:hint="eastAsia"/>
              </w:rPr>
              <w:sym w:font="Wingdings" w:char="00A8"/>
            </w:r>
            <w:r>
              <w:rPr>
                <w:rFonts w:hint="eastAsia"/>
              </w:rPr>
              <w:t xml:space="preserve">体系运行基本有效   </w:t>
            </w:r>
          </w:p>
          <w:p>
            <w:pPr>
              <w:widowControl/>
              <w:spacing w:before="40"/>
              <w:jc w:val="left"/>
              <w:rPr>
                <w:color w:val="000000"/>
                <w:szCs w:val="21"/>
                <w:u w:val="single"/>
              </w:rPr>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pStyle w:val="4"/>
            </w:pPr>
          </w:p>
          <w:p>
            <w:pPr>
              <w:widowControl/>
              <w:spacing w:before="40"/>
              <w:jc w:val="left"/>
              <w:rPr>
                <w:color w:val="000000"/>
                <w:szCs w:val="21"/>
              </w:rPr>
            </w:pPr>
            <w:r>
              <w:rPr>
                <w:rFonts w:hint="eastAsia"/>
                <w:color w:val="000000"/>
                <w:szCs w:val="21"/>
              </w:rPr>
              <w:t>本次现场审核时，上述不符合项的纠正措施的有效性</w:t>
            </w:r>
          </w:p>
          <w:p>
            <w:pPr>
              <w:widowControl/>
              <w:spacing w:before="40"/>
              <w:jc w:val="left"/>
            </w:pPr>
            <w:r>
              <w:rPr>
                <w:rFonts w:ascii="Segoe UI Symbol" w:hAnsi="Segoe UI Symbol" w:cs="Segoe UI Symbol"/>
                <w:color w:val="000000"/>
                <w:szCs w:val="21"/>
              </w:rPr>
              <w:t>☑</w:t>
            </w:r>
            <w:r>
              <w:rPr>
                <w:rFonts w:hint="eastAsia"/>
                <w:color w:val="000000"/>
                <w:szCs w:val="21"/>
              </w:rPr>
              <w:t xml:space="preserve">不符合项未发生  </w:t>
            </w:r>
            <w:r>
              <w:rPr>
                <w:rFonts w:hint="eastAsia"/>
                <w:color w:val="000000"/>
                <w:szCs w:val="21"/>
              </w:rPr>
              <w:sym w:font="Wingdings" w:char="00A8"/>
            </w:r>
            <w:r>
              <w:rPr>
                <w:rFonts w:hint="eastAsia"/>
                <w:color w:val="000000"/>
                <w:szCs w:val="21"/>
              </w:rPr>
              <w:t xml:space="preserve">不符合项仍然存在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33" w:type="dxa"/>
            <w:vMerge w:val="restart"/>
            <w:shd w:val="clear" w:color="auto" w:fill="auto"/>
          </w:tcPr>
          <w:p>
            <w:r>
              <w:rPr>
                <w:rFonts w:hint="eastAsia"/>
              </w:rPr>
              <w:t>管理评审</w:t>
            </w:r>
          </w:p>
        </w:tc>
        <w:tc>
          <w:tcPr>
            <w:tcW w:w="1040" w:type="dxa"/>
            <w:vMerge w:val="restart"/>
            <w:shd w:val="clear" w:color="auto" w:fill="auto"/>
          </w:tcPr>
          <w:p>
            <w:r>
              <w:rPr>
                <w:rFonts w:hint="eastAsia"/>
              </w:rPr>
              <w:t>F9.3</w:t>
            </w:r>
          </w:p>
        </w:tc>
        <w:tc>
          <w:tcPr>
            <w:tcW w:w="893" w:type="dxa"/>
            <w:shd w:val="clear" w:color="auto" w:fill="auto"/>
          </w:tcPr>
          <w:p>
            <w:r>
              <w:rPr>
                <w:rFonts w:hint="eastAsia"/>
              </w:rPr>
              <w:t>文件名称</w:t>
            </w:r>
          </w:p>
        </w:tc>
        <w:tc>
          <w:tcPr>
            <w:tcW w:w="9373" w:type="dxa"/>
            <w:shd w:val="clear" w:color="auto" w:fill="auto"/>
          </w:tcPr>
          <w:p>
            <w:r>
              <w:rPr>
                <w:rFonts w:hint="eastAsia" w:ascii="宋体" w:hAnsi="宋体"/>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手册9.3条款、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《管理评审控制程序》</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pPr>
              <w:widowControl/>
              <w:spacing w:before="40"/>
              <w:jc w:val="left"/>
              <w:rPr>
                <w:color w:val="000000"/>
                <w:szCs w:val="18"/>
              </w:rPr>
            </w:pPr>
          </w:p>
          <w:p>
            <w:r>
              <w:rPr>
                <w:rFonts w:hint="eastAsia"/>
              </w:rPr>
              <w:t>运行证据</w:t>
            </w:r>
          </w:p>
        </w:tc>
        <w:tc>
          <w:tcPr>
            <w:tcW w:w="9373" w:type="dxa"/>
            <w:shd w:val="clear" w:color="auto" w:fill="auto"/>
          </w:tcPr>
          <w:p>
            <w:pPr>
              <w:widowControl/>
              <w:spacing w:before="40"/>
              <w:jc w:val="left"/>
              <w:rPr>
                <w:color w:val="000000"/>
                <w:szCs w:val="18"/>
              </w:rPr>
            </w:pPr>
            <w:r>
              <w:rPr>
                <w:rFonts w:hint="eastAsia"/>
                <w:color w:val="000000"/>
                <w:szCs w:val="18"/>
              </w:rPr>
              <w:t>自</w:t>
            </w:r>
            <w:r>
              <w:rPr/>
              <w:sym w:font="Wingdings" w:char="00A8"/>
            </w:r>
            <w:r>
              <w:rPr>
                <w:rFonts w:hint="eastAsia"/>
                <w:color w:val="000000"/>
                <w:szCs w:val="18"/>
              </w:rPr>
              <w:t>管理体系建立后/</w:t>
            </w:r>
            <w:r>
              <w:rPr/>
              <w:sym w:font="Wingdings" w:char="00FE"/>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202</w:t>
            </w:r>
            <w:r>
              <w:rPr>
                <w:rFonts w:hint="eastAsia"/>
                <w:color w:val="000000"/>
                <w:szCs w:val="18"/>
                <w:u w:val="single"/>
              </w:rPr>
              <w:t>2</w:t>
            </w:r>
            <w:r>
              <w:rPr>
                <w:color w:val="000000"/>
                <w:szCs w:val="18"/>
                <w:u w:val="single"/>
              </w:rPr>
              <w:t xml:space="preserve"> </w:t>
            </w:r>
            <w:r>
              <w:rPr>
                <w:rFonts w:hint="eastAsia"/>
                <w:color w:val="000000"/>
                <w:szCs w:val="18"/>
              </w:rPr>
              <w:t>年</w:t>
            </w:r>
            <w:r>
              <w:rPr>
                <w:rFonts w:hint="eastAsia"/>
                <w:color w:val="000000"/>
                <w:szCs w:val="18"/>
                <w:u w:val="single"/>
              </w:rPr>
              <w:t xml:space="preserve"> 4</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22</w:t>
            </w:r>
            <w:r>
              <w:rPr>
                <w:rFonts w:hint="eastAsia"/>
                <w:color w:val="000000"/>
                <w:szCs w:val="18"/>
                <w:u w:val="single"/>
              </w:rPr>
              <w:t xml:space="preserve"> </w:t>
            </w:r>
            <w:r>
              <w:rPr>
                <w:color w:val="000000"/>
                <w:szCs w:val="18"/>
                <w:u w:val="single"/>
              </w:rPr>
              <w:t xml:space="preserve"> </w:t>
            </w:r>
            <w:r>
              <w:rPr>
                <w:rFonts w:hint="eastAsia"/>
                <w:color w:val="000000"/>
                <w:szCs w:val="18"/>
              </w:rPr>
              <w:t>日实施了管理评审；</w:t>
            </w:r>
          </w:p>
          <w:p>
            <w:pPr>
              <w:widowControl/>
              <w:spacing w:before="40"/>
              <w:jc w:val="left"/>
              <w:rPr>
                <w:color w:val="000000"/>
                <w:szCs w:val="21"/>
              </w:rPr>
            </w:pPr>
            <w:r>
              <w:rPr>
                <w:rFonts w:hint="eastAsia"/>
                <w:color w:val="000000"/>
                <w:szCs w:val="18"/>
              </w:rPr>
              <w:t>查看</w:t>
            </w:r>
            <w:r>
              <w:rPr>
                <w:rFonts w:hint="eastAsia"/>
                <w:color w:val="000000"/>
                <w:szCs w:val="21"/>
              </w:rPr>
              <w:t>☑管理评审计划  ☑管理评审记录（工作总结）</w:t>
            </w:r>
          </w:p>
          <w:p>
            <w:pPr>
              <w:widowControl/>
              <w:spacing w:before="40"/>
              <w:jc w:val="left"/>
              <w:rPr>
                <w:color w:val="000000"/>
                <w:szCs w:val="18"/>
              </w:rPr>
            </w:pPr>
            <w:r>
              <w:rPr>
                <w:rFonts w:hint="eastAsia"/>
                <w:color w:val="000000"/>
                <w:szCs w:val="21"/>
              </w:rPr>
              <w:sym w:font="Wingdings 2" w:char="0052"/>
            </w:r>
            <w:r>
              <w:rPr>
                <w:rFonts w:hint="eastAsia"/>
                <w:color w:val="000000"/>
                <w:szCs w:val="21"/>
              </w:rPr>
              <w:t xml:space="preserve">管理评审纪要  </w:t>
            </w:r>
            <w:r>
              <w:rPr>
                <w:rFonts w:hint="eastAsia"/>
                <w:color w:val="000000"/>
                <w:szCs w:val="21"/>
              </w:rPr>
              <w:sym w:font="Wingdings 2" w:char="0052"/>
            </w:r>
            <w:r>
              <w:rPr>
                <w:rFonts w:hint="eastAsia"/>
                <w:color w:val="000000"/>
                <w:szCs w:val="21"/>
              </w:rPr>
              <w:t>管理评审报告</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9"/>
              <w:gridCol w:w="1991"/>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pacing w:before="40"/>
                    <w:jc w:val="left"/>
                    <w:rPr>
                      <w:color w:val="000000"/>
                      <w:szCs w:val="21"/>
                    </w:rPr>
                  </w:pPr>
                  <w:r>
                    <w:rPr>
                      <w:rFonts w:hint="eastAsia"/>
                      <w:color w:val="000000"/>
                      <w:szCs w:val="21"/>
                    </w:rPr>
                    <w:t>管理评审输入信息</w:t>
                  </w:r>
                </w:p>
              </w:tc>
              <w:tc>
                <w:tcPr>
                  <w:tcW w:w="1991" w:type="dxa"/>
                </w:tcPr>
                <w:p>
                  <w:pPr>
                    <w:widowControl/>
                    <w:spacing w:before="40"/>
                    <w:jc w:val="left"/>
                    <w:rPr>
                      <w:color w:val="000000"/>
                      <w:szCs w:val="21"/>
                    </w:rPr>
                  </w:pPr>
                  <w:r>
                    <w:rPr>
                      <w:rFonts w:hint="eastAsia"/>
                      <w:color w:val="000000"/>
                      <w:szCs w:val="21"/>
                    </w:rPr>
                    <w:t>评价</w:t>
                  </w:r>
                </w:p>
              </w:tc>
              <w:tc>
                <w:tcPr>
                  <w:tcW w:w="2783" w:type="dxa"/>
                </w:tcPr>
                <w:p>
                  <w:pPr>
                    <w:widowControl/>
                    <w:spacing w:before="40"/>
                    <w:jc w:val="left"/>
                    <w:rPr>
                      <w:color w:val="000000"/>
                      <w:szCs w:val="21"/>
                    </w:rPr>
                  </w:pPr>
                  <w:r>
                    <w:rPr>
                      <w:rFonts w:hint="eastAsia"/>
                      <w:color w:val="000000"/>
                      <w:szCs w:val="21"/>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pacing w:before="40"/>
                    <w:jc w:val="left"/>
                    <w:rPr>
                      <w:color w:val="000000"/>
                      <w:szCs w:val="21"/>
                    </w:rPr>
                  </w:pPr>
                  <w:r>
                    <w:rPr>
                      <w:rFonts w:hint="eastAsia"/>
                      <w:color w:val="000000"/>
                      <w:szCs w:val="21"/>
                    </w:rPr>
                    <w:sym w:font="Wingdings 2" w:char="0052"/>
                  </w:r>
                  <w:r>
                    <w:rPr>
                      <w:rFonts w:hint="eastAsia"/>
                    </w:rPr>
                    <w:t>以往管理评审所采取措施的情况；</w:t>
                  </w:r>
                </w:p>
              </w:tc>
              <w:tc>
                <w:tcPr>
                  <w:tcW w:w="1991" w:type="dxa"/>
                </w:tcPr>
                <w:p>
                  <w:pPr>
                    <w:widowControl/>
                    <w:spacing w:before="40"/>
                    <w:jc w:val="left"/>
                    <w:rPr>
                      <w:color w:val="000000"/>
                      <w:szCs w:val="21"/>
                    </w:rPr>
                  </w:pPr>
                  <w:r>
                    <w:rPr>
                      <w:rFonts w:hint="eastAsia"/>
                      <w:color w:val="000000"/>
                      <w:szCs w:val="21"/>
                    </w:rPr>
                    <w:sym w:font="Wingdings 2" w:char="0052"/>
                  </w:r>
                  <w:r>
                    <w:rPr>
                      <w:rFonts w:hint="eastAsia"/>
                      <w:color w:val="000000"/>
                      <w:szCs w:val="21"/>
                    </w:rPr>
                    <w:t xml:space="preserve">符合 </w:t>
                  </w:r>
                  <w:r>
                    <w:rPr>
                      <w:rFonts w:hint="eastAsia"/>
                      <w:color w:val="000000"/>
                      <w:szCs w:val="21"/>
                    </w:rPr>
                    <w:sym w:font="Wingdings 2" w:char="00A3"/>
                  </w:r>
                  <w:r>
                    <w:rPr>
                      <w:rFonts w:hint="eastAsia"/>
                      <w:color w:val="000000"/>
                      <w:szCs w:val="21"/>
                    </w:rPr>
                    <w:t>不符合</w:t>
                  </w:r>
                </w:p>
              </w:tc>
              <w:tc>
                <w:tcPr>
                  <w:tcW w:w="2783"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pacing w:before="40"/>
                    <w:jc w:val="left"/>
                    <w:rPr>
                      <w:color w:val="000000"/>
                      <w:szCs w:val="21"/>
                    </w:rPr>
                  </w:pPr>
                  <w:r>
                    <w:rPr>
                      <w:rFonts w:hint="eastAsia"/>
                    </w:rPr>
                    <w:sym w:font="Wingdings" w:char="00FE"/>
                  </w:r>
                  <w:r>
                    <w:rPr>
                      <w:rFonts w:hint="eastAsia"/>
                    </w:rPr>
                    <w:t xml:space="preserve"> </w:t>
                  </w:r>
                  <w:r>
                    <w:rPr>
                      <w:color w:val="000000"/>
                      <w:szCs w:val="21"/>
                    </w:rPr>
                    <w:t>组织所处形势的变化</w:t>
                  </w:r>
                  <w:r>
                    <w:rPr>
                      <w:rFonts w:hint="eastAsia"/>
                    </w:rPr>
                    <w:t>；</w:t>
                  </w:r>
                </w:p>
              </w:tc>
              <w:tc>
                <w:tcPr>
                  <w:tcW w:w="1991" w:type="dxa"/>
                </w:tcPr>
                <w:p>
                  <w:pPr>
                    <w:widowControl/>
                    <w:spacing w:before="40"/>
                    <w:jc w:val="left"/>
                    <w:rPr>
                      <w:color w:val="000000"/>
                      <w:szCs w:val="21"/>
                    </w:rPr>
                  </w:pPr>
                  <w:r>
                    <w:rPr>
                      <w:rFonts w:hint="eastAsia"/>
                      <w:color w:val="000000"/>
                      <w:szCs w:val="21"/>
                    </w:rPr>
                    <w:sym w:font="Wingdings 2" w:char="0052"/>
                  </w:r>
                  <w:r>
                    <w:rPr>
                      <w:rFonts w:hint="eastAsia"/>
                      <w:color w:val="000000"/>
                      <w:szCs w:val="21"/>
                    </w:rPr>
                    <w:t xml:space="preserve">符合 </w:t>
                  </w:r>
                  <w:r>
                    <w:rPr>
                      <w:rFonts w:hint="eastAsia"/>
                      <w:color w:val="000000"/>
                      <w:szCs w:val="21"/>
                    </w:rPr>
                    <w:sym w:font="Wingdings 2" w:char="00A3"/>
                  </w:r>
                  <w:r>
                    <w:rPr>
                      <w:rFonts w:hint="eastAsia"/>
                      <w:color w:val="000000"/>
                      <w:szCs w:val="21"/>
                    </w:rPr>
                    <w:t>不符合</w:t>
                  </w:r>
                </w:p>
              </w:tc>
              <w:tc>
                <w:tcPr>
                  <w:tcW w:w="2783" w:type="dxa"/>
                </w:tcPr>
                <w:p>
                  <w:pPr>
                    <w:widowControl/>
                    <w:spacing w:before="40"/>
                    <w:jc w:val="left"/>
                    <w:rPr>
                      <w:color w:val="000000"/>
                      <w:szCs w:val="21"/>
                    </w:rPr>
                  </w:pPr>
                  <w:r>
                    <w:rPr>
                      <w:rFonts w:hint="eastAsia"/>
                      <w:color w:val="000000"/>
                      <w:szCs w:val="21"/>
                    </w:rPr>
                    <w:t>无重大变化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pacing w:before="40"/>
                    <w:jc w:val="left"/>
                    <w:rPr>
                      <w:color w:val="000000"/>
                      <w:szCs w:val="21"/>
                    </w:rPr>
                  </w:pPr>
                  <w:r>
                    <w:rPr>
                      <w:color w:val="000000"/>
                      <w:szCs w:val="21"/>
                    </w:rPr>
                    <w:sym w:font="Wingdings" w:char="00FE"/>
                  </w:r>
                  <w:r>
                    <w:rPr>
                      <w:color w:val="000000"/>
                      <w:szCs w:val="21"/>
                    </w:rPr>
                    <w:t>发生的紧急情况、事故或撤回；</w:t>
                  </w:r>
                </w:p>
              </w:tc>
              <w:tc>
                <w:tcPr>
                  <w:tcW w:w="1991" w:type="dxa"/>
                </w:tcPr>
                <w:p>
                  <w:pPr>
                    <w:widowControl/>
                    <w:spacing w:before="40"/>
                    <w:jc w:val="left"/>
                    <w:rPr>
                      <w:color w:val="000000"/>
                      <w:szCs w:val="21"/>
                    </w:rPr>
                  </w:pPr>
                  <w:r>
                    <w:rPr>
                      <w:rFonts w:hint="eastAsia"/>
                      <w:color w:val="000000"/>
                      <w:szCs w:val="21"/>
                    </w:rPr>
                    <w:t>☑符合 □不符合</w:t>
                  </w:r>
                </w:p>
              </w:tc>
              <w:tc>
                <w:tcPr>
                  <w:tcW w:w="2783" w:type="dxa"/>
                </w:tcPr>
                <w:p>
                  <w:pPr>
                    <w:widowControl/>
                    <w:spacing w:before="40"/>
                    <w:jc w:val="left"/>
                    <w:rPr>
                      <w:color w:val="000000"/>
                      <w:szCs w:val="21"/>
                    </w:rPr>
                  </w:pPr>
                  <w:r>
                    <w:rPr>
                      <w:rFonts w:hint="eastAsia"/>
                      <w:color w:val="000000"/>
                      <w:szCs w:val="21"/>
                    </w:rPr>
                    <w:t>未发生，已进行演练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pacing w:before="40"/>
                    <w:jc w:val="left"/>
                    <w:rPr>
                      <w:color w:val="000000"/>
                      <w:szCs w:val="21"/>
                    </w:rPr>
                  </w:pPr>
                  <w:r>
                    <w:rPr>
                      <w:rFonts w:hint="eastAsia"/>
                      <w:color w:val="000000"/>
                      <w:szCs w:val="21"/>
                    </w:rPr>
                    <w:t>☑</w:t>
                  </w:r>
                  <w:r>
                    <w:rPr>
                      <w:color w:val="000000"/>
                      <w:szCs w:val="21"/>
                    </w:rPr>
                    <w:t>与食品安全管理体系有关的内部和外部因素变化，包括顾客和顾客投诉；</w:t>
                  </w:r>
                </w:p>
              </w:tc>
              <w:tc>
                <w:tcPr>
                  <w:tcW w:w="1991" w:type="dxa"/>
                </w:tcPr>
                <w:p>
                  <w:pPr>
                    <w:widowControl/>
                    <w:spacing w:before="40"/>
                    <w:jc w:val="left"/>
                    <w:rPr>
                      <w:color w:val="000000"/>
                      <w:szCs w:val="21"/>
                    </w:rPr>
                  </w:pPr>
                  <w:r>
                    <w:rPr>
                      <w:rFonts w:hint="eastAsia"/>
                      <w:color w:val="000000"/>
                      <w:szCs w:val="21"/>
                    </w:rPr>
                    <w:t>☑符合 □不符合</w:t>
                  </w:r>
                </w:p>
              </w:tc>
              <w:tc>
                <w:tcPr>
                  <w:tcW w:w="2783"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pacing w:before="40"/>
                    <w:jc w:val="left"/>
                    <w:rPr>
                      <w:color w:val="000000"/>
                      <w:szCs w:val="21"/>
                    </w:rPr>
                  </w:pPr>
                  <w:r>
                    <w:rPr>
                      <w:rFonts w:hint="eastAsia"/>
                      <w:color w:val="000000"/>
                      <w:szCs w:val="21"/>
                    </w:rPr>
                    <w:t>☑</w:t>
                  </w:r>
                  <w:r>
                    <w:rPr>
                      <w:color w:val="000000"/>
                      <w:szCs w:val="21"/>
                    </w:rPr>
                    <w:t>食品安全绩效和食品安全管理体系不符合和纠正措施</w:t>
                  </w:r>
                </w:p>
              </w:tc>
              <w:tc>
                <w:tcPr>
                  <w:tcW w:w="1991" w:type="dxa"/>
                </w:tcPr>
                <w:p>
                  <w:pPr>
                    <w:widowControl/>
                    <w:spacing w:before="40"/>
                    <w:jc w:val="left"/>
                    <w:rPr>
                      <w:color w:val="000000"/>
                      <w:szCs w:val="21"/>
                    </w:rPr>
                  </w:pPr>
                  <w:r>
                    <w:rPr>
                      <w:rFonts w:hint="eastAsia"/>
                      <w:color w:val="000000"/>
                      <w:szCs w:val="21"/>
                    </w:rPr>
                    <w:t>☑符合 □不符合</w:t>
                  </w:r>
                </w:p>
              </w:tc>
              <w:tc>
                <w:tcPr>
                  <w:tcW w:w="2783"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pacing w:before="40"/>
                    <w:jc w:val="left"/>
                    <w:rPr>
                      <w:color w:val="000000"/>
                      <w:szCs w:val="21"/>
                    </w:rPr>
                  </w:pPr>
                  <w:r>
                    <w:rPr>
                      <w:rFonts w:hint="eastAsia"/>
                      <w:color w:val="000000"/>
                      <w:szCs w:val="21"/>
                    </w:rPr>
                    <w:t>☑</w:t>
                  </w:r>
                  <w:r>
                    <w:rPr>
                      <w:rFonts w:hint="eastAsia"/>
                    </w:rPr>
                    <w:t>监视和测量结果及趋势</w:t>
                  </w:r>
                </w:p>
              </w:tc>
              <w:tc>
                <w:tcPr>
                  <w:tcW w:w="1991" w:type="dxa"/>
                </w:tcPr>
                <w:p>
                  <w:pPr>
                    <w:widowControl/>
                    <w:spacing w:before="40"/>
                    <w:jc w:val="left"/>
                    <w:rPr>
                      <w:color w:val="000000"/>
                      <w:szCs w:val="21"/>
                    </w:rPr>
                  </w:pPr>
                  <w:r>
                    <w:rPr>
                      <w:rFonts w:hint="eastAsia"/>
                      <w:color w:val="000000"/>
                      <w:szCs w:val="21"/>
                    </w:rPr>
                    <w:t>☑符合 □不符合</w:t>
                  </w:r>
                </w:p>
              </w:tc>
              <w:tc>
                <w:tcPr>
                  <w:tcW w:w="2783"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pacing w:before="40"/>
                    <w:jc w:val="left"/>
                    <w:rPr>
                      <w:color w:val="000000"/>
                      <w:szCs w:val="21"/>
                    </w:rPr>
                  </w:pPr>
                  <w:r>
                    <w:rPr>
                      <w:rFonts w:hint="eastAsia"/>
                      <w:color w:val="000000"/>
                      <w:szCs w:val="21"/>
                    </w:rPr>
                    <w:t>☑</w:t>
                  </w:r>
                  <w:r>
                    <w:rPr>
                      <w:color w:val="000000"/>
                      <w:szCs w:val="21"/>
                    </w:rPr>
                    <w:t>审核结果（内部和外部）包括执法检查结果</w:t>
                  </w:r>
                </w:p>
              </w:tc>
              <w:tc>
                <w:tcPr>
                  <w:tcW w:w="1991" w:type="dxa"/>
                </w:tcPr>
                <w:p>
                  <w:pPr>
                    <w:widowControl/>
                    <w:spacing w:before="40"/>
                    <w:jc w:val="left"/>
                    <w:rPr>
                      <w:color w:val="000000"/>
                      <w:szCs w:val="21"/>
                    </w:rPr>
                  </w:pPr>
                  <w:r>
                    <w:rPr>
                      <w:rFonts w:hint="eastAsia"/>
                      <w:color w:val="000000"/>
                      <w:szCs w:val="21"/>
                    </w:rPr>
                    <w:t>☑符合 □不符合</w:t>
                  </w:r>
                </w:p>
              </w:tc>
              <w:tc>
                <w:tcPr>
                  <w:tcW w:w="2783"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pacing w:before="40"/>
                    <w:jc w:val="left"/>
                    <w:rPr>
                      <w:color w:val="000000"/>
                      <w:szCs w:val="21"/>
                    </w:rPr>
                  </w:pPr>
                  <w:r>
                    <w:rPr>
                      <w:color w:val="000000"/>
                      <w:szCs w:val="21"/>
                    </w:rPr>
                    <w:sym w:font="Wingdings" w:char="00FE"/>
                  </w:r>
                  <w:r>
                    <w:rPr>
                      <w:color w:val="000000"/>
                      <w:szCs w:val="21"/>
                    </w:rPr>
                    <w:t>与PRP/</w:t>
                  </w:r>
                  <w:r>
                    <w:rPr>
                      <w:rFonts w:hint="eastAsia"/>
                      <w:color w:val="000000"/>
                      <w:szCs w:val="21"/>
                    </w:rPr>
                    <w:t>良好卫生规范</w:t>
                  </w:r>
                  <w:r>
                    <w:rPr>
                      <w:color w:val="000000"/>
                      <w:szCs w:val="21"/>
                    </w:rPr>
                    <w:t>、OPRP计划和HACCP计划有关的验证活动结果的分析</w:t>
                  </w:r>
                </w:p>
              </w:tc>
              <w:tc>
                <w:tcPr>
                  <w:tcW w:w="1991" w:type="dxa"/>
                </w:tcPr>
                <w:p>
                  <w:pPr>
                    <w:widowControl/>
                    <w:spacing w:before="40"/>
                    <w:jc w:val="left"/>
                    <w:rPr>
                      <w:color w:val="000000"/>
                      <w:szCs w:val="21"/>
                    </w:rPr>
                  </w:pPr>
                  <w:r>
                    <w:rPr>
                      <w:rFonts w:hint="eastAsia"/>
                      <w:color w:val="000000"/>
                      <w:szCs w:val="21"/>
                    </w:rPr>
                    <w:t>☑符合 □不符合</w:t>
                  </w:r>
                </w:p>
              </w:tc>
              <w:tc>
                <w:tcPr>
                  <w:tcW w:w="2783"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pacing w:before="40"/>
                    <w:jc w:val="left"/>
                  </w:pPr>
                  <w:r>
                    <w:rPr>
                      <w:rFonts w:hint="eastAsia"/>
                      <w:color w:val="000000"/>
                      <w:szCs w:val="21"/>
                    </w:rPr>
                    <w:t>☑</w:t>
                  </w:r>
                  <w:r>
                    <w:rPr>
                      <w:color w:val="000000"/>
                      <w:szCs w:val="21"/>
                    </w:rPr>
                    <w:t>实现食品安全管理体系目标的程度</w:t>
                  </w:r>
                </w:p>
              </w:tc>
              <w:tc>
                <w:tcPr>
                  <w:tcW w:w="1991" w:type="dxa"/>
                </w:tcPr>
                <w:p>
                  <w:pPr>
                    <w:widowControl/>
                    <w:spacing w:before="40"/>
                    <w:jc w:val="left"/>
                    <w:rPr>
                      <w:color w:val="000000"/>
                      <w:szCs w:val="21"/>
                    </w:rPr>
                  </w:pPr>
                  <w:r>
                    <w:rPr>
                      <w:rFonts w:hint="eastAsia"/>
                      <w:color w:val="000000"/>
                      <w:szCs w:val="21"/>
                    </w:rPr>
                    <w:t>☑符合 □不符合</w:t>
                  </w:r>
                </w:p>
              </w:tc>
              <w:tc>
                <w:tcPr>
                  <w:tcW w:w="2783"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pacing w:before="40"/>
                    <w:jc w:val="left"/>
                    <w:rPr>
                      <w:color w:val="000000"/>
                      <w:szCs w:val="21"/>
                    </w:rPr>
                  </w:pPr>
                  <w:r>
                    <w:rPr>
                      <w:rFonts w:hint="eastAsia"/>
                      <w:color w:val="000000"/>
                      <w:szCs w:val="21"/>
                    </w:rPr>
                    <w:t>☑</w:t>
                  </w:r>
                  <w:r>
                    <w:rPr>
                      <w:color w:val="000000"/>
                      <w:szCs w:val="21"/>
                    </w:rPr>
                    <w:t>外部供方绩效</w:t>
                  </w:r>
                </w:p>
              </w:tc>
              <w:tc>
                <w:tcPr>
                  <w:tcW w:w="1991" w:type="dxa"/>
                </w:tcPr>
                <w:p>
                  <w:pPr>
                    <w:widowControl/>
                    <w:spacing w:before="40"/>
                    <w:jc w:val="left"/>
                    <w:rPr>
                      <w:color w:val="000000"/>
                      <w:szCs w:val="21"/>
                    </w:rPr>
                  </w:pPr>
                  <w:r>
                    <w:rPr>
                      <w:rFonts w:hint="eastAsia"/>
                      <w:color w:val="000000"/>
                      <w:szCs w:val="21"/>
                    </w:rPr>
                    <w:t>☑符合 □不符合</w:t>
                  </w:r>
                </w:p>
              </w:tc>
              <w:tc>
                <w:tcPr>
                  <w:tcW w:w="2783"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pacing w:before="40"/>
                    <w:jc w:val="left"/>
                    <w:rPr>
                      <w:color w:val="000000"/>
                      <w:szCs w:val="21"/>
                    </w:rPr>
                  </w:pPr>
                  <w:r>
                    <w:rPr>
                      <w:color w:val="000000"/>
                      <w:szCs w:val="21"/>
                    </w:rPr>
                    <w:sym w:font="Wingdings" w:char="00FE"/>
                  </w:r>
                  <w:r>
                    <w:rPr>
                      <w:color w:val="000000"/>
                      <w:szCs w:val="21"/>
                    </w:rPr>
                    <w:t>体系更新活动的评审结果</w:t>
                  </w:r>
                  <w:r>
                    <w:rPr>
                      <w:rFonts w:hint="eastAsia"/>
                      <w:color w:val="000000"/>
                      <w:szCs w:val="21"/>
                    </w:rPr>
                    <w:t>的评审</w:t>
                  </w:r>
                </w:p>
              </w:tc>
              <w:tc>
                <w:tcPr>
                  <w:tcW w:w="1991" w:type="dxa"/>
                </w:tcPr>
                <w:p>
                  <w:pPr>
                    <w:widowControl/>
                    <w:spacing w:before="40"/>
                    <w:jc w:val="left"/>
                    <w:rPr>
                      <w:color w:val="000000"/>
                      <w:szCs w:val="21"/>
                    </w:rPr>
                  </w:pPr>
                  <w:r>
                    <w:rPr>
                      <w:rFonts w:hint="eastAsia"/>
                      <w:color w:val="000000"/>
                      <w:szCs w:val="21"/>
                    </w:rPr>
                    <w:t>☑符合 □不符合</w:t>
                  </w:r>
                </w:p>
              </w:tc>
              <w:tc>
                <w:tcPr>
                  <w:tcW w:w="2783"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pacing w:before="40"/>
                    <w:jc w:val="left"/>
                    <w:rPr>
                      <w:color w:val="000000"/>
                      <w:szCs w:val="21"/>
                    </w:rPr>
                  </w:pPr>
                  <w:r>
                    <w:rPr>
                      <w:rFonts w:hint="eastAsia"/>
                      <w:color w:val="000000"/>
                      <w:szCs w:val="21"/>
                    </w:rPr>
                    <w:t>☑</w:t>
                  </w:r>
                  <w:r>
                    <w:rPr>
                      <w:color w:val="000000"/>
                      <w:szCs w:val="21"/>
                    </w:rPr>
                    <w:t>顾客反馈的沟通活动</w:t>
                  </w:r>
                  <w:r>
                    <w:rPr>
                      <w:rFonts w:hint="eastAsia"/>
                      <w:color w:val="000000"/>
                      <w:szCs w:val="21"/>
                    </w:rPr>
                    <w:t>的评审</w:t>
                  </w:r>
                </w:p>
              </w:tc>
              <w:tc>
                <w:tcPr>
                  <w:tcW w:w="1991" w:type="dxa"/>
                </w:tcPr>
                <w:p>
                  <w:pPr>
                    <w:widowControl/>
                    <w:spacing w:before="40"/>
                    <w:jc w:val="left"/>
                    <w:rPr>
                      <w:color w:val="000000"/>
                      <w:szCs w:val="21"/>
                    </w:rPr>
                  </w:pPr>
                  <w:r>
                    <w:rPr>
                      <w:rFonts w:hint="eastAsia"/>
                      <w:color w:val="000000"/>
                      <w:szCs w:val="21"/>
                    </w:rPr>
                    <w:t>☑符合 □不符合</w:t>
                  </w:r>
                </w:p>
              </w:tc>
              <w:tc>
                <w:tcPr>
                  <w:tcW w:w="2783"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pacing w:before="40"/>
                    <w:jc w:val="left"/>
                  </w:pPr>
                  <w:r>
                    <w:rPr>
                      <w:rFonts w:hint="eastAsia"/>
                      <w:color w:val="000000"/>
                      <w:szCs w:val="21"/>
                    </w:rPr>
                    <w:t>☑</w:t>
                  </w:r>
                  <w:r>
                    <w:rPr>
                      <w:color w:val="000000"/>
                      <w:szCs w:val="21"/>
                    </w:rPr>
                    <w:t>紧急情况、事故或撤回</w:t>
                  </w:r>
                  <w:r>
                    <w:rPr>
                      <w:rFonts w:hint="eastAsia"/>
                      <w:color w:val="000000"/>
                      <w:szCs w:val="21"/>
                    </w:rPr>
                    <w:t>的评审</w:t>
                  </w:r>
                </w:p>
              </w:tc>
              <w:tc>
                <w:tcPr>
                  <w:tcW w:w="1991" w:type="dxa"/>
                </w:tcPr>
                <w:p>
                  <w:pPr>
                    <w:widowControl/>
                    <w:spacing w:before="40"/>
                    <w:jc w:val="left"/>
                    <w:rPr>
                      <w:color w:val="000000"/>
                      <w:szCs w:val="21"/>
                    </w:rPr>
                  </w:pPr>
                  <w:r>
                    <w:rPr>
                      <w:rFonts w:hint="eastAsia"/>
                      <w:color w:val="000000"/>
                      <w:szCs w:val="21"/>
                    </w:rPr>
                    <w:t>☑符合 □不符合</w:t>
                  </w:r>
                </w:p>
              </w:tc>
              <w:tc>
                <w:tcPr>
                  <w:tcW w:w="2783"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pacing w:before="40"/>
                    <w:jc w:val="left"/>
                  </w:pPr>
                  <w:r>
                    <w:rPr>
                      <w:rFonts w:hint="eastAsia"/>
                      <w:color w:val="000000"/>
                      <w:szCs w:val="21"/>
                    </w:rPr>
                    <w:t>☑</w:t>
                  </w:r>
                  <w:r>
                    <w:rPr>
                      <w:color w:val="000000"/>
                      <w:szCs w:val="21"/>
                    </w:rPr>
                    <w:t>持续改进的机会</w:t>
                  </w:r>
                  <w:r>
                    <w:rPr>
                      <w:rFonts w:hint="eastAsia"/>
                      <w:color w:val="000000"/>
                      <w:szCs w:val="21"/>
                    </w:rPr>
                    <w:t>的评审</w:t>
                  </w:r>
                </w:p>
              </w:tc>
              <w:tc>
                <w:tcPr>
                  <w:tcW w:w="1991" w:type="dxa"/>
                </w:tcPr>
                <w:p>
                  <w:pPr>
                    <w:widowControl/>
                    <w:spacing w:before="40"/>
                    <w:jc w:val="left"/>
                    <w:rPr>
                      <w:color w:val="000000"/>
                      <w:szCs w:val="21"/>
                    </w:rPr>
                  </w:pPr>
                  <w:r>
                    <w:rPr>
                      <w:rFonts w:hint="eastAsia"/>
                      <w:color w:val="000000"/>
                      <w:szCs w:val="21"/>
                    </w:rPr>
                    <w:t>☑符合 □不符合</w:t>
                  </w:r>
                </w:p>
              </w:tc>
              <w:tc>
                <w:tcPr>
                  <w:tcW w:w="2783"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pacing w:before="40"/>
                    <w:jc w:val="left"/>
                  </w:pPr>
                  <w:r>
                    <w:rPr>
                      <w:rFonts w:hint="eastAsia"/>
                      <w:color w:val="000000"/>
                      <w:szCs w:val="21"/>
                    </w:rPr>
                    <w:t>☑</w:t>
                  </w:r>
                  <w:r>
                    <w:rPr>
                      <w:rFonts w:hint="eastAsia"/>
                    </w:rPr>
                    <w:t>资源的充分性</w:t>
                  </w:r>
                </w:p>
              </w:tc>
              <w:tc>
                <w:tcPr>
                  <w:tcW w:w="1991" w:type="dxa"/>
                </w:tcPr>
                <w:p>
                  <w:pPr>
                    <w:widowControl/>
                    <w:spacing w:before="40"/>
                    <w:jc w:val="left"/>
                    <w:rPr>
                      <w:color w:val="000000"/>
                      <w:szCs w:val="21"/>
                    </w:rPr>
                  </w:pPr>
                  <w:r>
                    <w:rPr>
                      <w:rFonts w:hint="eastAsia"/>
                      <w:color w:val="000000"/>
                      <w:szCs w:val="21"/>
                    </w:rPr>
                    <w:t>☑符合 □不符合</w:t>
                  </w:r>
                </w:p>
              </w:tc>
              <w:tc>
                <w:tcPr>
                  <w:tcW w:w="2783"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pacing w:before="40"/>
                    <w:jc w:val="left"/>
                  </w:pPr>
                  <w:r>
                    <w:rPr>
                      <w:rFonts w:hint="eastAsia"/>
                      <w:color w:val="000000"/>
                      <w:szCs w:val="21"/>
                    </w:rPr>
                    <w:t>☑</w:t>
                  </w:r>
                  <w:r>
                    <w:rPr>
                      <w:color w:val="000000"/>
                      <w:szCs w:val="21"/>
                    </w:rPr>
                    <w:t>为应对风险和机遇所采取措施的有效性</w:t>
                  </w:r>
                </w:p>
              </w:tc>
              <w:tc>
                <w:tcPr>
                  <w:tcW w:w="1991" w:type="dxa"/>
                </w:tcPr>
                <w:p>
                  <w:pPr>
                    <w:widowControl/>
                    <w:spacing w:before="40"/>
                    <w:jc w:val="left"/>
                    <w:rPr>
                      <w:color w:val="000000"/>
                      <w:szCs w:val="21"/>
                    </w:rPr>
                  </w:pPr>
                  <w:r>
                    <w:rPr>
                      <w:rFonts w:hint="eastAsia"/>
                      <w:color w:val="000000"/>
                      <w:szCs w:val="21"/>
                    </w:rPr>
                    <w:t>☑符合 □不符合</w:t>
                  </w:r>
                </w:p>
              </w:tc>
              <w:tc>
                <w:tcPr>
                  <w:tcW w:w="2783" w:type="dxa"/>
                </w:tcPr>
                <w:p>
                  <w:pPr>
                    <w:widowControl/>
                    <w:spacing w:before="4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9" w:type="dxa"/>
                </w:tcPr>
                <w:p>
                  <w:pPr>
                    <w:widowControl/>
                    <w:spacing w:before="40"/>
                    <w:jc w:val="left"/>
                  </w:pPr>
                </w:p>
              </w:tc>
              <w:tc>
                <w:tcPr>
                  <w:tcW w:w="1991" w:type="dxa"/>
                </w:tcPr>
                <w:p>
                  <w:pPr>
                    <w:widowControl/>
                    <w:spacing w:before="40"/>
                    <w:jc w:val="left"/>
                    <w:rPr>
                      <w:color w:val="000000"/>
                      <w:szCs w:val="21"/>
                    </w:rPr>
                  </w:pPr>
                </w:p>
              </w:tc>
              <w:tc>
                <w:tcPr>
                  <w:tcW w:w="2783" w:type="dxa"/>
                </w:tcPr>
                <w:p>
                  <w:pPr>
                    <w:widowControl/>
                    <w:spacing w:before="40"/>
                    <w:jc w:val="left"/>
                    <w:rPr>
                      <w:color w:val="000000"/>
                      <w:szCs w:val="21"/>
                    </w:rPr>
                  </w:pPr>
                </w:p>
              </w:tc>
            </w:tr>
          </w:tbl>
          <w:p>
            <w:pPr>
              <w:widowControl/>
              <w:spacing w:before="40"/>
              <w:jc w:val="left"/>
              <w:rPr>
                <w:color w:val="000000"/>
                <w:szCs w:val="21"/>
              </w:rPr>
            </w:pPr>
          </w:p>
          <w:p>
            <w:pPr>
              <w:widowControl/>
              <w:spacing w:before="40"/>
              <w:jc w:val="left"/>
              <w:rPr>
                <w:color w:val="000000"/>
                <w:szCs w:val="21"/>
                <w:highlight w:val="cyan"/>
                <w:u w:val="single"/>
              </w:rPr>
            </w:pPr>
            <w:r>
              <w:rPr>
                <w:rFonts w:hint="eastAsia"/>
                <w:color w:val="000000"/>
                <w:szCs w:val="21"/>
              </w:rPr>
              <w:t>对食品安全管理体系的持续适宜性，充分性，有效性的结论。</w:t>
            </w:r>
            <w:r>
              <w:rPr>
                <w:rFonts w:hint="eastAsia"/>
                <w:color w:val="000000"/>
                <w:szCs w:val="21"/>
              </w:rPr>
              <w:sym w:font="Wingdings 2" w:char="0052"/>
            </w:r>
            <w:r>
              <w:rPr>
                <w:rFonts w:hint="eastAsia"/>
              </w:rPr>
              <w:t>满足</w:t>
            </w:r>
            <w:r>
              <w:rPr>
                <w:rFonts w:hint="eastAsia"/>
                <w:color w:val="000000"/>
                <w:szCs w:val="21"/>
              </w:rPr>
              <w:t xml:space="preserve"> □</w:t>
            </w:r>
            <w:r>
              <w:rPr>
                <w:rFonts w:hint="eastAsia"/>
              </w:rPr>
              <w:t>不满足，说明</w:t>
            </w:r>
            <w:r>
              <w:rPr>
                <w:rFonts w:hint="eastAsia"/>
                <w:u w:val="single"/>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369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18"/>
                    </w:rPr>
                    <w:t>管理评审输出信息（决策）</w:t>
                  </w:r>
                </w:p>
              </w:tc>
              <w:tc>
                <w:tcPr>
                  <w:tcW w:w="3695"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与持续改进机会相关的决策</w:t>
                  </w:r>
                </w:p>
              </w:tc>
              <w:tc>
                <w:tcPr>
                  <w:tcW w:w="3695" w:type="dxa"/>
                </w:tcPr>
                <w:p>
                  <w:pPr>
                    <w:widowControl/>
                    <w:spacing w:before="40"/>
                    <w:jc w:val="left"/>
                    <w:rPr>
                      <w:rFonts w:hint="eastAsia"/>
                      <w:color w:val="000000"/>
                      <w:szCs w:val="21"/>
                    </w:rPr>
                  </w:pPr>
                  <w:r>
                    <w:rPr>
                      <w:rFonts w:hint="eastAsia"/>
                      <w:color w:val="000000"/>
                      <w:szCs w:val="21"/>
                    </w:rPr>
                    <w:t>加强公司人员的新版 HACCP 体系的培训,提高管理水平；责任人：卢</w:t>
                  </w:r>
                </w:p>
                <w:p>
                  <w:pPr>
                    <w:widowControl/>
                    <w:spacing w:before="40"/>
                    <w:jc w:val="left"/>
                    <w:rPr>
                      <w:color w:val="000000"/>
                      <w:szCs w:val="21"/>
                    </w:rPr>
                  </w:pPr>
                  <w:r>
                    <w:rPr>
                      <w:rFonts w:hint="eastAsia"/>
                      <w:color w:val="000000"/>
                      <w:szCs w:val="21"/>
                    </w:rPr>
                    <w:t>利芬；整改期限：2022.08 月底</w:t>
                  </w:r>
                </w:p>
              </w:tc>
              <w:tc>
                <w:tcPr>
                  <w:tcW w:w="2496" w:type="dxa"/>
                </w:tcPr>
                <w:p>
                  <w:pPr>
                    <w:widowControl/>
                    <w:spacing w:before="40"/>
                    <w:jc w:val="left"/>
                    <w:rPr>
                      <w:color w:val="000000"/>
                      <w:szCs w:val="21"/>
                    </w:rPr>
                  </w:pPr>
                  <w:r>
                    <w:rPr>
                      <w:rFonts w:hint="eastAsia"/>
                      <w:color w:val="000000"/>
                      <w:szCs w:val="21"/>
                    </w:rPr>
                    <w:sym w:font="Wingdings 2" w:char="00A3"/>
                  </w:r>
                  <w:r>
                    <w:rPr>
                      <w:rFonts w:hint="eastAsia"/>
                    </w:rPr>
                    <w:t>已落实</w:t>
                  </w:r>
                  <w:r>
                    <w:rPr>
                      <w:rFonts w:hint="eastAsia"/>
                      <w:color w:val="000000"/>
                      <w:szCs w:val="21"/>
                    </w:rPr>
                    <w:t xml:space="preserve"> </w:t>
                  </w:r>
                  <w:r>
                    <w:rPr>
                      <w:rFonts w:hint="eastAsia" w:ascii="宋体" w:hAnsi="宋体"/>
                    </w:rPr>
                    <w:t>口</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食品安全管理体系所需的变更</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rPr>
                    <w:t>资源需求</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食品安全目标未实现所采取的措施。（需要时）</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改进食品安全管理体系与其他业务过程融合的机会。（需要时）</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2" w:type="dxa"/>
                </w:tcPr>
                <w:p>
                  <w:pPr>
                    <w:widowControl/>
                    <w:spacing w:before="40"/>
                    <w:jc w:val="left"/>
                    <w:rPr>
                      <w:color w:val="000000"/>
                      <w:szCs w:val="21"/>
                    </w:rPr>
                  </w:pPr>
                  <w:r>
                    <w:rPr>
                      <w:rFonts w:hint="eastAsia"/>
                      <w:color w:val="000000"/>
                      <w:szCs w:val="21"/>
                    </w:rPr>
                    <w:t>任何与组织战略方向相关的结论</w:t>
                  </w:r>
                </w:p>
              </w:tc>
              <w:tc>
                <w:tcPr>
                  <w:tcW w:w="3695" w:type="dxa"/>
                </w:tcPr>
                <w:p>
                  <w:pPr>
                    <w:widowControl/>
                    <w:spacing w:before="40"/>
                    <w:jc w:val="left"/>
                    <w:rPr>
                      <w:color w:val="000000"/>
                      <w:szCs w:val="21"/>
                    </w:rPr>
                  </w:pPr>
                  <w:r>
                    <w:rPr>
                      <w:rFonts w:hint="eastAsia"/>
                      <w:color w:val="000000"/>
                      <w:szCs w:val="21"/>
                    </w:rPr>
                    <w:t>——</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Pr>
              <w:rPr>
                <w:highlight w:val="cyan"/>
              </w:rPr>
            </w:pPr>
          </w:p>
          <w:p>
            <w:pPr>
              <w:rPr>
                <w:u w:val="single"/>
              </w:rPr>
            </w:pPr>
            <w:r>
              <w:rPr>
                <w:rFonts w:hint="eastAsia"/>
              </w:rPr>
              <w:sym w:font="Wingdings" w:char="00FE"/>
            </w:r>
            <w:r>
              <w:rPr>
                <w:rFonts w:hint="eastAsia"/>
              </w:rPr>
              <w:t>改进措施未落实的原因：</w:t>
            </w:r>
            <w:r>
              <w:rPr>
                <w:rFonts w:hint="eastAsia"/>
                <w:u w:val="single"/>
              </w:rPr>
              <w:t xml:space="preserve">    计划2022-0</w:t>
            </w:r>
            <w:r>
              <w:rPr>
                <w:u w:val="single"/>
              </w:rPr>
              <w:t>8</w:t>
            </w:r>
            <w:r>
              <w:rPr>
                <w:rFonts w:hint="eastAsia"/>
                <w:u w:val="single"/>
              </w:rPr>
              <w:t xml:space="preserve">前完成          </w:t>
            </w:r>
          </w:p>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33" w:type="dxa"/>
            <w:vMerge w:val="restart"/>
            <w:shd w:val="clear" w:color="auto" w:fill="auto"/>
          </w:tcPr>
          <w:p>
            <w:r>
              <w:rPr>
                <w:rFonts w:hint="eastAsia"/>
              </w:rPr>
              <w:t>管理评审</w:t>
            </w:r>
          </w:p>
          <w:p>
            <w:r>
              <w:rPr>
                <w:rFonts w:hint="eastAsia"/>
              </w:rPr>
              <w:t>总则</w:t>
            </w:r>
          </w:p>
        </w:tc>
        <w:tc>
          <w:tcPr>
            <w:tcW w:w="1040" w:type="dxa"/>
            <w:vMerge w:val="restart"/>
            <w:shd w:val="clear" w:color="auto" w:fill="auto"/>
          </w:tcPr>
          <w:p>
            <w:r>
              <w:rPr>
                <w:rFonts w:hint="eastAsia"/>
              </w:rPr>
              <w:t>H(V1.0)</w:t>
            </w:r>
          </w:p>
          <w:p>
            <w:r>
              <w:rPr>
                <w:rFonts w:hint="eastAsia"/>
              </w:rPr>
              <w:t xml:space="preserve">5.4.1 </w:t>
            </w:r>
          </w:p>
          <w:p/>
        </w:tc>
        <w:tc>
          <w:tcPr>
            <w:tcW w:w="893" w:type="dxa"/>
            <w:shd w:val="clear" w:color="auto" w:fill="auto"/>
          </w:tcPr>
          <w:p>
            <w:r>
              <w:rPr>
                <w:rFonts w:hint="eastAsia"/>
              </w:rPr>
              <w:t>文件名称</w:t>
            </w:r>
          </w:p>
        </w:tc>
        <w:tc>
          <w:tcPr>
            <w:tcW w:w="9373" w:type="dxa"/>
            <w:shd w:val="clear" w:color="auto" w:fill="auto"/>
          </w:tcPr>
          <w:p>
            <w:r>
              <w:rPr>
                <w:rFonts w:hint="eastAsia"/>
                <w:color w:val="000000"/>
                <w:szCs w:val="21"/>
              </w:rPr>
              <w:sym w:font="Wingdings 2" w:char="0052"/>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手册9.3条款、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《管理评审控制程序》</w:t>
            </w:r>
          </w:p>
        </w:tc>
        <w:tc>
          <w:tcPr>
            <w:tcW w:w="1585" w:type="dxa"/>
            <w:vMerge w:val="restart"/>
            <w:shd w:val="clear" w:color="auto" w:fill="auto"/>
          </w:tcPr>
          <w:p>
            <w:r>
              <w:rPr/>
              <w:sym w:font="Wingdings 2" w:char="0052"/>
            </w:r>
            <w:r>
              <w:rPr>
                <w:rFonts w:hint="eastAsia"/>
              </w:rPr>
              <w:t>符合</w:t>
            </w:r>
          </w:p>
          <w:p>
            <w:r>
              <w:rPr>
                <w:rFonts w:hint="eastAsia"/>
              </w:rPr>
              <w:sym w:font="Wingdings 2" w:char="0052"/>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p>
            <w:pPr>
              <w:widowControl/>
              <w:spacing w:before="40"/>
              <w:jc w:val="left"/>
              <w:rPr>
                <w:color w:val="000000"/>
                <w:szCs w:val="18"/>
              </w:rPr>
            </w:pPr>
            <w:r>
              <w:rPr>
                <w:rFonts w:hint="eastAsia"/>
                <w:color w:val="000000"/>
                <w:szCs w:val="18"/>
              </w:rPr>
              <w:t>自</w:t>
            </w:r>
            <w:r>
              <w:rPr/>
              <w:sym w:font="Wingdings" w:char="00A8"/>
            </w:r>
            <w:r>
              <w:rPr>
                <w:rFonts w:hint="eastAsia"/>
                <w:color w:val="000000"/>
                <w:szCs w:val="18"/>
              </w:rPr>
              <w:t>管理体系建立后/</w:t>
            </w:r>
            <w:r>
              <w:rPr/>
              <w:sym w:font="Wingdings" w:char="00FE"/>
            </w:r>
            <w:r>
              <w:rPr>
                <w:rFonts w:hint="eastAsia"/>
              </w:rPr>
              <w:t>近一年</w:t>
            </w:r>
            <w:r>
              <w:rPr>
                <w:rFonts w:hint="eastAsia"/>
                <w:color w:val="000000"/>
                <w:szCs w:val="18"/>
              </w:rPr>
              <w:t>，</w:t>
            </w:r>
            <w:r>
              <w:rPr>
                <w:rFonts w:hint="eastAsia"/>
              </w:rPr>
              <w:t>确保其持续的适宜性、充分性和有效性，</w:t>
            </w:r>
            <w:r>
              <w:rPr>
                <w:rFonts w:hint="eastAsia"/>
                <w:color w:val="000000"/>
                <w:szCs w:val="18"/>
              </w:rPr>
              <w:t>于</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2022</w:t>
            </w:r>
            <w:r>
              <w:rPr>
                <w:color w:val="000000"/>
                <w:szCs w:val="18"/>
                <w:u w:val="single"/>
              </w:rPr>
              <w:t xml:space="preserve"> </w:t>
            </w:r>
            <w:r>
              <w:rPr>
                <w:rFonts w:hint="eastAsia"/>
                <w:color w:val="000000"/>
                <w:szCs w:val="18"/>
              </w:rPr>
              <w:t>年</w:t>
            </w:r>
            <w:r>
              <w:rPr>
                <w:rFonts w:hint="eastAsia"/>
                <w:color w:val="000000"/>
                <w:szCs w:val="18"/>
                <w:u w:val="single"/>
              </w:rPr>
              <w:t>4</w:t>
            </w:r>
            <w:r>
              <w:rPr>
                <w:rFonts w:hint="eastAsia"/>
                <w:color w:val="000000"/>
                <w:szCs w:val="18"/>
              </w:rPr>
              <w:t>月</w:t>
            </w:r>
            <w:r>
              <w:rPr>
                <w:rFonts w:hint="eastAsia"/>
                <w:color w:val="000000"/>
                <w:szCs w:val="18"/>
                <w:u w:val="single"/>
              </w:rPr>
              <w:t xml:space="preserve"> </w:t>
            </w:r>
            <w:r>
              <w:rPr>
                <w:color w:val="000000"/>
                <w:szCs w:val="18"/>
                <w:u w:val="single"/>
              </w:rPr>
              <w:t xml:space="preserve">22 </w:t>
            </w:r>
            <w:r>
              <w:rPr>
                <w:rFonts w:hint="eastAsia"/>
                <w:color w:val="000000"/>
                <w:szCs w:val="18"/>
              </w:rPr>
              <w:t>日实施了管理评审；</w:t>
            </w:r>
          </w:p>
          <w:p>
            <w:pPr>
              <w:widowControl/>
              <w:spacing w:before="40"/>
              <w:jc w:val="left"/>
            </w:pPr>
            <w:r>
              <w:rPr>
                <w:rFonts w:hint="eastAsia"/>
                <w:color w:val="000000"/>
                <w:szCs w:val="18"/>
              </w:rPr>
              <w:t>查看</w:t>
            </w:r>
            <w:r>
              <w:rPr>
                <w:rFonts w:hint="eastAsia"/>
                <w:color w:val="000000"/>
                <w:szCs w:val="21"/>
              </w:rPr>
              <w:sym w:font="Wingdings 2" w:char="0052"/>
            </w:r>
            <w:r>
              <w:rPr>
                <w:rFonts w:hint="eastAsia"/>
                <w:color w:val="000000"/>
                <w:szCs w:val="21"/>
              </w:rPr>
              <w:t xml:space="preserve">管理评审计划  </w:t>
            </w:r>
            <w:r>
              <w:rPr>
                <w:rFonts w:hint="eastAsia"/>
                <w:color w:val="000000"/>
                <w:szCs w:val="21"/>
              </w:rPr>
              <w:sym w:font="Wingdings 2" w:char="0052"/>
            </w:r>
            <w:r>
              <w:rPr>
                <w:rFonts w:hint="eastAsia"/>
                <w:color w:val="000000"/>
                <w:szCs w:val="21"/>
              </w:rPr>
              <w:t xml:space="preserve">管理评审记录（工作总结）   </w:t>
            </w:r>
            <w:r>
              <w:rPr>
                <w:rFonts w:hint="eastAsia"/>
                <w:color w:val="000000"/>
                <w:szCs w:val="21"/>
              </w:rPr>
              <w:sym w:font="Wingdings 2" w:char="0052"/>
            </w:r>
            <w:r>
              <w:rPr>
                <w:rFonts w:hint="eastAsia"/>
                <w:color w:val="000000"/>
                <w:szCs w:val="21"/>
              </w:rPr>
              <w:t xml:space="preserve">管理评审纪要  </w:t>
            </w:r>
            <w:r>
              <w:rPr>
                <w:rFonts w:hint="eastAsia"/>
                <w:color w:val="000000"/>
                <w:szCs w:val="21"/>
              </w:rPr>
              <w:sym w:font="Wingdings 2" w:char="0052"/>
            </w:r>
            <w:r>
              <w:rPr>
                <w:rFonts w:hint="eastAsia"/>
                <w:color w:val="000000"/>
                <w:szCs w:val="21"/>
              </w:rPr>
              <w:t>管理评审报告</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33" w:type="dxa"/>
            <w:vMerge w:val="restart"/>
            <w:shd w:val="clear" w:color="auto" w:fill="auto"/>
          </w:tcPr>
          <w:p>
            <w:r>
              <w:rPr>
                <w:rFonts w:hint="eastAsia"/>
              </w:rPr>
              <w:t xml:space="preserve"> 评审输入</w:t>
            </w:r>
          </w:p>
        </w:tc>
        <w:tc>
          <w:tcPr>
            <w:tcW w:w="1040" w:type="dxa"/>
            <w:vMerge w:val="restart"/>
            <w:shd w:val="clear" w:color="auto" w:fill="auto"/>
          </w:tcPr>
          <w:p>
            <w:r>
              <w:rPr>
                <w:rFonts w:hint="eastAsia"/>
              </w:rPr>
              <w:t>H(V1.0)</w:t>
            </w:r>
          </w:p>
          <w:p>
            <w:r>
              <w:rPr>
                <w:rFonts w:hint="eastAsia"/>
              </w:rPr>
              <w:t>5.4.2</w:t>
            </w:r>
          </w:p>
          <w:p/>
        </w:tc>
        <w:tc>
          <w:tcPr>
            <w:tcW w:w="893" w:type="dxa"/>
            <w:shd w:val="clear" w:color="auto" w:fill="auto"/>
          </w:tcPr>
          <w:p>
            <w:r>
              <w:rPr>
                <w:rFonts w:hint="eastAsia"/>
              </w:rPr>
              <w:t>文件名称</w:t>
            </w:r>
          </w:p>
        </w:tc>
        <w:tc>
          <w:tcPr>
            <w:tcW w:w="9373" w:type="dxa"/>
            <w:shd w:val="clear" w:color="auto" w:fill="auto"/>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手册9.3条款、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《管理评审控制程序》</w:t>
            </w:r>
          </w:p>
        </w:tc>
        <w:tc>
          <w:tcPr>
            <w:tcW w:w="1585" w:type="dxa"/>
            <w:vMerge w:val="restart"/>
            <w:shd w:val="clear" w:color="auto" w:fill="auto"/>
          </w:tcPr>
          <w:p>
            <w:r>
              <w:rPr/>
              <w:sym w:font="Wingdings 2" w:char="0052"/>
            </w:r>
            <w:r>
              <w:rPr>
                <w:rFonts w:hint="eastAsia"/>
              </w:rPr>
              <w:t>符合</w:t>
            </w:r>
          </w:p>
          <w:p>
            <w:r>
              <w:rPr>
                <w:rFonts w:hint="eastAsia"/>
              </w:rPr>
              <w:sym w:font="Wingdings 2" w:char="0052"/>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841"/>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p>
              </w:tc>
              <w:tc>
                <w:tcPr>
                  <w:tcW w:w="1841" w:type="dxa"/>
                </w:tcPr>
                <w:p>
                  <w:pPr>
                    <w:widowControl/>
                    <w:spacing w:before="40"/>
                    <w:jc w:val="left"/>
                  </w:pPr>
                  <w:r>
                    <w:rPr>
                      <w:rFonts w:hint="eastAsia"/>
                    </w:rPr>
                    <w:t>评价</w:t>
                  </w:r>
                </w:p>
              </w:tc>
              <w:tc>
                <w:tcPr>
                  <w:tcW w:w="2965" w:type="dxa"/>
                </w:tcPr>
                <w:p>
                  <w:pPr>
                    <w:widowControl/>
                    <w:spacing w:before="40"/>
                    <w:jc w:val="left"/>
                  </w:pPr>
                  <w:r>
                    <w:rPr>
                      <w:rFonts w:hint="eastAsia"/>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以往管理评审的跟踪措施</w:t>
                  </w:r>
                </w:p>
              </w:tc>
              <w:tc>
                <w:tcPr>
                  <w:tcW w:w="1841" w:type="dxa"/>
                </w:tcPr>
                <w:p>
                  <w:pPr>
                    <w:widowControl/>
                    <w:spacing w:before="40"/>
                    <w:jc w:val="left"/>
                  </w:pPr>
                  <w:r>
                    <w:rPr>
                      <w:rFonts w:hint="eastAsia"/>
                    </w:rPr>
                    <w:sym w:font="Wingdings 2" w:char="00A3"/>
                  </w:r>
                  <w:r>
                    <w:rPr>
                      <w:rFonts w:hint="eastAsia"/>
                    </w:rPr>
                    <w:t>符合 □不符合</w:t>
                  </w:r>
                </w:p>
              </w:tc>
              <w:tc>
                <w:tcPr>
                  <w:tcW w:w="2965" w:type="dxa"/>
                </w:tcPr>
                <w:p>
                  <w:pPr>
                    <w:widowControl/>
                    <w:spacing w:before="40"/>
                    <w:jc w:val="left"/>
                  </w:pPr>
                  <w:r>
                    <w:rPr>
                      <w:rFonts w:hint="eastAsia"/>
                      <w:color w:val="000000"/>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HACCP体系验证结果；</w:t>
                  </w:r>
                </w:p>
              </w:tc>
              <w:tc>
                <w:tcPr>
                  <w:tcW w:w="1841" w:type="dxa"/>
                </w:tcPr>
                <w:p>
                  <w:pPr>
                    <w:widowControl/>
                    <w:spacing w:before="40"/>
                    <w:jc w:val="left"/>
                  </w:pPr>
                  <w:r>
                    <w:rPr>
                      <w:rFonts w:hint="eastAsia"/>
                    </w:rPr>
                    <w:sym w:font="Wingdings 2" w:char="0052"/>
                  </w:r>
                  <w:r>
                    <w:rPr>
                      <w:rFonts w:hint="eastAsia"/>
                    </w:rPr>
                    <w:t>符合 □不符合</w:t>
                  </w:r>
                </w:p>
              </w:tc>
              <w:tc>
                <w:tcPr>
                  <w:tcW w:w="2965"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可能影响食品安全的变化因素；</w:t>
                  </w:r>
                </w:p>
              </w:tc>
              <w:tc>
                <w:tcPr>
                  <w:tcW w:w="1841" w:type="dxa"/>
                </w:tcPr>
                <w:p>
                  <w:pPr>
                    <w:widowControl/>
                    <w:spacing w:before="40"/>
                    <w:jc w:val="left"/>
                  </w:pPr>
                  <w:r>
                    <w:rPr>
                      <w:rFonts w:hint="eastAsia"/>
                    </w:rPr>
                    <w:sym w:font="Wingdings 2" w:char="0052"/>
                  </w:r>
                  <w:r>
                    <w:rPr>
                      <w:rFonts w:hint="eastAsia"/>
                    </w:rPr>
                    <w:t>符合 □不符合</w:t>
                  </w:r>
                </w:p>
              </w:tc>
              <w:tc>
                <w:tcPr>
                  <w:tcW w:w="2965" w:type="dxa"/>
                </w:tcPr>
                <w:p>
                  <w:pPr>
                    <w:widowControl/>
                    <w:spacing w:before="40"/>
                    <w:jc w:val="left"/>
                  </w:pPr>
                  <w:r>
                    <w:rPr>
                      <w:rFonts w:hint="eastAsia"/>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紧急情况、食品安全事故和召回；</w:t>
                  </w:r>
                </w:p>
              </w:tc>
              <w:tc>
                <w:tcPr>
                  <w:tcW w:w="1841" w:type="dxa"/>
                </w:tcPr>
                <w:p>
                  <w:pPr>
                    <w:widowControl/>
                    <w:spacing w:before="40"/>
                    <w:jc w:val="left"/>
                  </w:pPr>
                  <w:r>
                    <w:rPr>
                      <w:rFonts w:hint="eastAsia"/>
                    </w:rPr>
                    <w:sym w:font="Wingdings 2" w:char="0052"/>
                  </w:r>
                  <w:r>
                    <w:rPr>
                      <w:rFonts w:hint="eastAsia"/>
                    </w:rPr>
                    <w:t>符合 □不符合</w:t>
                  </w:r>
                </w:p>
              </w:tc>
              <w:tc>
                <w:tcPr>
                  <w:tcW w:w="2965" w:type="dxa"/>
                </w:tcPr>
                <w:p>
                  <w:pPr>
                    <w:widowControl/>
                    <w:spacing w:before="40"/>
                    <w:jc w:val="left"/>
                  </w:pPr>
                  <w:r>
                    <w:rPr>
                      <w:rFonts w:hint="eastAsia"/>
                    </w:rPr>
                    <w:t>未发生，已进行演练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r>
                    <w:rPr>
                      <w:rFonts w:hint="eastAsia"/>
                    </w:rPr>
                    <w:t>包括顾客反馈的沟通活动的评审；</w:t>
                  </w:r>
                </w:p>
              </w:tc>
              <w:tc>
                <w:tcPr>
                  <w:tcW w:w="1841" w:type="dxa"/>
                </w:tcPr>
                <w:p>
                  <w:pPr>
                    <w:widowControl/>
                    <w:spacing w:before="40"/>
                    <w:jc w:val="left"/>
                  </w:pPr>
                  <w:r>
                    <w:rPr>
                      <w:rFonts w:hint="eastAsia"/>
                    </w:rPr>
                    <w:sym w:font="Wingdings 2" w:char="0052"/>
                  </w:r>
                  <w:r>
                    <w:rPr>
                      <w:rFonts w:hint="eastAsia"/>
                    </w:rPr>
                    <w:t>符合 □不符合</w:t>
                  </w:r>
                </w:p>
              </w:tc>
              <w:tc>
                <w:tcPr>
                  <w:tcW w:w="2965" w:type="dxa"/>
                </w:tcPr>
                <w:p>
                  <w:pPr>
                    <w:widowControl/>
                    <w:spacing w:before="40"/>
                    <w:jc w:val="left"/>
                  </w:pPr>
                  <w:r>
                    <w:rPr>
                      <w:rFonts w:hint="eastAsia"/>
                    </w:rPr>
                    <w:t>暂无顾客要求有关的产品的改进、过程的改进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外部审核或检验结果；</w:t>
                  </w:r>
                </w:p>
              </w:tc>
              <w:tc>
                <w:tcPr>
                  <w:tcW w:w="1841" w:type="dxa"/>
                </w:tcPr>
                <w:p>
                  <w:pPr>
                    <w:widowControl/>
                    <w:spacing w:before="40"/>
                    <w:jc w:val="left"/>
                  </w:pPr>
                  <w:r>
                    <w:rPr>
                      <w:rFonts w:hint="eastAsia"/>
                    </w:rPr>
                    <w:sym w:font="Wingdings 2" w:char="0052"/>
                  </w:r>
                  <w:r>
                    <w:rPr>
                      <w:rFonts w:hint="eastAsia"/>
                    </w:rPr>
                    <w:t>符合 □不符合</w:t>
                  </w:r>
                </w:p>
              </w:tc>
              <w:tc>
                <w:tcPr>
                  <w:tcW w:w="2965" w:type="dxa"/>
                </w:tcPr>
                <w:p>
                  <w:pPr>
                    <w:widowControl/>
                    <w:spacing w:before="4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合规义务的评价结果。</w:t>
                  </w:r>
                </w:p>
              </w:tc>
              <w:tc>
                <w:tcPr>
                  <w:tcW w:w="1841" w:type="dxa"/>
                </w:tcPr>
                <w:p>
                  <w:pPr>
                    <w:widowControl/>
                    <w:spacing w:before="40"/>
                    <w:jc w:val="left"/>
                  </w:pPr>
                  <w:r>
                    <w:rPr>
                      <w:rFonts w:hint="eastAsia"/>
                    </w:rPr>
                    <w:sym w:font="Wingdings 2" w:char="0052"/>
                  </w:r>
                  <w:r>
                    <w:rPr>
                      <w:rFonts w:hint="eastAsia"/>
                    </w:rPr>
                    <w:t>符合 □不符合</w:t>
                  </w:r>
                </w:p>
              </w:tc>
              <w:tc>
                <w:tcPr>
                  <w:tcW w:w="2965" w:type="dxa"/>
                </w:tcPr>
                <w:p>
                  <w:pPr>
                    <w:widowControl/>
                    <w:spacing w:before="40"/>
                    <w:jc w:val="left"/>
                  </w:pPr>
                </w:p>
              </w:tc>
            </w:tr>
          </w:tbl>
          <w:p/>
          <w:p>
            <w:r>
              <w:rPr>
                <w:rFonts w:hint="eastAsia"/>
              </w:rPr>
              <w:t>提交给最高管理者的信息的形式，应能使其理解所含信息与已声明的HACCP体系目标之间的关系。</w:t>
            </w:r>
          </w:p>
          <w:p>
            <w:pPr>
              <w:pStyle w:val="13"/>
            </w:pPr>
            <w:r>
              <w:rPr>
                <w:rFonts w:hint="eastAsia"/>
              </w:rPr>
              <w:t>经沟通了解，基本符合要求。</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33" w:type="dxa"/>
            <w:vMerge w:val="restart"/>
            <w:shd w:val="clear" w:color="auto" w:fill="auto"/>
          </w:tcPr>
          <w:p>
            <w:r>
              <w:rPr>
                <w:rFonts w:hint="eastAsia"/>
              </w:rPr>
              <w:t xml:space="preserve"> 评审输出</w:t>
            </w:r>
          </w:p>
        </w:tc>
        <w:tc>
          <w:tcPr>
            <w:tcW w:w="1040" w:type="dxa"/>
            <w:vMerge w:val="restart"/>
            <w:shd w:val="clear" w:color="auto" w:fill="auto"/>
          </w:tcPr>
          <w:p>
            <w:r>
              <w:rPr>
                <w:rFonts w:hint="eastAsia"/>
              </w:rPr>
              <w:t>H(V1.0)</w:t>
            </w:r>
          </w:p>
          <w:p>
            <w:r>
              <w:rPr>
                <w:rFonts w:hint="eastAsia"/>
              </w:rPr>
              <w:t>5.4.3</w:t>
            </w:r>
          </w:p>
          <w:p/>
        </w:tc>
        <w:tc>
          <w:tcPr>
            <w:tcW w:w="893" w:type="dxa"/>
            <w:shd w:val="clear" w:color="auto" w:fill="auto"/>
          </w:tcPr>
          <w:p>
            <w:r>
              <w:rPr>
                <w:rFonts w:hint="eastAsia"/>
              </w:rPr>
              <w:t>文件名称</w:t>
            </w:r>
          </w:p>
        </w:tc>
        <w:tc>
          <w:tcPr>
            <w:tcW w:w="9373" w:type="dxa"/>
            <w:shd w:val="clear" w:color="auto" w:fill="auto"/>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手册9.3条款、</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ascii="宋体" w:hAnsi="宋体"/>
              </w:rPr>
              <w:t>《管理评审控制程序》</w:t>
            </w:r>
          </w:p>
        </w:tc>
        <w:tc>
          <w:tcPr>
            <w:tcW w:w="1585" w:type="dxa"/>
            <w:vMerge w:val="restart"/>
            <w:shd w:val="clear" w:color="auto" w:fill="auto"/>
          </w:tcPr>
          <w:p>
            <w:r>
              <w:rPr/>
              <w:sym w:font="Wingdings 2" w:char="0052"/>
            </w:r>
            <w:r>
              <w:rPr>
                <w:rFonts w:hint="eastAsia"/>
              </w:rPr>
              <w:t>符合</w:t>
            </w:r>
          </w:p>
          <w:p>
            <w:r>
              <w:rPr>
                <w:rFonts w:hint="eastAsia"/>
              </w:rPr>
              <w:sym w:font="Wingdings 2" w:char="0052"/>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3877"/>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70" w:type="dxa"/>
                </w:tcPr>
                <w:p>
                  <w:pPr>
                    <w:widowControl/>
                    <w:spacing w:before="40"/>
                    <w:jc w:val="left"/>
                    <w:rPr>
                      <w:color w:val="000000"/>
                      <w:szCs w:val="21"/>
                    </w:rPr>
                  </w:pPr>
                  <w:r>
                    <w:rPr>
                      <w:rFonts w:hint="eastAsia"/>
                      <w:color w:val="000000"/>
                      <w:szCs w:val="18"/>
                    </w:rPr>
                    <w:t>管理评审输出信息</w:t>
                  </w:r>
                </w:p>
              </w:tc>
              <w:tc>
                <w:tcPr>
                  <w:tcW w:w="3877"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pacing w:before="40"/>
                    <w:jc w:val="left"/>
                    <w:rPr>
                      <w:color w:val="000000"/>
                      <w:szCs w:val="21"/>
                    </w:rPr>
                  </w:pPr>
                  <w:r>
                    <w:rPr>
                      <w:rFonts w:hint="eastAsia"/>
                    </w:rPr>
                    <w:t>食品安全保证</w:t>
                  </w:r>
                </w:p>
              </w:tc>
              <w:tc>
                <w:tcPr>
                  <w:tcW w:w="3877" w:type="dxa"/>
                </w:tcPr>
                <w:p>
                  <w:pPr>
                    <w:widowControl/>
                    <w:spacing w:before="40"/>
                    <w:jc w:val="left"/>
                    <w:rPr>
                      <w:color w:val="000000"/>
                      <w:szCs w:val="21"/>
                    </w:rPr>
                  </w:pPr>
                  <w:r>
                    <w:rPr>
                      <w:rFonts w:hint="eastAsia"/>
                      <w:color w:val="000000"/>
                      <w:szCs w:val="21"/>
                    </w:rPr>
                    <w:t>评审基本可以满足</w:t>
                  </w:r>
                </w:p>
              </w:tc>
              <w:tc>
                <w:tcPr>
                  <w:tcW w:w="2496" w:type="dxa"/>
                </w:tcPr>
                <w:p>
                  <w:pPr>
                    <w:widowControl/>
                    <w:spacing w:before="40"/>
                    <w:jc w:val="left"/>
                    <w:rPr>
                      <w:color w:val="000000"/>
                      <w:szCs w:val="21"/>
                    </w:rPr>
                  </w:pPr>
                  <w:r>
                    <w:rPr>
                      <w:rFonts w:hint="eastAsia"/>
                      <w:color w:val="000000"/>
                      <w:szCs w:val="21"/>
                    </w:rPr>
                    <w:sym w:font="Wingdings 2" w:char="0052"/>
                  </w:r>
                  <w:r>
                    <w:rPr>
                      <w:rFonts w:hint="eastAsia"/>
                    </w:rPr>
                    <w:t>已落实</w:t>
                  </w:r>
                  <w:r>
                    <w:rPr>
                      <w:rFonts w:hint="eastAsia"/>
                      <w:color w:val="000000"/>
                      <w:szCs w:val="21"/>
                    </w:rPr>
                    <w:t xml:space="preserve"> </w:t>
                  </w:r>
                  <w:r>
                    <w:rPr>
                      <w:rFonts w:hint="eastAsia"/>
                      <w:color w:val="000000"/>
                      <w:szCs w:val="21"/>
                    </w:rPr>
                    <w:sym w:font="Wingdings 2" w:char="00A3"/>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pacing w:before="40"/>
                    <w:jc w:val="left"/>
                    <w:rPr>
                      <w:color w:val="000000"/>
                      <w:szCs w:val="21"/>
                    </w:rPr>
                  </w:pPr>
                  <w:r>
                    <w:rPr>
                      <w:rFonts w:hint="eastAsia"/>
                    </w:rPr>
                    <w:t>HACCP体系有效性的改进</w:t>
                  </w:r>
                </w:p>
              </w:tc>
              <w:tc>
                <w:tcPr>
                  <w:tcW w:w="3877" w:type="dxa"/>
                </w:tcPr>
                <w:p>
                  <w:pPr>
                    <w:widowControl/>
                    <w:spacing w:before="40"/>
                    <w:jc w:val="left"/>
                    <w:rPr>
                      <w:rFonts w:hint="eastAsia"/>
                      <w:color w:val="000000"/>
                      <w:szCs w:val="21"/>
                    </w:rPr>
                  </w:pPr>
                  <w:r>
                    <w:rPr>
                      <w:rFonts w:hint="eastAsia"/>
                      <w:color w:val="000000"/>
                      <w:szCs w:val="21"/>
                    </w:rPr>
                    <w:t>加强公司人员的新版 HACCP 体系的培训,提高管理水平；责任人：卢</w:t>
                  </w:r>
                </w:p>
                <w:p>
                  <w:pPr>
                    <w:widowControl/>
                    <w:spacing w:before="40"/>
                    <w:jc w:val="left"/>
                    <w:rPr>
                      <w:color w:val="000000"/>
                      <w:szCs w:val="21"/>
                    </w:rPr>
                  </w:pPr>
                  <w:r>
                    <w:rPr>
                      <w:rFonts w:hint="eastAsia"/>
                      <w:color w:val="000000"/>
                      <w:szCs w:val="21"/>
                    </w:rPr>
                    <w:t>利芬；整改期限：2022.08 月底</w:t>
                  </w:r>
                </w:p>
              </w:tc>
              <w:tc>
                <w:tcPr>
                  <w:tcW w:w="2496" w:type="dxa"/>
                </w:tcPr>
                <w:p>
                  <w:pPr>
                    <w:widowControl/>
                    <w:spacing w:before="40"/>
                    <w:jc w:val="left"/>
                    <w:rPr>
                      <w:color w:val="000000"/>
                      <w:szCs w:val="21"/>
                    </w:rPr>
                  </w:pPr>
                  <w:r>
                    <w:rPr>
                      <w:rFonts w:hint="eastAsia"/>
                      <w:color w:val="000000"/>
                      <w:szCs w:val="21"/>
                    </w:rPr>
                    <w:sym w:font="Wingdings 2" w:char="00A3"/>
                  </w:r>
                  <w:r>
                    <w:rPr>
                      <w:rFonts w:hint="eastAsia"/>
                    </w:rPr>
                    <w:t>已落实</w:t>
                  </w:r>
                  <w:r>
                    <w:rPr>
                      <w:rFonts w:hint="eastAsia"/>
                      <w:color w:val="000000"/>
                      <w:szCs w:val="21"/>
                    </w:rPr>
                    <w:t xml:space="preserve"> </w:t>
                  </w:r>
                  <w:r>
                    <w:rPr>
                      <w:rFonts w:hint="eastAsia" w:ascii="宋体" w:hAnsi="宋体"/>
                    </w:rPr>
                    <w:t>口</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pacing w:before="40"/>
                    <w:jc w:val="left"/>
                    <w:rPr>
                      <w:color w:val="000000"/>
                      <w:szCs w:val="21"/>
                    </w:rPr>
                  </w:pPr>
                  <w:r>
                    <w:rPr>
                      <w:rFonts w:hint="eastAsia"/>
                    </w:rPr>
                    <w:t>资源需求</w:t>
                  </w:r>
                </w:p>
              </w:tc>
              <w:tc>
                <w:tcPr>
                  <w:tcW w:w="3877" w:type="dxa"/>
                </w:tcPr>
                <w:p>
                  <w:pPr>
                    <w:widowControl/>
                    <w:spacing w:before="40"/>
                    <w:jc w:val="left"/>
                    <w:rPr>
                      <w:color w:val="000000"/>
                      <w:szCs w:val="21"/>
                    </w:rPr>
                  </w:pPr>
                  <w:r>
                    <w:rPr>
                      <w:rFonts w:hint="eastAsia"/>
                      <w:color w:val="000000"/>
                      <w:szCs w:val="21"/>
                    </w:rPr>
                    <w:t>无</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pacing w:before="40"/>
                    <w:jc w:val="left"/>
                  </w:pPr>
                  <w:r>
                    <w:rPr>
                      <w:rFonts w:hint="eastAsia"/>
                    </w:rPr>
                    <w:t>组织食品安全方针和相关目标的修订</w:t>
                  </w:r>
                </w:p>
              </w:tc>
              <w:tc>
                <w:tcPr>
                  <w:tcW w:w="3877" w:type="dxa"/>
                </w:tcPr>
                <w:p>
                  <w:pPr>
                    <w:widowControl/>
                    <w:spacing w:before="40"/>
                    <w:jc w:val="left"/>
                    <w:rPr>
                      <w:color w:val="000000"/>
                      <w:szCs w:val="21"/>
                    </w:rPr>
                  </w:pPr>
                  <w:r>
                    <w:rPr>
                      <w:rFonts w:hint="eastAsia"/>
                      <w:color w:val="000000"/>
                      <w:szCs w:val="21"/>
                    </w:rPr>
                    <w:t>无</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
            <w:r>
              <w:rPr>
                <w:rFonts w:hint="eastAsia"/>
              </w:rPr>
              <w:sym w:font="Wingdings" w:char="00FE"/>
            </w:r>
            <w:r>
              <w:rPr>
                <w:rFonts w:hint="eastAsia"/>
              </w:rPr>
              <w:t xml:space="preserve">改进措施未落实的原因： </w:t>
            </w:r>
            <w:r>
              <w:rPr>
                <w:rFonts w:hint="eastAsia"/>
                <w:u w:val="single"/>
              </w:rPr>
              <w:t xml:space="preserve"> 计划2022-0</w:t>
            </w:r>
            <w:r>
              <w:rPr>
                <w:u w:val="single"/>
              </w:rPr>
              <w:t>8</w:t>
            </w:r>
            <w:r>
              <w:rPr>
                <w:rFonts w:hint="eastAsia"/>
                <w:u w:val="single"/>
              </w:rPr>
              <w:t xml:space="preserve">前完成         </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33" w:type="dxa"/>
            <w:vMerge w:val="restart"/>
            <w:shd w:val="clear" w:color="auto" w:fill="auto"/>
          </w:tcPr>
          <w:p>
            <w:r>
              <w:rPr>
                <w:rFonts w:hint="eastAsia"/>
              </w:rPr>
              <w:t>不符合</w:t>
            </w:r>
            <w:r>
              <w:t>和</w:t>
            </w:r>
            <w:r>
              <w:rPr>
                <w:rFonts w:hint="eastAsia"/>
              </w:rPr>
              <w:t>纠</w:t>
            </w:r>
            <w:r>
              <w:t>正措施</w:t>
            </w:r>
          </w:p>
        </w:tc>
        <w:tc>
          <w:tcPr>
            <w:tcW w:w="1040" w:type="dxa"/>
            <w:vMerge w:val="restart"/>
            <w:shd w:val="clear" w:color="auto" w:fill="auto"/>
          </w:tcPr>
          <w:p>
            <w:r>
              <w:rPr>
                <w:rFonts w:hint="eastAsia"/>
              </w:rPr>
              <w:t>F1</w:t>
            </w:r>
            <w:r>
              <w:t>0</w:t>
            </w:r>
            <w:r>
              <w:rPr>
                <w:rFonts w:hint="eastAsia"/>
              </w:rPr>
              <w:t>.1</w:t>
            </w:r>
          </w:p>
          <w:p>
            <w:r>
              <w:rPr>
                <w:rFonts w:hint="eastAsia"/>
              </w:rPr>
              <w:t>H(V1.0)</w:t>
            </w:r>
          </w:p>
          <w:p>
            <w:r>
              <w:rPr>
                <w:rFonts w:hint="eastAsia"/>
              </w:rPr>
              <w:t>5.1</w:t>
            </w:r>
          </w:p>
          <w:p>
            <w:pPr>
              <w:pStyle w:val="2"/>
            </w:pPr>
          </w:p>
          <w:p>
            <w:pPr>
              <w:pStyle w:val="2"/>
            </w:pPr>
          </w:p>
        </w:tc>
        <w:tc>
          <w:tcPr>
            <w:tcW w:w="893" w:type="dxa"/>
            <w:shd w:val="clear" w:color="auto" w:fill="auto"/>
          </w:tcPr>
          <w:p>
            <w:r>
              <w:rPr>
                <w:rFonts w:hint="eastAsia"/>
              </w:rPr>
              <w:t>文</w:t>
            </w:r>
            <w:r>
              <w:t>件名称</w:t>
            </w:r>
          </w:p>
        </w:tc>
        <w:tc>
          <w:tcPr>
            <w:tcW w:w="9373" w:type="dxa"/>
            <w:shd w:val="clear" w:color="auto" w:fill="auto"/>
          </w:tcPr>
          <w:p>
            <w:r>
              <w:rPr>
                <w:color w:val="000000"/>
              </w:rPr>
              <w:sym w:font="Wingdings" w:char="00FE"/>
            </w:r>
            <w:r>
              <w:t>管理</w:t>
            </w:r>
            <w:r>
              <w:rPr>
                <w:rFonts w:hint="eastAsia"/>
              </w:rPr>
              <w:t>手</w:t>
            </w:r>
            <w:r>
              <w:t>册</w:t>
            </w:r>
            <w:r>
              <w:rPr>
                <w:rFonts w:hint="eastAsia"/>
              </w:rPr>
              <w:t>第10.2章、</w:t>
            </w:r>
            <w:r>
              <w:rPr>
                <w:color w:val="000000"/>
              </w:rPr>
              <w:sym w:font="Wingdings" w:char="00FE"/>
            </w:r>
            <w:r>
              <w:rPr>
                <w:rFonts w:hint="eastAsia"/>
              </w:rPr>
              <w:t>《不合格品控制程序》、</w:t>
            </w:r>
            <w:r>
              <w:rPr>
                <w:color w:val="000000"/>
              </w:rPr>
              <w:sym w:font="Wingdings" w:char="00FE"/>
            </w:r>
            <w:r>
              <w:rPr>
                <w:rFonts w:hint="eastAsia"/>
                <w:color w:val="000000"/>
              </w:rPr>
              <w:t>《</w:t>
            </w:r>
            <w:r>
              <w:rPr>
                <w:rFonts w:hint="eastAsia" w:ascii="宋体" w:hAnsi="宋体"/>
              </w:rPr>
              <w:t>纠正和预防措施控制程序</w:t>
            </w:r>
            <w:r>
              <w:rPr>
                <w:rFonts w:hint="eastAsia"/>
                <w:color w:val="000000"/>
              </w:rPr>
              <w:t>》</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p>
            <w:r>
              <w:rPr>
                <w:rFonts w:hint="eastAsia"/>
              </w:rPr>
              <w:t>不符合的来源：</w:t>
            </w:r>
          </w:p>
          <w:p>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A8"/>
            </w:r>
            <w:r>
              <w:rPr>
                <w:rFonts w:hint="eastAsia"/>
              </w:rPr>
              <w:t xml:space="preserve">其他 </w:t>
            </w:r>
          </w:p>
          <w:p/>
          <w:p>
            <w:pPr>
              <w:rPr>
                <w:u w:val="single"/>
              </w:rPr>
            </w:pPr>
            <w:r>
              <w:rPr>
                <w:rFonts w:hint="eastAsia"/>
              </w:rPr>
              <w:t>抽查采取纠正措施相关记录名称：</w:t>
            </w:r>
            <w:r>
              <w:rPr>
                <w:rFonts w:hint="eastAsia"/>
                <w:u w:val="single"/>
              </w:rPr>
              <w:t xml:space="preserve"> </w:t>
            </w:r>
            <w:r>
              <w:rPr>
                <w:u w:val="single"/>
              </w:rPr>
              <w:t xml:space="preserve">    </w:t>
            </w:r>
            <w:r>
              <w:rPr>
                <w:rFonts w:hint="eastAsia"/>
                <w:u w:val="single"/>
              </w:rPr>
              <w:t>《审核周期未发生</w:t>
            </w:r>
            <w:r>
              <w:rPr>
                <w:u w:val="single"/>
              </w:rPr>
              <w:t xml:space="preserve">   </w:t>
            </w:r>
            <w:r>
              <w:rPr>
                <w:rFonts w:hint="eastAsia"/>
                <w:u w:val="single"/>
              </w:rPr>
              <w:t>》</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9"/>
              <w:tblpPr w:leftFromText="180" w:rightFromText="180" w:vertAnchor="text" w:horzAnchor="margin" w:tblpY="180"/>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033"/>
              <w:gridCol w:w="1062"/>
              <w:gridCol w:w="1720"/>
              <w:gridCol w:w="2463"/>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ascii="宋体" w:hAnsi="宋体"/>
                      <w:szCs w:val="21"/>
                    </w:rPr>
                  </w:pPr>
                  <w:r>
                    <w:rPr>
                      <w:rFonts w:hint="eastAsia" w:ascii="宋体" w:hAnsi="宋体"/>
                      <w:szCs w:val="21"/>
                    </w:rPr>
                    <w:t>日期</w:t>
                  </w:r>
                </w:p>
              </w:tc>
              <w:tc>
                <w:tcPr>
                  <w:tcW w:w="2033" w:type="dxa"/>
                </w:tcPr>
                <w:p>
                  <w:pPr>
                    <w:rPr>
                      <w:rFonts w:ascii="宋体" w:hAnsi="宋体"/>
                      <w:szCs w:val="21"/>
                    </w:rPr>
                  </w:pPr>
                  <w:r>
                    <w:rPr>
                      <w:rFonts w:hint="eastAsia" w:ascii="宋体" w:hAnsi="宋体"/>
                      <w:szCs w:val="21"/>
                    </w:rPr>
                    <w:t>不符合描述</w:t>
                  </w:r>
                </w:p>
              </w:tc>
              <w:tc>
                <w:tcPr>
                  <w:tcW w:w="1062" w:type="dxa"/>
                </w:tcPr>
                <w:p>
                  <w:pPr>
                    <w:rPr>
                      <w:rFonts w:ascii="宋体" w:hAnsi="宋体"/>
                      <w:szCs w:val="21"/>
                    </w:rPr>
                  </w:pPr>
                  <w:r>
                    <w:rPr>
                      <w:rFonts w:hint="eastAsia" w:ascii="宋体" w:hAnsi="宋体"/>
                      <w:szCs w:val="21"/>
                    </w:rPr>
                    <w:t>不符合纠正</w:t>
                  </w:r>
                </w:p>
              </w:tc>
              <w:tc>
                <w:tcPr>
                  <w:tcW w:w="1720" w:type="dxa"/>
                </w:tcPr>
                <w:p>
                  <w:pPr>
                    <w:rPr>
                      <w:rFonts w:ascii="宋体" w:hAnsi="宋体"/>
                      <w:szCs w:val="21"/>
                    </w:rPr>
                  </w:pPr>
                  <w:r>
                    <w:rPr>
                      <w:rFonts w:hint="eastAsia" w:ascii="宋体" w:hAnsi="宋体"/>
                      <w:szCs w:val="21"/>
                    </w:rPr>
                    <w:t>原因分析</w:t>
                  </w:r>
                </w:p>
              </w:tc>
              <w:tc>
                <w:tcPr>
                  <w:tcW w:w="2463" w:type="dxa"/>
                </w:tcPr>
                <w:p>
                  <w:pPr>
                    <w:rPr>
                      <w:rFonts w:ascii="宋体" w:hAnsi="宋体"/>
                      <w:szCs w:val="21"/>
                    </w:rPr>
                  </w:pPr>
                  <w:r>
                    <w:rPr>
                      <w:rFonts w:hint="eastAsia" w:ascii="宋体" w:hAnsi="宋体"/>
                      <w:szCs w:val="21"/>
                    </w:rPr>
                    <w:t>纠正措施</w:t>
                  </w:r>
                </w:p>
              </w:tc>
              <w:tc>
                <w:tcPr>
                  <w:tcW w:w="968"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ascii="宋体" w:hAnsi="宋体"/>
                      <w:szCs w:val="21"/>
                    </w:rPr>
                  </w:pPr>
                </w:p>
              </w:tc>
              <w:tc>
                <w:tcPr>
                  <w:tcW w:w="2033" w:type="dxa"/>
                </w:tcPr>
                <w:p>
                  <w:pPr>
                    <w:autoSpaceDE w:val="0"/>
                    <w:autoSpaceDN w:val="0"/>
                    <w:adjustRightInd w:val="0"/>
                    <w:spacing w:line="0" w:lineRule="atLeast"/>
                    <w:ind w:right="-27"/>
                    <w:jc w:val="left"/>
                    <w:textAlignment w:val="baseline"/>
                    <w:rPr>
                      <w:rFonts w:ascii="宋体" w:hAnsi="宋体"/>
                      <w:szCs w:val="21"/>
                    </w:rPr>
                  </w:pPr>
                </w:p>
              </w:tc>
              <w:tc>
                <w:tcPr>
                  <w:tcW w:w="1062" w:type="dxa"/>
                </w:tcPr>
                <w:p>
                  <w:pPr>
                    <w:autoSpaceDE w:val="0"/>
                    <w:autoSpaceDN w:val="0"/>
                    <w:adjustRightInd w:val="0"/>
                    <w:spacing w:line="0" w:lineRule="atLeast"/>
                    <w:ind w:right="-27"/>
                    <w:jc w:val="left"/>
                    <w:textAlignment w:val="baseline"/>
                    <w:rPr>
                      <w:rFonts w:ascii="宋体" w:hAnsi="宋体"/>
                      <w:szCs w:val="21"/>
                    </w:rPr>
                  </w:pPr>
                </w:p>
              </w:tc>
              <w:tc>
                <w:tcPr>
                  <w:tcW w:w="1720" w:type="dxa"/>
                </w:tcPr>
                <w:p>
                  <w:pPr>
                    <w:rPr>
                      <w:rFonts w:ascii="宋体" w:hAnsi="宋体"/>
                      <w:szCs w:val="21"/>
                    </w:rPr>
                  </w:pPr>
                </w:p>
              </w:tc>
              <w:tc>
                <w:tcPr>
                  <w:tcW w:w="2463" w:type="dxa"/>
                </w:tcPr>
                <w:p>
                  <w:pPr>
                    <w:rPr>
                      <w:rFonts w:ascii="宋体" w:hAnsi="宋体"/>
                      <w:szCs w:val="21"/>
                    </w:rPr>
                  </w:pPr>
                </w:p>
              </w:tc>
              <w:tc>
                <w:tcPr>
                  <w:tcW w:w="968"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ascii="宋体" w:hAnsi="宋体"/>
                      <w:szCs w:val="21"/>
                    </w:rPr>
                  </w:pPr>
                </w:p>
              </w:tc>
              <w:tc>
                <w:tcPr>
                  <w:tcW w:w="2033" w:type="dxa"/>
                </w:tcPr>
                <w:p>
                  <w:pPr>
                    <w:autoSpaceDE w:val="0"/>
                    <w:autoSpaceDN w:val="0"/>
                    <w:adjustRightInd w:val="0"/>
                    <w:spacing w:line="0" w:lineRule="atLeast"/>
                    <w:ind w:right="-27"/>
                    <w:jc w:val="left"/>
                    <w:textAlignment w:val="baseline"/>
                    <w:rPr>
                      <w:rFonts w:ascii="宋体" w:hAnsi="宋体"/>
                      <w:color w:val="000000"/>
                      <w:szCs w:val="21"/>
                    </w:rPr>
                  </w:pPr>
                </w:p>
              </w:tc>
              <w:tc>
                <w:tcPr>
                  <w:tcW w:w="1062" w:type="dxa"/>
                </w:tcPr>
                <w:p>
                  <w:pPr>
                    <w:autoSpaceDE w:val="0"/>
                    <w:autoSpaceDN w:val="0"/>
                    <w:adjustRightInd w:val="0"/>
                    <w:spacing w:line="0" w:lineRule="atLeast"/>
                    <w:ind w:right="-27"/>
                    <w:jc w:val="left"/>
                    <w:textAlignment w:val="baseline"/>
                    <w:rPr>
                      <w:rFonts w:ascii="宋体" w:hAnsi="宋体"/>
                      <w:color w:val="000000"/>
                      <w:szCs w:val="21"/>
                    </w:rPr>
                  </w:pPr>
                </w:p>
              </w:tc>
              <w:tc>
                <w:tcPr>
                  <w:tcW w:w="1720" w:type="dxa"/>
                </w:tcPr>
                <w:p>
                  <w:pPr>
                    <w:rPr>
                      <w:rFonts w:ascii="宋体" w:hAnsi="宋体"/>
                      <w:color w:val="000000"/>
                      <w:szCs w:val="21"/>
                    </w:rPr>
                  </w:pPr>
                </w:p>
              </w:tc>
              <w:tc>
                <w:tcPr>
                  <w:tcW w:w="2463" w:type="dxa"/>
                </w:tcPr>
                <w:p>
                  <w:pPr>
                    <w:rPr>
                      <w:rFonts w:ascii="宋体" w:hAnsi="宋体" w:cs="宋体"/>
                      <w:szCs w:val="21"/>
                    </w:rPr>
                  </w:pPr>
                </w:p>
              </w:tc>
              <w:tc>
                <w:tcPr>
                  <w:tcW w:w="968" w:type="dxa"/>
                </w:tcPr>
                <w:p>
                  <w:pPr>
                    <w:rPr>
                      <w:rFonts w:ascii="宋体" w:hAnsi="宋体"/>
                      <w:szCs w:val="21"/>
                    </w:rPr>
                  </w:pPr>
                </w:p>
              </w:tc>
            </w:tr>
          </w:tbl>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33" w:type="dxa"/>
            <w:vMerge w:val="restart"/>
            <w:shd w:val="clear" w:color="auto" w:fill="auto"/>
          </w:tcPr>
          <w:p>
            <w:r>
              <w:rPr>
                <w:rFonts w:hint="eastAsia"/>
              </w:rPr>
              <w:t>持续改进</w:t>
            </w:r>
          </w:p>
        </w:tc>
        <w:tc>
          <w:tcPr>
            <w:tcW w:w="1040" w:type="dxa"/>
            <w:vMerge w:val="restart"/>
            <w:shd w:val="clear" w:color="auto" w:fill="auto"/>
          </w:tcPr>
          <w:p>
            <w:r>
              <w:rPr>
                <w:rFonts w:hint="eastAsia"/>
              </w:rPr>
              <w:t>F10.2</w:t>
            </w:r>
          </w:p>
          <w:p>
            <w:r>
              <w:rPr>
                <w:rFonts w:hint="eastAsia"/>
              </w:rPr>
              <w:t>H(V1.0)</w:t>
            </w:r>
          </w:p>
          <w:p>
            <w:pPr>
              <w:pStyle w:val="6"/>
            </w:pPr>
            <w:r>
              <w:rPr>
                <w:rFonts w:hint="eastAsia"/>
              </w:rPr>
              <w:t>5.5</w:t>
            </w:r>
          </w:p>
        </w:tc>
        <w:tc>
          <w:tcPr>
            <w:tcW w:w="893" w:type="dxa"/>
            <w:shd w:val="clear" w:color="auto" w:fill="auto"/>
          </w:tcPr>
          <w:p>
            <w:r>
              <w:rPr>
                <w:rFonts w:hint="eastAsia"/>
              </w:rPr>
              <w:t>文件名称</w:t>
            </w:r>
          </w:p>
        </w:tc>
        <w:tc>
          <w:tcPr>
            <w:tcW w:w="9373" w:type="dxa"/>
            <w:shd w:val="clear" w:color="auto" w:fill="auto"/>
          </w:tcPr>
          <w:p>
            <w:r>
              <w:rPr>
                <w:rFonts w:hint="eastAsia"/>
              </w:rPr>
              <w:t>如：</w:t>
            </w:r>
            <w:r>
              <w:rPr>
                <w:rFonts w:hint="eastAsia"/>
              </w:rPr>
              <w:sym w:font="Wingdings" w:char="00FE"/>
            </w:r>
            <w:r>
              <w:rPr>
                <w:rFonts w:hint="eastAsia"/>
              </w:rPr>
              <w:t>管理手册10.3条款</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p>
            <w:r>
              <w:rPr>
                <w:rFonts w:hint="eastAsia"/>
              </w:rPr>
              <w:t>组织已持续改进食品安全管理体系/HACCP体系的适宜性、充分性和有效性，以提升食品安全绩效。</w:t>
            </w:r>
          </w:p>
          <w:p>
            <w:r>
              <w:rPr>
                <w:rFonts w:hint="eastAsia"/>
              </w:rPr>
              <w:t>组织考虑了分析和评价的结果以及管理评审的输出，确定是否存在需求或机遇，这些需求或机遇应作为持续改进的一部分加以应对。</w:t>
            </w:r>
          </w:p>
          <w:p>
            <w:r>
              <w:rPr>
                <w:rFonts w:hint="eastAsia"/>
              </w:rPr>
              <w:sym w:font="Wingdings" w:char="00A8"/>
            </w:r>
            <w:r>
              <w:rPr>
                <w:rFonts w:hint="eastAsia"/>
              </w:rPr>
              <w:t xml:space="preserve"> 管理评审改进措施已落实</w:t>
            </w:r>
          </w:p>
          <w:p>
            <w:r>
              <w:rPr>
                <w:rFonts w:hint="eastAsia"/>
              </w:rPr>
              <w:sym w:font="Wingdings" w:char="00FE"/>
            </w:r>
            <w:r>
              <w:rPr>
                <w:rFonts w:hint="eastAsia"/>
              </w:rPr>
              <w:t xml:space="preserve"> 管理评审改进措施未落实的原因：</w:t>
            </w:r>
            <w:r>
              <w:rPr>
                <w:rFonts w:hint="eastAsia"/>
                <w:u w:val="single"/>
              </w:rPr>
              <w:t xml:space="preserve">  计划2022-</w:t>
            </w:r>
            <w:r>
              <w:rPr>
                <w:u w:val="single"/>
              </w:rPr>
              <w:t>08</w:t>
            </w:r>
            <w:r>
              <w:rPr>
                <w:rFonts w:hint="eastAsia"/>
                <w:u w:val="single"/>
              </w:rPr>
              <w:t xml:space="preserve">前完成                </w:t>
            </w:r>
          </w:p>
          <w:p/>
          <w:p>
            <w:r>
              <w:rPr>
                <w:rFonts w:hint="eastAsia"/>
              </w:rPr>
              <w:t>最高管理者应确保企业通过</w:t>
            </w:r>
            <w:r>
              <w:rPr/>
              <w:sym w:font="Wingdings 2" w:char="0052"/>
            </w:r>
            <w:r>
              <w:rPr>
                <w:rFonts w:hint="eastAsia"/>
              </w:rPr>
              <w:t>沟通、</w:t>
            </w:r>
            <w:r>
              <w:rPr/>
              <w:sym w:font="Wingdings 2" w:char="0052"/>
            </w:r>
            <w:r>
              <w:rPr>
                <w:rFonts w:hint="eastAsia"/>
              </w:rPr>
              <w:t>内部审核、</w:t>
            </w:r>
            <w:r>
              <w:rPr/>
              <w:sym w:font="Wingdings 2" w:char="0052"/>
            </w:r>
            <w:r>
              <w:rPr>
                <w:rFonts w:hint="eastAsia"/>
              </w:rPr>
              <w:t>管理评审和</w:t>
            </w:r>
            <w:r>
              <w:rPr/>
              <w:sym w:font="Wingdings 2" w:char="0052"/>
            </w:r>
            <w:r>
              <w:rPr>
                <w:rFonts w:hint="eastAsia"/>
              </w:rPr>
              <w:t>纠正措施、</w:t>
            </w:r>
            <w:r>
              <w:rPr/>
              <w:sym w:font="Wingdings 2" w:char="0052"/>
            </w:r>
            <w:r>
              <w:rPr>
                <w:rFonts w:hint="eastAsia"/>
              </w:rPr>
              <w:t>确认验证等不断提高HACCP体系的有效性。</w:t>
            </w:r>
          </w:p>
          <w:p/>
          <w:p>
            <w:r>
              <w:rPr>
                <w:rFonts w:hint="eastAsia"/>
              </w:rPr>
              <w:t>最高管理者应确保组织通过以下活动， 持续改进食品安全管理体系的有效性：</w:t>
            </w:r>
          </w:p>
          <w:p>
            <w:r>
              <w:rPr>
                <w:rFonts w:hint="eastAsia"/>
              </w:rPr>
              <w:sym w:font="Wingdings" w:char="00FE"/>
            </w:r>
            <w:r>
              <w:rPr>
                <w:rFonts w:hint="eastAsia"/>
              </w:rPr>
              <w:t xml:space="preserve">沟通  </w:t>
            </w:r>
            <w:r>
              <w:rPr>
                <w:rFonts w:hint="eastAsia"/>
              </w:rPr>
              <w:sym w:font="Wingdings" w:char="00FE"/>
            </w:r>
            <w:r>
              <w:rPr>
                <w:rFonts w:hint="eastAsia"/>
              </w:rPr>
              <w:t xml:space="preserve">管理评审  </w:t>
            </w:r>
            <w:r>
              <w:rPr>
                <w:rFonts w:hint="eastAsia"/>
              </w:rPr>
              <w:sym w:font="Wingdings" w:char="00FE"/>
            </w:r>
            <w:r>
              <w:rPr>
                <w:rFonts w:hint="eastAsia"/>
              </w:rPr>
              <w:t xml:space="preserve">内部审核  </w:t>
            </w:r>
            <w:r>
              <w:rPr>
                <w:rFonts w:hint="eastAsia"/>
              </w:rPr>
              <w:sym w:font="Wingdings" w:char="00FE"/>
            </w:r>
            <w:r>
              <w:rPr>
                <w:rFonts w:hint="eastAsia"/>
              </w:rPr>
              <w:t xml:space="preserve">验证活动结果分析 </w:t>
            </w:r>
            <w:r>
              <w:rPr>
                <w:rFonts w:hint="eastAsia"/>
              </w:rPr>
              <w:sym w:font="Wingdings" w:char="00FE"/>
            </w:r>
            <w:r>
              <w:rPr>
                <w:rFonts w:hint="eastAsia"/>
              </w:rPr>
              <w:t>控制措施验证和控制措施组合</w:t>
            </w:r>
          </w:p>
          <w:p>
            <w:r>
              <w:rPr>
                <w:rFonts w:hint="eastAsia"/>
              </w:rPr>
              <w:sym w:font="Wingdings" w:char="00FE"/>
            </w:r>
            <w:r>
              <w:rPr>
                <w:rFonts w:hint="eastAsia"/>
              </w:rPr>
              <w:t xml:space="preserve">纠正措施  </w:t>
            </w:r>
            <w:r>
              <w:rPr>
                <w:rFonts w:hint="eastAsia"/>
              </w:rPr>
              <w:sym w:font="Wingdings" w:char="00FE"/>
            </w:r>
            <w:r>
              <w:rPr>
                <w:rFonts w:hint="eastAsia"/>
              </w:rPr>
              <w:t>FSMS更新。</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33" w:type="dxa"/>
            <w:vMerge w:val="restart"/>
            <w:shd w:val="clear" w:color="auto" w:fill="auto"/>
          </w:tcPr>
          <w:p>
            <w:r>
              <w:rPr>
                <w:rFonts w:hint="eastAsia"/>
              </w:rPr>
              <w:t>食品安全管理体系的更新</w:t>
            </w:r>
          </w:p>
        </w:tc>
        <w:tc>
          <w:tcPr>
            <w:tcW w:w="1040" w:type="dxa"/>
            <w:vMerge w:val="restart"/>
            <w:shd w:val="clear" w:color="auto" w:fill="auto"/>
          </w:tcPr>
          <w:p>
            <w:r>
              <w:rPr>
                <w:rFonts w:hint="eastAsia"/>
              </w:rPr>
              <w:t>F10.3</w:t>
            </w:r>
          </w:p>
        </w:tc>
        <w:tc>
          <w:tcPr>
            <w:tcW w:w="893" w:type="dxa"/>
            <w:shd w:val="clear" w:color="auto" w:fill="auto"/>
          </w:tcPr>
          <w:p>
            <w:r>
              <w:rPr>
                <w:rFonts w:hint="eastAsia"/>
              </w:rPr>
              <w:t>文件名称</w:t>
            </w:r>
          </w:p>
        </w:tc>
        <w:tc>
          <w:tcPr>
            <w:tcW w:w="9373" w:type="dxa"/>
            <w:shd w:val="clear" w:color="auto" w:fill="auto"/>
          </w:tcPr>
          <w:p>
            <w:r>
              <w:rPr>
                <w:rFonts w:hint="eastAsia"/>
              </w:rPr>
              <w:t>如：</w:t>
            </w:r>
            <w:r>
              <w:rPr>
                <w:rFonts w:hint="eastAsia"/>
              </w:rPr>
              <w:sym w:font="Wingdings" w:char="00FE"/>
            </w:r>
            <w:r>
              <w:rPr>
                <w:rFonts w:hint="eastAsia"/>
              </w:rPr>
              <w:t>管理手册10.4条款</w:t>
            </w:r>
          </w:p>
        </w:tc>
        <w:tc>
          <w:tcPr>
            <w:tcW w:w="1585"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1533" w:type="dxa"/>
            <w:vMerge w:val="continue"/>
            <w:shd w:val="clear" w:color="auto" w:fill="auto"/>
          </w:tcPr>
          <w:p/>
        </w:tc>
        <w:tc>
          <w:tcPr>
            <w:tcW w:w="1040" w:type="dxa"/>
            <w:vMerge w:val="continue"/>
            <w:shd w:val="clear" w:color="auto" w:fill="auto"/>
          </w:tcPr>
          <w:p/>
        </w:tc>
        <w:tc>
          <w:tcPr>
            <w:tcW w:w="893" w:type="dxa"/>
            <w:shd w:val="clear" w:color="auto" w:fill="auto"/>
          </w:tcPr>
          <w:p>
            <w:r>
              <w:rPr>
                <w:rFonts w:hint="eastAsia"/>
              </w:rPr>
              <w:t>运行证据</w:t>
            </w:r>
          </w:p>
        </w:tc>
        <w:tc>
          <w:tcPr>
            <w:tcW w:w="9373" w:type="dxa"/>
            <w:shd w:val="clear" w:color="auto" w:fill="auto"/>
          </w:tcPr>
          <w:p>
            <w:pPr>
              <w:rPr>
                <w:u w:val="single"/>
              </w:rPr>
            </w:pPr>
            <w:r>
              <w:t>最高管理者确保FSMS持续更新。</w:t>
            </w:r>
            <w:r>
              <w:rPr>
                <w:rFonts w:hint="eastAsia"/>
              </w:rPr>
              <w:sym w:font="Wingdings" w:char="00FE"/>
            </w:r>
            <w:r>
              <w:rPr>
                <w:rFonts w:hint="eastAsia"/>
              </w:rPr>
              <w:t>是、</w:t>
            </w:r>
            <w:r>
              <w:rPr>
                <w:rFonts w:hint="eastAsia"/>
              </w:rPr>
              <w:sym w:font="Wingdings" w:char="00A8"/>
            </w:r>
            <w:r>
              <w:rPr>
                <w:rFonts w:hint="eastAsia"/>
              </w:rPr>
              <w:t>否，说明；</w:t>
            </w:r>
            <w:r>
              <w:rPr>
                <w:rFonts w:hint="eastAsia"/>
                <w:u w:val="single"/>
              </w:rPr>
              <w:t xml:space="preserve">                       </w:t>
            </w:r>
          </w:p>
          <w:p>
            <w:r>
              <w:t>食品安全小组应按计划间隔</w:t>
            </w:r>
            <w:r>
              <w:rPr>
                <w:rFonts w:hint="eastAsia"/>
              </w:rPr>
              <w:t>（</w:t>
            </w:r>
            <w:r>
              <w:rPr>
                <w:rFonts w:hint="eastAsia"/>
              </w:rPr>
              <w:sym w:font="Wingdings" w:char="00FE"/>
            </w:r>
            <w:r>
              <w:rPr>
                <w:rFonts w:hint="eastAsia"/>
              </w:rPr>
              <w:t>每年、</w:t>
            </w:r>
            <w:r>
              <w:rPr>
                <w:rFonts w:hint="eastAsia"/>
              </w:rPr>
              <w:sym w:font="Wingdings" w:char="00A8"/>
            </w:r>
            <w:r>
              <w:rPr>
                <w:rFonts w:hint="eastAsia"/>
              </w:rPr>
              <w:t>每月、</w:t>
            </w:r>
            <w:r>
              <w:rPr>
                <w:rFonts w:hint="eastAsia"/>
              </w:rPr>
              <w:sym w:font="Wingdings" w:char="00FE"/>
            </w:r>
            <w:r>
              <w:rPr>
                <w:rFonts w:hint="eastAsia"/>
              </w:rPr>
              <w:t>不定期）</w:t>
            </w:r>
            <w:r>
              <w:t>对食品安全管理体系进行评估。小组应考虑</w:t>
            </w:r>
            <w:r>
              <w:rPr>
                <w:rFonts w:hint="eastAsia"/>
              </w:rPr>
              <w:t>：</w:t>
            </w:r>
          </w:p>
          <w:p>
            <w:r>
              <w:rPr>
                <w:rFonts w:hint="eastAsia"/>
              </w:rPr>
              <w:sym w:font="Wingdings" w:char="00FE"/>
            </w:r>
            <w:r>
              <w:t>有必要审查危害分析</w:t>
            </w:r>
          </w:p>
          <w:p>
            <w:r>
              <w:rPr>
                <w:rFonts w:hint="eastAsia"/>
              </w:rPr>
              <w:sym w:font="Wingdings" w:char="00FE"/>
            </w:r>
            <w:r>
              <w:t>已建立的危害控制计划</w:t>
            </w:r>
          </w:p>
          <w:p>
            <w:r>
              <w:rPr>
                <w:rFonts w:hint="eastAsia"/>
              </w:rPr>
              <w:sym w:font="Wingdings" w:char="00FE"/>
            </w:r>
            <w:r>
              <w:t>已建立的PRP。</w:t>
            </w:r>
          </w:p>
          <w:p>
            <w:pPr>
              <w:pStyle w:val="2"/>
            </w:pPr>
          </w:p>
          <w:p>
            <w:r>
              <w:t>更新活动应基于：</w:t>
            </w:r>
          </w:p>
          <w:p>
            <w:r>
              <w:rPr>
                <w:rFonts w:hint="eastAsia"/>
              </w:rPr>
              <w:sym w:font="Wingdings" w:char="00FE"/>
            </w:r>
            <w:r>
              <w:rPr>
                <w:rFonts w:hint="eastAsia"/>
              </w:rPr>
              <w:t xml:space="preserve"> </w:t>
            </w:r>
            <w:r>
              <w:t>来自外部和内部通信的输入；</w:t>
            </w:r>
          </w:p>
          <w:p>
            <w:r>
              <w:rPr>
                <w:rFonts w:hint="eastAsia"/>
              </w:rPr>
              <w:sym w:font="Wingdings" w:char="00FE"/>
            </w:r>
            <w:r>
              <w:rPr>
                <w:rFonts w:hint="eastAsia"/>
              </w:rPr>
              <w:t xml:space="preserve"> </w:t>
            </w:r>
            <w:r>
              <w:t>其他有关食品安全管理系统的适宜性、充分性和有效性的信息的输入；</w:t>
            </w:r>
          </w:p>
          <w:p>
            <w:r>
              <w:rPr>
                <w:rFonts w:hint="eastAsia"/>
              </w:rPr>
              <w:sym w:font="Wingdings" w:char="00FE"/>
            </w:r>
            <w:r>
              <w:rPr>
                <w:rFonts w:hint="eastAsia"/>
              </w:rPr>
              <w:t xml:space="preserve"> </w:t>
            </w:r>
            <w:r>
              <w:t>验证活动结果分析的输出；</w:t>
            </w:r>
          </w:p>
          <w:p>
            <w:r>
              <w:rPr>
                <w:rFonts w:hint="eastAsia"/>
              </w:rPr>
              <w:sym w:font="Wingdings" w:char="00FE"/>
            </w:r>
            <w:r>
              <w:rPr>
                <w:rFonts w:hint="eastAsia"/>
              </w:rPr>
              <w:t xml:space="preserve"> </w:t>
            </w:r>
            <w:r>
              <w:t>管理评审的输出。</w:t>
            </w:r>
          </w:p>
          <w:p>
            <w:r>
              <w:t>系统更新活动</w:t>
            </w:r>
            <w:r>
              <w:rPr>
                <w:rFonts w:hint="eastAsia"/>
              </w:rPr>
              <w:t>保留的</w:t>
            </w:r>
            <w:r>
              <w:t>文件化信息</w:t>
            </w:r>
            <w:r>
              <w:rPr>
                <w:rFonts w:hint="eastAsia"/>
              </w:rPr>
              <w:t>为</w:t>
            </w:r>
            <w:r>
              <w:rPr>
                <w:rFonts w:hint="eastAsia"/>
                <w:u w:val="single"/>
              </w:rPr>
              <w:t xml:space="preserve">： ——  </w:t>
            </w:r>
            <w:r>
              <w:rPr>
                <w:rFonts w:hint="eastAsia"/>
              </w:rPr>
              <w:t xml:space="preserve"> </w:t>
            </w:r>
            <w:r>
              <w:t>，作为输入报告给管理评审。</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8" w:hRule="atLeast"/>
        </w:trPr>
        <w:tc>
          <w:tcPr>
            <w:tcW w:w="1533" w:type="dxa"/>
            <w:shd w:val="clear" w:color="auto" w:fill="auto"/>
            <w:vAlign w:val="top"/>
          </w:tcPr>
          <w:p>
            <w:pPr>
              <w:shd w:val="clear"/>
              <w:adjustRightInd w:val="0"/>
              <w:snapToGrid w:val="0"/>
              <w:rPr>
                <w:rFonts w:ascii="宋体" w:hAnsi="宋体" w:eastAsia="宋体" w:cs="宋体"/>
                <w:kern w:val="2"/>
                <w:sz w:val="21"/>
                <w:szCs w:val="24"/>
                <w:lang w:val="en-US" w:eastAsia="zh-CN" w:bidi="ar-SA"/>
              </w:rPr>
            </w:pPr>
            <w:r>
              <w:rPr>
                <w:rFonts w:hint="eastAsia" w:ascii="宋体" w:hAnsi="宋体" w:cs="宋体"/>
                <w:szCs w:val="24"/>
              </w:rPr>
              <w:t>范围的确认，资质的确认，法律法规执行情况，重大质量事故，及顾客投诉和质量监督抽查情况。</w:t>
            </w:r>
          </w:p>
        </w:tc>
        <w:tc>
          <w:tcPr>
            <w:tcW w:w="1040" w:type="dxa"/>
            <w:shd w:val="clear" w:color="auto" w:fill="auto"/>
            <w:vAlign w:val="top"/>
          </w:tcPr>
          <w:p>
            <w:pPr>
              <w:shd w:val="clear"/>
              <w:rPr>
                <w:rFonts w:ascii="Times New Roman" w:hAnsi="Times New Roman" w:eastAsia="宋体" w:cs="Times New Roman"/>
                <w:b/>
                <w:kern w:val="2"/>
                <w:sz w:val="21"/>
                <w:lang w:val="en-US" w:eastAsia="zh-CN" w:bidi="ar-SA"/>
              </w:rPr>
            </w:pPr>
          </w:p>
        </w:tc>
        <w:tc>
          <w:tcPr>
            <w:tcW w:w="893" w:type="dxa"/>
            <w:shd w:val="clear" w:color="auto" w:fill="auto"/>
            <w:vAlign w:val="top"/>
          </w:tcPr>
          <w:p>
            <w:pPr>
              <w:shd w:val="clear"/>
              <w:spacing w:line="360" w:lineRule="auto"/>
              <w:ind w:firstLine="315" w:firstLineChars="150"/>
              <w:jc w:val="left"/>
              <w:rPr>
                <w:rFonts w:hint="eastAsia" w:ascii="宋体" w:hAnsi="宋体" w:eastAsia="宋体" w:cs="宋体"/>
                <w:color w:val="000000"/>
                <w:kern w:val="2"/>
                <w:sz w:val="21"/>
                <w:szCs w:val="24"/>
                <w:lang w:val="en-US" w:eastAsia="zh-CN" w:bidi="ar-SA"/>
              </w:rPr>
            </w:pPr>
          </w:p>
        </w:tc>
        <w:tc>
          <w:tcPr>
            <w:tcW w:w="9373" w:type="dxa"/>
            <w:shd w:val="clear" w:color="auto" w:fill="auto"/>
            <w:vAlign w:val="top"/>
          </w:tcPr>
          <w:p>
            <w:pPr>
              <w:shd w:val="clear"/>
              <w:spacing w:line="360" w:lineRule="auto"/>
              <w:ind w:firstLine="315" w:firstLineChars="150"/>
              <w:jc w:val="left"/>
              <w:rPr>
                <w:rFonts w:ascii="宋体" w:hAnsi="宋体" w:cs="宋体"/>
                <w:szCs w:val="21"/>
              </w:rPr>
            </w:pPr>
            <w:r>
              <w:rPr>
                <w:rFonts w:hint="eastAsia" w:ascii="宋体" w:hAnsi="宋体" w:cs="宋体"/>
                <w:szCs w:val="21"/>
                <w:lang w:val="en-US" w:eastAsia="zh-CN"/>
              </w:rPr>
              <w:t>远程询问</w:t>
            </w:r>
            <w:r>
              <w:rPr>
                <w:rFonts w:hint="eastAsia" w:ascii="宋体" w:hAnsi="宋体" w:cs="宋体"/>
                <w:szCs w:val="21"/>
              </w:rPr>
              <w:t>确认：发生变更如下：</w:t>
            </w:r>
          </w:p>
          <w:p>
            <w:pPr>
              <w:numPr>
                <w:ilvl w:val="0"/>
                <w:numId w:val="4"/>
              </w:numPr>
              <w:shd w:val="clear"/>
              <w:rPr>
                <w:szCs w:val="21"/>
              </w:rPr>
            </w:pPr>
            <w:r>
              <w:rPr>
                <w:rFonts w:hint="eastAsia"/>
                <w:b/>
                <w:szCs w:val="21"/>
              </w:rPr>
              <w:t>认证标准变更</w:t>
            </w:r>
            <w:r>
              <w:rPr>
                <w:rFonts w:hint="eastAsia"/>
                <w:szCs w:val="21"/>
              </w:rPr>
              <w:t>：</w:t>
            </w:r>
          </w:p>
          <w:p>
            <w:pPr>
              <w:pStyle w:val="6"/>
              <w:shd w:val="clear"/>
              <w:ind w:firstLine="211" w:firstLineChars="100"/>
              <w:rPr>
                <w:rFonts w:hint="eastAsia" w:ascii="Times New Roman" w:hAnsi="Times New Roman" w:eastAsia="宋体" w:cs="Times New Roman"/>
                <w:b/>
                <w:kern w:val="2"/>
                <w:sz w:val="21"/>
                <w:szCs w:val="21"/>
                <w:lang w:val="en-US" w:eastAsia="zh-CN" w:bidi="ar-SA"/>
              </w:rPr>
            </w:pPr>
            <w:r>
              <w:rPr>
                <w:rFonts w:hint="eastAsia" w:ascii="Times New Roman" w:hAnsi="Times New Roman" w:eastAsia="宋体" w:cs="Times New Roman"/>
                <w:b/>
                <w:kern w:val="2"/>
                <w:sz w:val="21"/>
                <w:szCs w:val="21"/>
                <w:lang w:val="en-US" w:eastAsia="zh-CN" w:bidi="ar-SA"/>
              </w:rPr>
              <w:t>HACCP体系转版，范围变更——见变更单；</w:t>
            </w:r>
          </w:p>
          <w:p>
            <w:pPr>
              <w:numPr>
                <w:ilvl w:val="0"/>
                <w:numId w:val="4"/>
              </w:numPr>
              <w:shd w:val="clear"/>
              <w:spacing w:line="360" w:lineRule="auto"/>
              <w:ind w:left="0" w:leftChars="0" w:firstLine="0" w:firstLineChars="0"/>
              <w:jc w:val="left"/>
              <w:rPr>
                <w:rFonts w:hint="eastAsia" w:ascii="宋体" w:hAnsi="宋体" w:eastAsia="宋体" w:cs="宋体"/>
                <w:b/>
                <w:bCs/>
                <w:szCs w:val="21"/>
                <w:highlight w:val="none"/>
                <w:lang w:val="en-US" w:eastAsia="zh-CN"/>
              </w:rPr>
            </w:pPr>
            <w:r>
              <w:rPr>
                <w:rFonts w:hint="eastAsia" w:ascii="宋体" w:hAnsi="宋体" w:cs="宋体"/>
                <w:b/>
                <w:bCs/>
                <w:szCs w:val="21"/>
                <w:highlight w:val="none"/>
                <w:lang w:val="en-US" w:eastAsia="zh-CN"/>
              </w:rPr>
              <w:t>资质变更：</w:t>
            </w:r>
          </w:p>
          <w:p>
            <w:pPr>
              <w:numPr>
                <w:ilvl w:val="0"/>
                <w:numId w:val="0"/>
              </w:numPr>
              <w:shd w:val="clear"/>
              <w:spacing w:line="360" w:lineRule="auto"/>
              <w:ind w:leftChars="0" w:firstLine="420" w:firstLineChars="200"/>
              <w:jc w:val="left"/>
              <w:rPr>
                <w:rFonts w:hint="eastAsia" w:ascii="宋体" w:hAnsi="宋体" w:eastAsia="宋体" w:cs="宋体"/>
                <w:szCs w:val="21"/>
                <w:highlight w:val="none"/>
                <w:lang w:val="en-US" w:eastAsia="zh-CN"/>
              </w:rPr>
            </w:pPr>
            <w:r>
              <w:rPr>
                <w:rFonts w:hint="eastAsia" w:ascii="宋体" w:hAnsi="宋体" w:cs="宋体"/>
                <w:szCs w:val="21"/>
                <w:highlight w:val="none"/>
              </w:rPr>
              <w:t>现场确认</w:t>
            </w:r>
            <w:r>
              <w:rPr>
                <w:rFonts w:hint="eastAsia" w:ascii="宋体" w:hAnsi="宋体" w:cs="宋体"/>
                <w:szCs w:val="21"/>
                <w:highlight w:val="none"/>
                <w:lang w:val="en-US" w:eastAsia="zh-CN"/>
              </w:rPr>
              <w:t>营业执未发生更新，已收集，见收集材料。</w:t>
            </w:r>
          </w:p>
          <w:p>
            <w:pPr>
              <w:shd w:val="clear"/>
              <w:spacing w:line="360" w:lineRule="auto"/>
              <w:ind w:firstLine="315" w:firstLineChars="150"/>
              <w:jc w:val="left"/>
              <w:rPr>
                <w:rFonts w:ascii="宋体" w:hAnsi="宋体" w:cs="宋体"/>
                <w:szCs w:val="21"/>
                <w:highlight w:val="none"/>
              </w:rPr>
            </w:pPr>
            <w:r>
              <w:rPr>
                <w:rFonts w:hint="eastAsia" w:ascii="宋体" w:hAnsi="宋体" w:cs="宋体"/>
                <w:szCs w:val="21"/>
                <w:highlight w:val="none"/>
              </w:rPr>
              <w:t>从202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7</w:t>
            </w:r>
            <w:r>
              <w:rPr>
                <w:rFonts w:hint="eastAsia" w:ascii="宋体" w:hAnsi="宋体" w:cs="宋体"/>
                <w:szCs w:val="21"/>
                <w:highlight w:val="none"/>
              </w:rPr>
              <w:t>月至今，公司没有顾客的重大产品质量和食品安全投诉</w:t>
            </w:r>
            <w:r>
              <w:rPr>
                <w:rFonts w:hint="eastAsia" w:ascii="宋体" w:hAnsi="宋体" w:cs="宋体"/>
                <w:szCs w:val="21"/>
                <w:highlight w:val="none"/>
                <w:lang w:eastAsia="zh-CN"/>
              </w:rPr>
              <w:t>，</w:t>
            </w:r>
            <w:r>
              <w:rPr>
                <w:rFonts w:hint="eastAsia" w:ascii="宋体" w:hAnsi="宋体" w:cs="宋体"/>
                <w:szCs w:val="21"/>
                <w:highlight w:val="none"/>
                <w:lang w:val="en-US" w:eastAsia="zh-CN"/>
              </w:rPr>
              <w:t>也未发生重大环安全事故</w:t>
            </w:r>
            <w:r>
              <w:rPr>
                <w:rFonts w:hint="eastAsia" w:ascii="宋体" w:hAnsi="宋体" w:cs="宋体"/>
                <w:szCs w:val="21"/>
                <w:highlight w:val="none"/>
              </w:rPr>
              <w:t>。</w:t>
            </w:r>
          </w:p>
          <w:p>
            <w:pPr>
              <w:shd w:val="clear"/>
              <w:spacing w:line="360" w:lineRule="auto"/>
              <w:ind w:firstLine="315" w:firstLineChars="150"/>
              <w:jc w:val="left"/>
              <w:rPr>
                <w:rFonts w:hint="eastAsia" w:ascii="宋体" w:hAnsi="宋体" w:cs="宋体"/>
                <w:szCs w:val="21"/>
                <w:highlight w:val="none"/>
                <w:lang w:eastAsia="zh-CN"/>
              </w:rPr>
            </w:pPr>
            <w:r>
              <w:rPr>
                <w:rFonts w:hint="eastAsia" w:ascii="宋体" w:hAnsi="宋体" w:cs="宋体"/>
                <w:szCs w:val="21"/>
                <w:highlight w:val="none"/>
                <w:lang w:val="en-US" w:eastAsia="zh-CN"/>
              </w:rPr>
              <w:t>远程沟通确认</w:t>
            </w:r>
            <w:r>
              <w:rPr>
                <w:rFonts w:hint="eastAsia" w:ascii="宋体" w:hAnsi="宋体" w:cs="宋体"/>
                <w:szCs w:val="21"/>
                <w:highlight w:val="none"/>
              </w:rPr>
              <w:t>认证证书、标志的使用无违规使用情况</w:t>
            </w:r>
            <w:r>
              <w:rPr>
                <w:rFonts w:hint="eastAsia" w:ascii="宋体" w:hAnsi="宋体" w:cs="宋体"/>
                <w:szCs w:val="21"/>
                <w:highlight w:val="none"/>
                <w:lang w:eastAsia="zh-CN"/>
              </w:rPr>
              <w:t>；</w:t>
            </w:r>
          </w:p>
          <w:p>
            <w:pPr>
              <w:shd w:val="clear"/>
              <w:spacing w:line="360" w:lineRule="auto"/>
              <w:ind w:firstLine="315" w:firstLineChars="150"/>
              <w:jc w:val="left"/>
              <w:rPr>
                <w:rFonts w:ascii="宋体" w:hAnsi="宋体" w:cs="宋体"/>
                <w:szCs w:val="21"/>
                <w:highlight w:val="none"/>
              </w:rPr>
            </w:pPr>
            <w:r>
              <w:rPr>
                <w:rFonts w:hint="eastAsia" w:ascii="宋体" w:hAnsi="宋体" w:cs="宋体"/>
                <w:szCs w:val="21"/>
                <w:highlight w:val="none"/>
              </w:rPr>
              <w:t>体系变动情况：体系文件更新，见收集材料E文件。</w:t>
            </w:r>
          </w:p>
          <w:p>
            <w:pPr>
              <w:shd w:val="clear"/>
              <w:ind w:firstLine="420" w:firstLineChars="200"/>
              <w:rPr>
                <w:rFonts w:ascii="Times New Roman" w:hAnsi="Times New Roman" w:eastAsia="宋体" w:cs="Times New Roman"/>
                <w:kern w:val="2"/>
                <w:sz w:val="21"/>
                <w:lang w:val="en-US" w:eastAsia="zh-CN" w:bidi="ar-SA"/>
              </w:rPr>
            </w:pPr>
            <w:r>
              <w:rPr>
                <w:rFonts w:hint="eastAsia" w:ascii="宋体" w:hAnsi="宋体" w:cs="宋体"/>
                <w:szCs w:val="21"/>
                <w:highlight w:val="none"/>
                <w:lang w:val="en-US" w:eastAsia="zh-CN"/>
              </w:rPr>
              <w:t>初审</w:t>
            </w:r>
            <w:r>
              <w:rPr>
                <w:rFonts w:hint="eastAsia" w:ascii="宋体" w:hAnsi="宋体" w:cs="宋体"/>
                <w:szCs w:val="21"/>
                <w:highlight w:val="none"/>
              </w:rPr>
              <w:t>不符合项</w:t>
            </w:r>
            <w:r>
              <w:rPr>
                <w:rFonts w:hint="eastAsia" w:ascii="宋体" w:hAnsi="宋体" w:cs="宋体"/>
                <w:szCs w:val="21"/>
                <w:highlight w:val="none"/>
                <w:lang w:val="en-US" w:eastAsia="zh-CN"/>
              </w:rPr>
              <w:t>1</w:t>
            </w:r>
            <w:r>
              <w:rPr>
                <w:rFonts w:hint="eastAsia" w:ascii="宋体" w:hAnsi="宋体" w:cs="宋体"/>
                <w:szCs w:val="21"/>
                <w:highlight w:val="none"/>
              </w:rPr>
              <w:t>项,经本次审核验证，未出现类似的不符合情况。</w:t>
            </w:r>
          </w:p>
        </w:tc>
        <w:tc>
          <w:tcPr>
            <w:tcW w:w="1585" w:type="dxa"/>
            <w:shd w:val="clear" w:color="auto" w:fill="auto"/>
            <w:vAlign w:val="top"/>
          </w:tcPr>
          <w:p>
            <w:pPr>
              <w:shd w:val="clear"/>
              <w:rPr>
                <w:rFonts w:ascii="Times New Roman" w:hAnsi="Times New Roman" w:eastAsia="宋体" w:cs="Times New Roman"/>
                <w:kern w:val="2"/>
                <w:sz w:val="21"/>
                <w:lang w:val="en-US" w:eastAsia="zh-CN" w:bidi="ar-SA"/>
              </w:rPr>
            </w:pPr>
            <w:r>
              <w:rPr>
                <w:rFonts w:hint="eastAsia"/>
              </w:rPr>
              <w:t>/</w:t>
            </w:r>
          </w:p>
        </w:tc>
      </w:tr>
    </w:tbl>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IDFont+F5">
    <w:altName w:val="宋体"/>
    <w:panose1 w:val="00000000000000000000"/>
    <w:charset w:val="00"/>
    <w:family w:val="auto"/>
    <w:pitch w:val="default"/>
    <w:sig w:usb0="00000000" w:usb1="00000000" w:usb2="00000000" w:usb3="00000000" w:csb0="0000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0" locked="0" layoutInCell="1" allowOverlap="1">
          <wp:simplePos x="0" y="0"/>
          <wp:positionH relativeFrom="column">
            <wp:posOffset>42545</wp:posOffset>
          </wp:positionH>
          <wp:positionV relativeFrom="paragraph">
            <wp:posOffset>20320</wp:posOffset>
          </wp:positionV>
          <wp:extent cx="366395" cy="368935"/>
          <wp:effectExtent l="0" t="0" r="1905" b="1206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366395" cy="368935"/>
                  </a:xfrm>
                  <a:prstGeom prst="rect">
                    <a:avLst/>
                  </a:prstGeom>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7"/>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I</w:t>
                          </w:r>
                          <w:r>
                            <w:rPr>
                              <w:rFonts w:hint="eastAsia"/>
                              <w:sz w:val="18"/>
                              <w:szCs w:val="18"/>
                            </w:rPr>
                            <w:t>-12 (05版)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I</w:t>
                    </w:r>
                    <w:r>
                      <w:rPr>
                        <w:rFonts w:hint="eastAsia"/>
                        <w:sz w:val="18"/>
                        <w:szCs w:val="18"/>
                      </w:rPr>
                      <w:t>-12 (05版)</w:t>
                    </w:r>
                  </w:p>
                </w:txbxContent>
              </v:textbox>
            </v:shape>
          </w:pict>
        </mc:Fallback>
      </mc:AlternateContent>
    </w:r>
    <w:r>
      <w:rPr>
        <w:rStyle w:val="17"/>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E853B"/>
    <w:multiLevelType w:val="singleLevel"/>
    <w:tmpl w:val="8DEE853B"/>
    <w:lvl w:ilvl="0" w:tentative="0">
      <w:start w:val="1"/>
      <w:numFmt w:val="decimal"/>
      <w:suff w:val="space"/>
      <w:lvlText w:val="%1."/>
      <w:lvlJc w:val="left"/>
    </w:lvl>
  </w:abstractNum>
  <w:abstractNum w:abstractNumId="1">
    <w:nsid w:val="D9157FF7"/>
    <w:multiLevelType w:val="singleLevel"/>
    <w:tmpl w:val="D9157FF7"/>
    <w:lvl w:ilvl="0" w:tentative="0">
      <w:start w:val="1"/>
      <w:numFmt w:val="lowerLetter"/>
      <w:suff w:val="space"/>
      <w:lvlText w:val="%1)"/>
      <w:lvlJc w:val="left"/>
    </w:lvl>
  </w:abstractNum>
  <w:abstractNum w:abstractNumId="2">
    <w:nsid w:val="19E194F9"/>
    <w:multiLevelType w:val="singleLevel"/>
    <w:tmpl w:val="19E194F9"/>
    <w:lvl w:ilvl="0" w:tentative="0">
      <w:start w:val="1"/>
      <w:numFmt w:val="lowerLetter"/>
      <w:lvlText w:val="%1)"/>
      <w:lvlJc w:val="left"/>
      <w:pPr>
        <w:tabs>
          <w:tab w:val="left" w:pos="312"/>
        </w:tabs>
      </w:pPr>
    </w:lvl>
  </w:abstractNum>
  <w:abstractNum w:abstractNumId="3">
    <w:nsid w:val="56645777"/>
    <w:multiLevelType w:val="singleLevel"/>
    <w:tmpl w:val="56645777"/>
    <w:lvl w:ilvl="0" w:tentative="0">
      <w:start w:val="1"/>
      <w:numFmt w:val="lowerLetter"/>
      <w:suff w:val="space"/>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3N2UwYzRjODcyYjBmZWI4OGFkMDIyNTk1M2M5ZTMifQ=="/>
  </w:docVars>
  <w:rsids>
    <w:rsidRoot w:val="009973B4"/>
    <w:rsid w:val="000237F6"/>
    <w:rsid w:val="0003373A"/>
    <w:rsid w:val="000400E2"/>
    <w:rsid w:val="00053043"/>
    <w:rsid w:val="00062E46"/>
    <w:rsid w:val="000E6B21"/>
    <w:rsid w:val="000E7D69"/>
    <w:rsid w:val="000F27E0"/>
    <w:rsid w:val="001037D1"/>
    <w:rsid w:val="001140D6"/>
    <w:rsid w:val="00146D7F"/>
    <w:rsid w:val="00173D63"/>
    <w:rsid w:val="001A2D7F"/>
    <w:rsid w:val="001A7BEE"/>
    <w:rsid w:val="001F1502"/>
    <w:rsid w:val="00203518"/>
    <w:rsid w:val="00222118"/>
    <w:rsid w:val="0023692C"/>
    <w:rsid w:val="00261F50"/>
    <w:rsid w:val="00270CB4"/>
    <w:rsid w:val="002822F1"/>
    <w:rsid w:val="002939AD"/>
    <w:rsid w:val="002971C9"/>
    <w:rsid w:val="002A1E62"/>
    <w:rsid w:val="002A2BE3"/>
    <w:rsid w:val="002A7D96"/>
    <w:rsid w:val="002C2617"/>
    <w:rsid w:val="002E0368"/>
    <w:rsid w:val="002E061E"/>
    <w:rsid w:val="002E69A4"/>
    <w:rsid w:val="00304BD2"/>
    <w:rsid w:val="00314AF6"/>
    <w:rsid w:val="00334BC0"/>
    <w:rsid w:val="003359ED"/>
    <w:rsid w:val="00337922"/>
    <w:rsid w:val="00340867"/>
    <w:rsid w:val="00380837"/>
    <w:rsid w:val="003A198A"/>
    <w:rsid w:val="00410914"/>
    <w:rsid w:val="00441AA6"/>
    <w:rsid w:val="004420CC"/>
    <w:rsid w:val="004507DF"/>
    <w:rsid w:val="0047492D"/>
    <w:rsid w:val="00477A20"/>
    <w:rsid w:val="0048201E"/>
    <w:rsid w:val="0049215F"/>
    <w:rsid w:val="004A3C33"/>
    <w:rsid w:val="004B2B8D"/>
    <w:rsid w:val="004C6611"/>
    <w:rsid w:val="004E753A"/>
    <w:rsid w:val="00531A59"/>
    <w:rsid w:val="00536930"/>
    <w:rsid w:val="005609F1"/>
    <w:rsid w:val="00564E53"/>
    <w:rsid w:val="00571451"/>
    <w:rsid w:val="00573F47"/>
    <w:rsid w:val="005C6B53"/>
    <w:rsid w:val="005D5659"/>
    <w:rsid w:val="005E1EB9"/>
    <w:rsid w:val="005E2DC1"/>
    <w:rsid w:val="00600C20"/>
    <w:rsid w:val="00640DAD"/>
    <w:rsid w:val="00644FE2"/>
    <w:rsid w:val="00660E47"/>
    <w:rsid w:val="00663F71"/>
    <w:rsid w:val="0067640C"/>
    <w:rsid w:val="00677772"/>
    <w:rsid w:val="00691D92"/>
    <w:rsid w:val="006D7C48"/>
    <w:rsid w:val="006E678B"/>
    <w:rsid w:val="006E7B1D"/>
    <w:rsid w:val="006F7347"/>
    <w:rsid w:val="0070341D"/>
    <w:rsid w:val="00705D46"/>
    <w:rsid w:val="00710281"/>
    <w:rsid w:val="007757F3"/>
    <w:rsid w:val="00782A29"/>
    <w:rsid w:val="007860F5"/>
    <w:rsid w:val="007C1B48"/>
    <w:rsid w:val="007E0DC6"/>
    <w:rsid w:val="007E3B15"/>
    <w:rsid w:val="007E6AEB"/>
    <w:rsid w:val="00834FD3"/>
    <w:rsid w:val="008630EE"/>
    <w:rsid w:val="008973EE"/>
    <w:rsid w:val="008C05BC"/>
    <w:rsid w:val="008C44B3"/>
    <w:rsid w:val="0090032F"/>
    <w:rsid w:val="00900938"/>
    <w:rsid w:val="00910EB7"/>
    <w:rsid w:val="00920906"/>
    <w:rsid w:val="0096048E"/>
    <w:rsid w:val="00971600"/>
    <w:rsid w:val="009734AB"/>
    <w:rsid w:val="009741CC"/>
    <w:rsid w:val="0097671F"/>
    <w:rsid w:val="009973B4"/>
    <w:rsid w:val="009B1EAC"/>
    <w:rsid w:val="009C28C1"/>
    <w:rsid w:val="009D0D15"/>
    <w:rsid w:val="009D608E"/>
    <w:rsid w:val="009E7642"/>
    <w:rsid w:val="009F7EED"/>
    <w:rsid w:val="00A109EE"/>
    <w:rsid w:val="00A16C76"/>
    <w:rsid w:val="00A65585"/>
    <w:rsid w:val="00A80636"/>
    <w:rsid w:val="00A80E58"/>
    <w:rsid w:val="00AC2E27"/>
    <w:rsid w:val="00AF0AAB"/>
    <w:rsid w:val="00B115B7"/>
    <w:rsid w:val="00B235FA"/>
    <w:rsid w:val="00B36BEB"/>
    <w:rsid w:val="00B50FD7"/>
    <w:rsid w:val="00B605F2"/>
    <w:rsid w:val="00B75E5F"/>
    <w:rsid w:val="00B801A2"/>
    <w:rsid w:val="00BA5DC8"/>
    <w:rsid w:val="00BB07DF"/>
    <w:rsid w:val="00BE02D6"/>
    <w:rsid w:val="00BE4D72"/>
    <w:rsid w:val="00BE7936"/>
    <w:rsid w:val="00BF597E"/>
    <w:rsid w:val="00C0255A"/>
    <w:rsid w:val="00C03A49"/>
    <w:rsid w:val="00C42423"/>
    <w:rsid w:val="00C51A36"/>
    <w:rsid w:val="00C55228"/>
    <w:rsid w:val="00C63768"/>
    <w:rsid w:val="00C65F2B"/>
    <w:rsid w:val="00C96ED9"/>
    <w:rsid w:val="00CA61DF"/>
    <w:rsid w:val="00CB056F"/>
    <w:rsid w:val="00CB71ED"/>
    <w:rsid w:val="00CD71D8"/>
    <w:rsid w:val="00CE315A"/>
    <w:rsid w:val="00CF3C84"/>
    <w:rsid w:val="00D06F59"/>
    <w:rsid w:val="00D07248"/>
    <w:rsid w:val="00D474A0"/>
    <w:rsid w:val="00D577E5"/>
    <w:rsid w:val="00D708B1"/>
    <w:rsid w:val="00D71355"/>
    <w:rsid w:val="00D8388C"/>
    <w:rsid w:val="00DC055B"/>
    <w:rsid w:val="00DD3530"/>
    <w:rsid w:val="00DE720A"/>
    <w:rsid w:val="00E120F4"/>
    <w:rsid w:val="00E24E64"/>
    <w:rsid w:val="00E25E5F"/>
    <w:rsid w:val="00E6224C"/>
    <w:rsid w:val="00E62EFB"/>
    <w:rsid w:val="00E63CED"/>
    <w:rsid w:val="00E65C8F"/>
    <w:rsid w:val="00EB0164"/>
    <w:rsid w:val="00EC57BB"/>
    <w:rsid w:val="00ED0F62"/>
    <w:rsid w:val="00ED2849"/>
    <w:rsid w:val="00F057D1"/>
    <w:rsid w:val="00F1619F"/>
    <w:rsid w:val="00F2198C"/>
    <w:rsid w:val="00F30F73"/>
    <w:rsid w:val="00F43A54"/>
    <w:rsid w:val="00F56D22"/>
    <w:rsid w:val="00F7499A"/>
    <w:rsid w:val="00F766A7"/>
    <w:rsid w:val="00F95ED9"/>
    <w:rsid w:val="00FF6820"/>
    <w:rsid w:val="01260C71"/>
    <w:rsid w:val="01E27364"/>
    <w:rsid w:val="02C75A20"/>
    <w:rsid w:val="032F5195"/>
    <w:rsid w:val="03A0688A"/>
    <w:rsid w:val="03A32F8E"/>
    <w:rsid w:val="03AB2134"/>
    <w:rsid w:val="03AC3D8E"/>
    <w:rsid w:val="03CE483E"/>
    <w:rsid w:val="03CF54E8"/>
    <w:rsid w:val="0405614C"/>
    <w:rsid w:val="04883DB3"/>
    <w:rsid w:val="049166B1"/>
    <w:rsid w:val="04981EC9"/>
    <w:rsid w:val="050D3D1E"/>
    <w:rsid w:val="056577F0"/>
    <w:rsid w:val="05705C5F"/>
    <w:rsid w:val="057753FF"/>
    <w:rsid w:val="05A05014"/>
    <w:rsid w:val="05F6270F"/>
    <w:rsid w:val="0605101B"/>
    <w:rsid w:val="061B4460"/>
    <w:rsid w:val="065A01DF"/>
    <w:rsid w:val="067B702D"/>
    <w:rsid w:val="06994A8D"/>
    <w:rsid w:val="06AA7E97"/>
    <w:rsid w:val="06ED612A"/>
    <w:rsid w:val="08767210"/>
    <w:rsid w:val="08851DD7"/>
    <w:rsid w:val="08C22483"/>
    <w:rsid w:val="08ED1EE8"/>
    <w:rsid w:val="08F051D3"/>
    <w:rsid w:val="09005957"/>
    <w:rsid w:val="096333C5"/>
    <w:rsid w:val="09933EF9"/>
    <w:rsid w:val="09AA0CA5"/>
    <w:rsid w:val="09FA6045"/>
    <w:rsid w:val="0A0F142E"/>
    <w:rsid w:val="0A1C56C1"/>
    <w:rsid w:val="0A904067"/>
    <w:rsid w:val="0ACA6ED2"/>
    <w:rsid w:val="0AEF4D8D"/>
    <w:rsid w:val="0BBE1987"/>
    <w:rsid w:val="0BE64DFF"/>
    <w:rsid w:val="0C5423F7"/>
    <w:rsid w:val="0C8009B8"/>
    <w:rsid w:val="0CC102DA"/>
    <w:rsid w:val="0D181113"/>
    <w:rsid w:val="0D1E4D9B"/>
    <w:rsid w:val="0D4D1326"/>
    <w:rsid w:val="0D6A2C36"/>
    <w:rsid w:val="0DB35CC0"/>
    <w:rsid w:val="0E49595F"/>
    <w:rsid w:val="0EB8524B"/>
    <w:rsid w:val="0F86648B"/>
    <w:rsid w:val="0F9C35C1"/>
    <w:rsid w:val="0FFA42BF"/>
    <w:rsid w:val="100B6D7F"/>
    <w:rsid w:val="100D075A"/>
    <w:rsid w:val="106A3497"/>
    <w:rsid w:val="108219C2"/>
    <w:rsid w:val="109041EE"/>
    <w:rsid w:val="10991918"/>
    <w:rsid w:val="10A120FB"/>
    <w:rsid w:val="10AB5B5F"/>
    <w:rsid w:val="10C112A0"/>
    <w:rsid w:val="10C11C69"/>
    <w:rsid w:val="10DD2E35"/>
    <w:rsid w:val="11536201"/>
    <w:rsid w:val="115D3DB9"/>
    <w:rsid w:val="11BD2BE2"/>
    <w:rsid w:val="11BE2038"/>
    <w:rsid w:val="11DC0AC4"/>
    <w:rsid w:val="11E2439D"/>
    <w:rsid w:val="12563B2D"/>
    <w:rsid w:val="12982AB9"/>
    <w:rsid w:val="129D4370"/>
    <w:rsid w:val="12A2571D"/>
    <w:rsid w:val="12A42EA7"/>
    <w:rsid w:val="12A506D3"/>
    <w:rsid w:val="12DE5AAA"/>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BC540D"/>
    <w:rsid w:val="15F7492E"/>
    <w:rsid w:val="16210B83"/>
    <w:rsid w:val="16583F2B"/>
    <w:rsid w:val="169D3E09"/>
    <w:rsid w:val="16AB3CAD"/>
    <w:rsid w:val="16E341B9"/>
    <w:rsid w:val="16F10A78"/>
    <w:rsid w:val="17226BDD"/>
    <w:rsid w:val="17446813"/>
    <w:rsid w:val="177551EA"/>
    <w:rsid w:val="179B1D36"/>
    <w:rsid w:val="17AA51C2"/>
    <w:rsid w:val="17C079EC"/>
    <w:rsid w:val="17F76BA3"/>
    <w:rsid w:val="182A66F0"/>
    <w:rsid w:val="186A6524"/>
    <w:rsid w:val="186F767B"/>
    <w:rsid w:val="187F0353"/>
    <w:rsid w:val="188852B3"/>
    <w:rsid w:val="18E100D8"/>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6465C0"/>
    <w:rsid w:val="1CB1322F"/>
    <w:rsid w:val="1D4D4A00"/>
    <w:rsid w:val="1DC4038A"/>
    <w:rsid w:val="1DF36090"/>
    <w:rsid w:val="1DFE25B1"/>
    <w:rsid w:val="1E2801E7"/>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E10A81"/>
    <w:rsid w:val="27FE6486"/>
    <w:rsid w:val="280B3F2E"/>
    <w:rsid w:val="28341F0D"/>
    <w:rsid w:val="2892323E"/>
    <w:rsid w:val="289361DE"/>
    <w:rsid w:val="28B56B06"/>
    <w:rsid w:val="291C5E47"/>
    <w:rsid w:val="296D2D47"/>
    <w:rsid w:val="29CB46C2"/>
    <w:rsid w:val="29F77BA5"/>
    <w:rsid w:val="2A3A6E77"/>
    <w:rsid w:val="2A505EF4"/>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1CC5E08"/>
    <w:rsid w:val="324E5138"/>
    <w:rsid w:val="325251B2"/>
    <w:rsid w:val="32A772DD"/>
    <w:rsid w:val="32D61E6F"/>
    <w:rsid w:val="331E21CE"/>
    <w:rsid w:val="33562A0D"/>
    <w:rsid w:val="33715F28"/>
    <w:rsid w:val="33F07155"/>
    <w:rsid w:val="34012933"/>
    <w:rsid w:val="340C6245"/>
    <w:rsid w:val="343C4522"/>
    <w:rsid w:val="347A0336"/>
    <w:rsid w:val="34813A46"/>
    <w:rsid w:val="34F92D63"/>
    <w:rsid w:val="354A3DBC"/>
    <w:rsid w:val="35527F1F"/>
    <w:rsid w:val="357914C0"/>
    <w:rsid w:val="35D721CD"/>
    <w:rsid w:val="36174333"/>
    <w:rsid w:val="364A3F09"/>
    <w:rsid w:val="36712A80"/>
    <w:rsid w:val="3674429B"/>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73242C"/>
    <w:rsid w:val="3AAB1306"/>
    <w:rsid w:val="3ABD0173"/>
    <w:rsid w:val="3ACE23E2"/>
    <w:rsid w:val="3B227AA7"/>
    <w:rsid w:val="3B2E0E8F"/>
    <w:rsid w:val="3B4241C0"/>
    <w:rsid w:val="3B5F0280"/>
    <w:rsid w:val="3BEE1D6F"/>
    <w:rsid w:val="3BF1473C"/>
    <w:rsid w:val="3CA475E5"/>
    <w:rsid w:val="3CA717F2"/>
    <w:rsid w:val="3CC56579"/>
    <w:rsid w:val="3DAB460B"/>
    <w:rsid w:val="3DDA7DB2"/>
    <w:rsid w:val="3DF2719F"/>
    <w:rsid w:val="3E342793"/>
    <w:rsid w:val="3E3C5235"/>
    <w:rsid w:val="3EA34B57"/>
    <w:rsid w:val="3EEF1E6E"/>
    <w:rsid w:val="3F640BE6"/>
    <w:rsid w:val="3F654598"/>
    <w:rsid w:val="40571F31"/>
    <w:rsid w:val="40760623"/>
    <w:rsid w:val="408B7234"/>
    <w:rsid w:val="40E27AF7"/>
    <w:rsid w:val="40F80D82"/>
    <w:rsid w:val="41342A6B"/>
    <w:rsid w:val="414C7183"/>
    <w:rsid w:val="418D501C"/>
    <w:rsid w:val="41E9167B"/>
    <w:rsid w:val="42271497"/>
    <w:rsid w:val="42416B50"/>
    <w:rsid w:val="4262379E"/>
    <w:rsid w:val="427A1188"/>
    <w:rsid w:val="432A5E11"/>
    <w:rsid w:val="43384925"/>
    <w:rsid w:val="433B1167"/>
    <w:rsid w:val="435F500F"/>
    <w:rsid w:val="43C730CD"/>
    <w:rsid w:val="44536B20"/>
    <w:rsid w:val="44A567F5"/>
    <w:rsid w:val="453B1EBC"/>
    <w:rsid w:val="45413E1D"/>
    <w:rsid w:val="45635AEC"/>
    <w:rsid w:val="45BA54FA"/>
    <w:rsid w:val="45EC74A5"/>
    <w:rsid w:val="45FA6B69"/>
    <w:rsid w:val="460414DD"/>
    <w:rsid w:val="46332B60"/>
    <w:rsid w:val="4654705C"/>
    <w:rsid w:val="468D2C1F"/>
    <w:rsid w:val="468D3CA5"/>
    <w:rsid w:val="46EA7997"/>
    <w:rsid w:val="470243E7"/>
    <w:rsid w:val="471F1498"/>
    <w:rsid w:val="47241E52"/>
    <w:rsid w:val="47271944"/>
    <w:rsid w:val="475C4BFE"/>
    <w:rsid w:val="47BB044C"/>
    <w:rsid w:val="48262DE5"/>
    <w:rsid w:val="48397913"/>
    <w:rsid w:val="4949229C"/>
    <w:rsid w:val="496E72CD"/>
    <w:rsid w:val="49C0281D"/>
    <w:rsid w:val="49E449BF"/>
    <w:rsid w:val="49EC77B8"/>
    <w:rsid w:val="49ED5B1C"/>
    <w:rsid w:val="4AD45EF1"/>
    <w:rsid w:val="4ADD13CB"/>
    <w:rsid w:val="4AE04A18"/>
    <w:rsid w:val="4B337454"/>
    <w:rsid w:val="4B407CC6"/>
    <w:rsid w:val="4B42232B"/>
    <w:rsid w:val="4B464DA1"/>
    <w:rsid w:val="4B825A76"/>
    <w:rsid w:val="4B8B3702"/>
    <w:rsid w:val="4B9B0D7E"/>
    <w:rsid w:val="4BC61285"/>
    <w:rsid w:val="4BC83B65"/>
    <w:rsid w:val="4C1A1162"/>
    <w:rsid w:val="4CA42F63"/>
    <w:rsid w:val="4CA74E41"/>
    <w:rsid w:val="4CA91B51"/>
    <w:rsid w:val="4CB62537"/>
    <w:rsid w:val="4CD2365B"/>
    <w:rsid w:val="4D352804"/>
    <w:rsid w:val="4D3D578E"/>
    <w:rsid w:val="4D636299"/>
    <w:rsid w:val="4D791805"/>
    <w:rsid w:val="4D8F2F88"/>
    <w:rsid w:val="4DB86BCB"/>
    <w:rsid w:val="4DD85058"/>
    <w:rsid w:val="4E0166A9"/>
    <w:rsid w:val="4E1551DB"/>
    <w:rsid w:val="4E7774D0"/>
    <w:rsid w:val="4F256EAD"/>
    <w:rsid w:val="4F594843"/>
    <w:rsid w:val="503C3BCC"/>
    <w:rsid w:val="505C4971"/>
    <w:rsid w:val="50C41CF1"/>
    <w:rsid w:val="51217DA6"/>
    <w:rsid w:val="51294703"/>
    <w:rsid w:val="51425A27"/>
    <w:rsid w:val="5158757E"/>
    <w:rsid w:val="521A5D1E"/>
    <w:rsid w:val="523624DE"/>
    <w:rsid w:val="52A23F56"/>
    <w:rsid w:val="52BA5471"/>
    <w:rsid w:val="52D871F4"/>
    <w:rsid w:val="52F263D6"/>
    <w:rsid w:val="53024EB7"/>
    <w:rsid w:val="53261795"/>
    <w:rsid w:val="53836041"/>
    <w:rsid w:val="53953BE7"/>
    <w:rsid w:val="53E93AEB"/>
    <w:rsid w:val="53F51637"/>
    <w:rsid w:val="54124FEF"/>
    <w:rsid w:val="541C4B67"/>
    <w:rsid w:val="549D5FB3"/>
    <w:rsid w:val="552A2893"/>
    <w:rsid w:val="556B045B"/>
    <w:rsid w:val="557D4E77"/>
    <w:rsid w:val="55C375DD"/>
    <w:rsid w:val="56156439"/>
    <w:rsid w:val="56643532"/>
    <w:rsid w:val="568B5A7B"/>
    <w:rsid w:val="56EF4D06"/>
    <w:rsid w:val="570A6E63"/>
    <w:rsid w:val="573B0118"/>
    <w:rsid w:val="573D2268"/>
    <w:rsid w:val="57411925"/>
    <w:rsid w:val="57441E32"/>
    <w:rsid w:val="57535542"/>
    <w:rsid w:val="575B3098"/>
    <w:rsid w:val="577F2D1A"/>
    <w:rsid w:val="57F55B90"/>
    <w:rsid w:val="580F191D"/>
    <w:rsid w:val="581D033C"/>
    <w:rsid w:val="58276F84"/>
    <w:rsid w:val="58584813"/>
    <w:rsid w:val="58B728A2"/>
    <w:rsid w:val="58B868EB"/>
    <w:rsid w:val="590D059A"/>
    <w:rsid w:val="592802C2"/>
    <w:rsid w:val="595074E8"/>
    <w:rsid w:val="5978735A"/>
    <w:rsid w:val="59E42114"/>
    <w:rsid w:val="59E710C8"/>
    <w:rsid w:val="5A1C59A1"/>
    <w:rsid w:val="5A386EB4"/>
    <w:rsid w:val="5A407674"/>
    <w:rsid w:val="5A432974"/>
    <w:rsid w:val="5A6A20C5"/>
    <w:rsid w:val="5AD64AF2"/>
    <w:rsid w:val="5B544EB3"/>
    <w:rsid w:val="5B6A33DD"/>
    <w:rsid w:val="5BF04FFA"/>
    <w:rsid w:val="5C045A62"/>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755D1"/>
    <w:rsid w:val="5EBA7075"/>
    <w:rsid w:val="5EBF5DC8"/>
    <w:rsid w:val="5F02275D"/>
    <w:rsid w:val="5F14059B"/>
    <w:rsid w:val="5F291E1B"/>
    <w:rsid w:val="5F2B6E51"/>
    <w:rsid w:val="5F551AC0"/>
    <w:rsid w:val="5F616E2A"/>
    <w:rsid w:val="5FE015B4"/>
    <w:rsid w:val="600754B6"/>
    <w:rsid w:val="6018182B"/>
    <w:rsid w:val="601E0F43"/>
    <w:rsid w:val="60596F8D"/>
    <w:rsid w:val="608075E1"/>
    <w:rsid w:val="61144C85"/>
    <w:rsid w:val="61326FB1"/>
    <w:rsid w:val="61384C31"/>
    <w:rsid w:val="61E77A7E"/>
    <w:rsid w:val="61F16F63"/>
    <w:rsid w:val="622A4138"/>
    <w:rsid w:val="62385483"/>
    <w:rsid w:val="62385A6C"/>
    <w:rsid w:val="62876D77"/>
    <w:rsid w:val="62CA4AF4"/>
    <w:rsid w:val="62E4371E"/>
    <w:rsid w:val="632045D1"/>
    <w:rsid w:val="6342544F"/>
    <w:rsid w:val="63720424"/>
    <w:rsid w:val="63A31ABC"/>
    <w:rsid w:val="63C65078"/>
    <w:rsid w:val="63EA156F"/>
    <w:rsid w:val="63EA6D88"/>
    <w:rsid w:val="64621F9C"/>
    <w:rsid w:val="64A537DD"/>
    <w:rsid w:val="64B45425"/>
    <w:rsid w:val="64B96E85"/>
    <w:rsid w:val="64BB6795"/>
    <w:rsid w:val="64D069A0"/>
    <w:rsid w:val="64F27E75"/>
    <w:rsid w:val="65067C78"/>
    <w:rsid w:val="653C2C5E"/>
    <w:rsid w:val="65662197"/>
    <w:rsid w:val="656B5D01"/>
    <w:rsid w:val="658C79F9"/>
    <w:rsid w:val="65A33DF6"/>
    <w:rsid w:val="65BE04E1"/>
    <w:rsid w:val="65F429F0"/>
    <w:rsid w:val="665A6FDB"/>
    <w:rsid w:val="66B368AE"/>
    <w:rsid w:val="66B532F3"/>
    <w:rsid w:val="66B752DF"/>
    <w:rsid w:val="66C2760F"/>
    <w:rsid w:val="675A3B6C"/>
    <w:rsid w:val="67AF7DB6"/>
    <w:rsid w:val="680564C6"/>
    <w:rsid w:val="681B3F7A"/>
    <w:rsid w:val="68233428"/>
    <w:rsid w:val="6844529D"/>
    <w:rsid w:val="68B54AF7"/>
    <w:rsid w:val="68CA009F"/>
    <w:rsid w:val="695B5920"/>
    <w:rsid w:val="69B35A0D"/>
    <w:rsid w:val="69CC607C"/>
    <w:rsid w:val="69EA1163"/>
    <w:rsid w:val="69F96768"/>
    <w:rsid w:val="6A287F98"/>
    <w:rsid w:val="6AB40496"/>
    <w:rsid w:val="6ABD1D5E"/>
    <w:rsid w:val="6AF33939"/>
    <w:rsid w:val="6B126F12"/>
    <w:rsid w:val="6B795D62"/>
    <w:rsid w:val="6B910AA0"/>
    <w:rsid w:val="6BC747F5"/>
    <w:rsid w:val="6BD35CE4"/>
    <w:rsid w:val="6C3014BE"/>
    <w:rsid w:val="6C5D414F"/>
    <w:rsid w:val="6C761A36"/>
    <w:rsid w:val="6CA324B4"/>
    <w:rsid w:val="6CDE17FD"/>
    <w:rsid w:val="6D1D2C91"/>
    <w:rsid w:val="6D232D3C"/>
    <w:rsid w:val="6D2F5D1E"/>
    <w:rsid w:val="6D792112"/>
    <w:rsid w:val="6E641038"/>
    <w:rsid w:val="6EB95537"/>
    <w:rsid w:val="6EBD0EA6"/>
    <w:rsid w:val="6F435405"/>
    <w:rsid w:val="6F4810D8"/>
    <w:rsid w:val="6F6D2BAA"/>
    <w:rsid w:val="6F8F1120"/>
    <w:rsid w:val="6F9A4A47"/>
    <w:rsid w:val="6FD909A9"/>
    <w:rsid w:val="701710D0"/>
    <w:rsid w:val="70795456"/>
    <w:rsid w:val="709946EC"/>
    <w:rsid w:val="72702455"/>
    <w:rsid w:val="728F2E47"/>
    <w:rsid w:val="72973011"/>
    <w:rsid w:val="72E42D1B"/>
    <w:rsid w:val="731254DC"/>
    <w:rsid w:val="734F0911"/>
    <w:rsid w:val="736054C4"/>
    <w:rsid w:val="736C572D"/>
    <w:rsid w:val="73A422EB"/>
    <w:rsid w:val="74103E55"/>
    <w:rsid w:val="745B622A"/>
    <w:rsid w:val="753E2D2E"/>
    <w:rsid w:val="75DB13A5"/>
    <w:rsid w:val="75E552E3"/>
    <w:rsid w:val="75EC38CD"/>
    <w:rsid w:val="75FA530F"/>
    <w:rsid w:val="7648538B"/>
    <w:rsid w:val="76577132"/>
    <w:rsid w:val="76BD747C"/>
    <w:rsid w:val="76CD52EB"/>
    <w:rsid w:val="76FE004A"/>
    <w:rsid w:val="770515A4"/>
    <w:rsid w:val="77462C4C"/>
    <w:rsid w:val="77A268F6"/>
    <w:rsid w:val="77CC3658"/>
    <w:rsid w:val="780F54C3"/>
    <w:rsid w:val="782C6CF7"/>
    <w:rsid w:val="78680ECD"/>
    <w:rsid w:val="7880670B"/>
    <w:rsid w:val="78AE0265"/>
    <w:rsid w:val="78EE7F5B"/>
    <w:rsid w:val="78F11CE1"/>
    <w:rsid w:val="78F66955"/>
    <w:rsid w:val="79053EDA"/>
    <w:rsid w:val="79097264"/>
    <w:rsid w:val="791D3993"/>
    <w:rsid w:val="79202162"/>
    <w:rsid w:val="7924138B"/>
    <w:rsid w:val="79826449"/>
    <w:rsid w:val="79D339B9"/>
    <w:rsid w:val="7A200C95"/>
    <w:rsid w:val="7A594332"/>
    <w:rsid w:val="7A8564DB"/>
    <w:rsid w:val="7AC22B97"/>
    <w:rsid w:val="7ACB083F"/>
    <w:rsid w:val="7B1F77A4"/>
    <w:rsid w:val="7B292799"/>
    <w:rsid w:val="7C090682"/>
    <w:rsid w:val="7C4E6027"/>
    <w:rsid w:val="7C6A6CA8"/>
    <w:rsid w:val="7CF04E00"/>
    <w:rsid w:val="7D0B04E5"/>
    <w:rsid w:val="7D41026F"/>
    <w:rsid w:val="7D59343F"/>
    <w:rsid w:val="7E0A78B3"/>
    <w:rsid w:val="7E2912F3"/>
    <w:rsid w:val="7F5A2A47"/>
    <w:rsid w:val="7F9026D0"/>
    <w:rsid w:val="7F984417"/>
    <w:rsid w:val="7FD91DE8"/>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4">
    <w:name w:val="Body Text"/>
    <w:basedOn w:val="1"/>
    <w:qFormat/>
    <w:uiPriority w:val="1"/>
    <w:pPr>
      <w:ind w:left="137"/>
    </w:pPr>
    <w:rPr>
      <w:rFonts w:ascii="宋体" w:hAnsi="宋体"/>
      <w:sz w:val="20"/>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4"/>
    <w:qFormat/>
    <w:uiPriority w:val="0"/>
    <w:pPr>
      <w:ind w:firstLine="420" w:firstLineChars="1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paragraph" w:customStyle="1" w:styleId="13">
    <w:name w:val="表格文字"/>
    <w:basedOn w:val="1"/>
    <w:qFormat/>
    <w:uiPriority w:val="0"/>
    <w:pPr>
      <w:spacing w:before="25" w:after="25"/>
    </w:pPr>
    <w:rPr>
      <w:bCs/>
      <w:spacing w:val="10"/>
    </w:rPr>
  </w:style>
  <w:style w:type="character" w:customStyle="1" w:styleId="14">
    <w:name w:val="页眉 字符"/>
    <w:basedOn w:val="11"/>
    <w:link w:val="7"/>
    <w:qFormat/>
    <w:uiPriority w:val="99"/>
    <w:rPr>
      <w:rFonts w:ascii="Times New Roman" w:hAnsi="Times New Roman" w:eastAsia="宋体" w:cs="Times New Roman"/>
      <w:sz w:val="18"/>
      <w:szCs w:val="18"/>
    </w:rPr>
  </w:style>
  <w:style w:type="character" w:customStyle="1" w:styleId="15">
    <w:name w:val="页脚 字符"/>
    <w:basedOn w:val="11"/>
    <w:link w:val="6"/>
    <w:qFormat/>
    <w:uiPriority w:val="99"/>
    <w:rPr>
      <w:rFonts w:ascii="Times New Roman" w:hAnsi="Times New Roman" w:eastAsia="宋体" w:cs="Times New Roman"/>
      <w:sz w:val="18"/>
      <w:szCs w:val="18"/>
    </w:rPr>
  </w:style>
  <w:style w:type="character" w:customStyle="1" w:styleId="16">
    <w:name w:val="批注框文本 字符"/>
    <w:basedOn w:val="11"/>
    <w:link w:val="5"/>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styleId="18">
    <w:name w:val="List Paragraph"/>
    <w:basedOn w:val="1"/>
    <w:qFormat/>
    <w:uiPriority w:val="99"/>
    <w:pPr>
      <w:ind w:firstLine="420" w:firstLineChars="200"/>
    </w:pPr>
  </w:style>
  <w:style w:type="paragraph" w:customStyle="1" w:styleId="19">
    <w:name w:val="纯文本1"/>
    <w:basedOn w:val="1"/>
    <w:qFormat/>
    <w:uiPriority w:val="0"/>
    <w:rPr>
      <w:rFonts w:ascii="宋体" w:hAnsi="Courier New"/>
    </w:rPr>
  </w:style>
  <w:style w:type="paragraph" w:customStyle="1" w:styleId="2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10022</Words>
  <Characters>10966</Characters>
  <Lines>100</Lines>
  <Paragraphs>28</Paragraphs>
  <TotalTime>2</TotalTime>
  <ScaleCrop>false</ScaleCrop>
  <LinksUpToDate>false</LinksUpToDate>
  <CharactersWithSpaces>12209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2022-05-27T00:41:00Z</dcterms:created>
  <dc:creator>微软用户</dc:creator>
  <cp:lastModifiedBy>肖新龙</cp:lastModifiedBy>
  <dcterms:modified xsi:type="dcterms:W3CDTF">2022-06-05T10:15:40Z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F29362E5614647249FFBC98BA3FE57CC</vt:lpwstr>
  </property>
</Properties>
</file>