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50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857"/>
        <w:gridCol w:w="996"/>
        <w:gridCol w:w="1"/>
        <w:gridCol w:w="11"/>
        <w:gridCol w:w="737"/>
        <w:gridCol w:w="942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15" w:hRule="atLeast"/>
        </w:trPr>
        <w:tc>
          <w:tcPr>
            <w:tcW w:w="1857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6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配送部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负责人：卢利芬、王辉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邵霞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03" w:hRule="atLeast"/>
        </w:trPr>
        <w:tc>
          <w:tcPr>
            <w:tcW w:w="1857" w:type="dxa"/>
            <w:vMerge w:val="continue"/>
            <w:shd w:val="clear" w:color="auto" w:fill="auto"/>
            <w:vAlign w:val="center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0161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审核员：肖新龙</w:t>
            </w:r>
            <w:r>
              <w:rPr>
                <w:rFonts w:hint="eastAsia"/>
                <w:lang w:val="en-US" w:eastAsia="zh-CN"/>
              </w:rPr>
              <w:t>H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【远程】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任泽华F实习H【远程】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审核日期：2</w:t>
            </w:r>
            <w:r>
              <w:t>022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05-27~2022-05-28上午；沟通方式：微信、电话、腾讯会议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339" w:hRule="atLeast"/>
        </w:trPr>
        <w:tc>
          <w:tcPr>
            <w:tcW w:w="1857" w:type="dxa"/>
            <w:vMerge w:val="continue"/>
            <w:shd w:val="clear" w:color="auto" w:fill="auto"/>
            <w:vAlign w:val="center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016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审核条款：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highlight w:val="none"/>
              </w:rPr>
            </w:pPr>
            <w:r>
              <w:rPr>
                <w:highlight w:val="none"/>
              </w:rPr>
              <w:t>F:5.3/6.2/7.1.3/7.1.4/8.2/8.3/8.4/8.5.4.5/8.9.5</w:t>
            </w:r>
          </w:p>
          <w:p>
            <w:pPr>
              <w:pStyle w:val="2"/>
              <w:spacing w:line="360" w:lineRule="auto"/>
              <w:ind w:firstLine="210" w:firstLineChars="100"/>
              <w:rPr>
                <w:highlight w:val="yellow"/>
              </w:rPr>
            </w:pPr>
            <w:r>
              <w:rPr>
                <w:sz w:val="21"/>
                <w:szCs w:val="20"/>
                <w:highlight w:val="none"/>
              </w:rPr>
              <w:t>H:2.4.2/2.5.</w:t>
            </w:r>
            <w:bookmarkStart w:id="1" w:name="_GoBack"/>
            <w:r>
              <w:rPr>
                <w:sz w:val="21"/>
                <w:szCs w:val="20"/>
                <w:highlight w:val="none"/>
              </w:rPr>
              <w:t>1/3.3/</w:t>
            </w:r>
            <w:r>
              <w:rPr>
                <w:rFonts w:hint="eastAsia"/>
                <w:sz w:val="21"/>
                <w:szCs w:val="20"/>
                <w:highlight w:val="none"/>
                <w:lang w:val="en-US" w:eastAsia="zh-CN"/>
              </w:rPr>
              <w:t>3.4/</w:t>
            </w:r>
            <w:r>
              <w:rPr>
                <w:sz w:val="21"/>
                <w:szCs w:val="20"/>
                <w:highlight w:val="none"/>
              </w:rPr>
              <w:t>3.7/3.9/3.10/3.11/3.13/4.3.4.3</w:t>
            </w:r>
            <w:bookmarkEnd w:id="1"/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gridSpan w:val="3"/>
            <w:vMerge w:val="restart"/>
            <w:shd w:val="clear" w:color="auto" w:fill="auto"/>
          </w:tcPr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F5.3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31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根据客户订单安排每日分拣销售工作、负责仓储、车辆等基础设备的管理、负责</w:t>
            </w:r>
            <w:r>
              <w:rPr>
                <w:rFonts w:hint="eastAsia"/>
              </w:rPr>
              <w:t>工作环境</w:t>
            </w:r>
            <w:r>
              <w:rPr>
                <w:rFonts w:hint="eastAsia"/>
                <w:lang w:val="en-US" w:eastAsia="zh-CN"/>
              </w:rPr>
              <w:t>的管理、负责</w:t>
            </w:r>
            <w:r>
              <w:rPr>
                <w:rFonts w:hint="eastAsia"/>
              </w:rPr>
              <w:t>标识和可追溯性管理；产品和服务的设计和开发；前提方案</w:t>
            </w:r>
            <w:r>
              <w:rPr>
                <w:rFonts w:hint="eastAsia"/>
                <w:lang w:val="en-US" w:eastAsia="zh-CN"/>
              </w:rPr>
              <w:t>/良好卫生规范的实施</w:t>
            </w:r>
            <w:r>
              <w:rPr>
                <w:rFonts w:hint="eastAsia"/>
              </w:rPr>
              <w:t>；应急准备和响应/产品撤回召回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OPRP/CCP的实施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经询问本部门职责未发生变化。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43" w:hRule="atLeast"/>
        </w:trPr>
        <w:tc>
          <w:tcPr>
            <w:tcW w:w="1857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00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F6.2</w:t>
            </w:r>
          </w:p>
          <w:p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highlight w:val="none"/>
              </w:rPr>
              <w:t>《目标</w:t>
            </w:r>
            <w:r>
              <w:rPr>
                <w:rFonts w:hint="eastAsia"/>
                <w:highlight w:val="none"/>
                <w:lang w:val="en-US" w:eastAsia="zh-CN"/>
              </w:rPr>
              <w:t>考核</w:t>
            </w:r>
            <w:r>
              <w:rPr>
                <w:rFonts w:hint="eastAsia"/>
                <w:highlight w:val="none"/>
              </w:rPr>
              <w:t>表》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22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138"/>
              <w:gridCol w:w="1671"/>
              <w:gridCol w:w="35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考核频率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计算</w:t>
                  </w:r>
                  <w:r>
                    <w:rPr>
                      <w:rFonts w:hint="eastAsia" w:ascii="宋体" w:hAnsi="宋体"/>
                      <w:szCs w:val="21"/>
                    </w:rPr>
                    <w:t>方法</w:t>
                  </w:r>
                </w:p>
              </w:tc>
              <w:tc>
                <w:tcPr>
                  <w:tcW w:w="35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1年度-2022年3月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pStyle w:val="18"/>
                    <w:spacing w:before="2" w:line="290" w:lineRule="exact"/>
                    <w:ind w:left="108" w:lef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sz w:val="21"/>
                      <w:szCs w:val="21"/>
                    </w:rPr>
                    <w:t>质量投诉率≤1 次/月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sz w:val="24"/>
                    </w:rPr>
                    <w:t>每季度</w:t>
                  </w: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3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pStyle w:val="18"/>
                    <w:spacing w:before="4" w:line="288" w:lineRule="exact"/>
                    <w:ind w:left="108" w:lef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sz w:val="21"/>
                      <w:szCs w:val="21"/>
                    </w:rPr>
                    <w:t>配送及时率 98％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sz w:val="24"/>
                    </w:rPr>
                    <w:t>每季度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3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pStyle w:val="18"/>
                    <w:spacing w:before="54"/>
                    <w:ind w:left="108" w:leftChars="0"/>
                    <w:rPr>
                      <w:rFonts w:ascii="宋体" w:hAnsi="宋体" w:eastAsia="宋体" w:cs="宋体"/>
                      <w:kern w:val="2"/>
                      <w:sz w:val="21"/>
                      <w:szCs w:val="21"/>
                      <w:lang w:val="zh-CN" w:eastAsia="zh-CN" w:bidi="zh-CN"/>
                    </w:rPr>
                  </w:pPr>
                  <w:r>
                    <w:rPr>
                      <w:sz w:val="21"/>
                      <w:szCs w:val="21"/>
                    </w:rPr>
                    <w:t>主要设备完好率≥98%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sz w:val="24"/>
                    </w:rPr>
                    <w:t>每年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未明确</w:t>
                  </w:r>
                </w:p>
              </w:tc>
              <w:tc>
                <w:tcPr>
                  <w:tcW w:w="353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2021年度已完成，2022年度在实施中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5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5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yellow"/>
              </w:rPr>
              <w:t>但未明确目标考核的</w:t>
            </w:r>
            <w:r>
              <w:rPr>
                <w:rFonts w:hint="eastAsia"/>
                <w:highlight w:val="yellow"/>
                <w:lang w:val="en-US" w:eastAsia="zh-CN"/>
              </w:rPr>
              <w:t>计算</w:t>
            </w:r>
            <w:r>
              <w:rPr>
                <w:rFonts w:hint="eastAsia"/>
                <w:highlight w:val="yellow"/>
              </w:rPr>
              <w:t>方式，可进一步完善。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82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1008" w:type="dxa"/>
            <w:gridSpan w:val="3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F7.1.3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H3.3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第7.1条款、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《基础设施控制程序》、《设备管理制度》、《设备操作规程》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良好卫生规范/前提方案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rPr>
                <w:rFonts w:ascii="宋体" w:hAnsi="宋体"/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>
            <w:pPr>
              <w:pStyle w:val="7"/>
              <w:rPr>
                <w:color w:val="FF000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37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基础设施包括：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主要是车辆、冷冻库冷藏库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动力设施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>
            <w:pPr>
              <w:ind w:firstLine="1680" w:firstLineChars="800"/>
            </w:pPr>
          </w:p>
          <w:p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911" w:type="dxa"/>
                </w:tcPr>
                <w:p/>
              </w:tc>
              <w:tc>
                <w:tcPr>
                  <w:tcW w:w="223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查看对设备维保的控制：</w:t>
            </w:r>
          </w:p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提供有《设备台账清单》</w:t>
            </w:r>
            <w:r>
              <w:rPr>
                <w:rFonts w:hint="eastAsia"/>
                <w:highlight w:val="none"/>
                <w:lang w:eastAsia="zh-CN"/>
              </w:rPr>
              <w:t>、《</w:t>
            </w:r>
            <w:r>
              <w:rPr>
                <w:rFonts w:hint="eastAsia"/>
                <w:highlight w:val="none"/>
                <w:lang w:val="en-US" w:eastAsia="zh-CN"/>
              </w:rPr>
              <w:t>车辆管理调账</w:t>
            </w:r>
            <w:r>
              <w:rPr>
                <w:rFonts w:hint="eastAsia"/>
                <w:highlight w:val="none"/>
                <w:lang w:eastAsia="zh-CN"/>
              </w:rPr>
              <w:t>》、《</w:t>
            </w:r>
            <w:r>
              <w:rPr>
                <w:rFonts w:hint="eastAsia"/>
                <w:highlight w:val="none"/>
                <w:lang w:val="en-US" w:eastAsia="zh-CN"/>
              </w:rPr>
              <w:t>冷库系统性维保记录单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</w:rPr>
              <w:t>随机抽取：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3"/>
              <w:gridCol w:w="1797"/>
              <w:gridCol w:w="1220"/>
              <w:gridCol w:w="1140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17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车牌号浙A8AB01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03-15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未明确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大保养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车牌号浙A8AB01</w:t>
                  </w:r>
                </w:p>
              </w:tc>
              <w:tc>
                <w:tcPr>
                  <w:tcW w:w="1220" w:type="dxa"/>
                </w:tcPr>
                <w:p>
                  <w:pPr>
                    <w:tabs>
                      <w:tab w:val="left" w:pos="450"/>
                    </w:tabs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04-22</w:t>
                  </w: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里程</w:t>
                  </w:r>
                </w:p>
              </w:tc>
              <w:tc>
                <w:tcPr>
                  <w:tcW w:w="3557" w:type="dxa"/>
                </w:tcPr>
                <w:p>
                  <w:pPr>
                    <w:spacing w:line="240" w:lineRule="exact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常规保养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  <w:vAlign w:val="center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263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40" w:type="dxa"/>
                </w:tcPr>
                <w:p>
                  <w:pPr>
                    <w:rPr>
                      <w:rFonts w:ascii="Calibri" w:hAnsi="Calibr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7"/>
              <w:ind w:left="0" w:leftChars="0"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提供有《车辆常规安全自查表》抽查，车牌号浙A8AB01，2022-03月，浙AGA538-2022-04月无异常；</w:t>
            </w:r>
          </w:p>
          <w:p>
            <w:pPr>
              <w:pStyle w:val="7"/>
              <w:ind w:left="0" w:leftChars="0"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提供有《冷库系统性维保记录单》，抽查2022.01月/2022.04月，无异常</w:t>
            </w:r>
          </w:p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查看对设施、设备等维修的控制，组织提供了维修记录。抽查如下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  <w:gridCol w:w="1845"/>
              <w:gridCol w:w="2509"/>
              <w:gridCol w:w="1860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86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8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509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车辆维修记录</w:t>
                  </w:r>
                </w:p>
              </w:tc>
              <w:tc>
                <w:tcPr>
                  <w:tcW w:w="18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浙AGA538</w:t>
                  </w:r>
                </w:p>
              </w:tc>
              <w:tc>
                <w:tcPr>
                  <w:tcW w:w="25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>
                    <w:rPr>
                      <w:rFonts w:hint="eastAsia"/>
                      <w:lang w:val="en-US" w:eastAsia="zh-CN"/>
                    </w:rPr>
                    <w:t>3.12维修侧门</w:t>
                  </w:r>
                </w:p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8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车辆维修记录</w:t>
                  </w:r>
                </w:p>
              </w:tc>
              <w:tc>
                <w:tcPr>
                  <w:tcW w:w="18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浙A5VD23</w:t>
                  </w:r>
                </w:p>
              </w:tc>
              <w:tc>
                <w:tcPr>
                  <w:tcW w:w="25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</w:t>
                  </w:r>
                  <w:r>
                    <w:rPr>
                      <w:rFonts w:hint="eastAsia"/>
                      <w:lang w:val="en-US" w:eastAsia="zh-CN"/>
                    </w:rPr>
                    <w:t>03.11 换油底壳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2022.05.23爆胎</w:t>
                  </w:r>
                </w:p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86" w:type="dxa"/>
                </w:tcPr>
                <w:p/>
              </w:tc>
              <w:tc>
                <w:tcPr>
                  <w:tcW w:w="1845" w:type="dxa"/>
                </w:tcPr>
                <w:p/>
              </w:tc>
              <w:tc>
                <w:tcPr>
                  <w:tcW w:w="2509" w:type="dxa"/>
                </w:tcPr>
                <w:p/>
              </w:tc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 xml:space="preserve">口合格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压力容器（共五台）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7"/>
              <w:gridCol w:w="1142"/>
              <w:gridCol w:w="1647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42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（灭菌锅）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（灭菌锅）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397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142" w:type="dxa"/>
                </w:tcPr>
                <w:p/>
              </w:tc>
              <w:tc>
                <w:tcPr>
                  <w:tcW w:w="164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不涉及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自检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>
            <w:pPr>
              <w:pStyle w:val="7"/>
              <w:ind w:left="0" w:firstLine="0" w:firstLineChars="0"/>
            </w:pP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00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设计开发</w:t>
            </w:r>
          </w:p>
        </w:tc>
        <w:tc>
          <w:tcPr>
            <w:tcW w:w="1008" w:type="dxa"/>
            <w:gridSpan w:val="3"/>
            <w:vMerge w:val="restart"/>
            <w:shd w:val="clear" w:color="auto" w:fill="auto"/>
          </w:tcPr>
          <w:p>
            <w:pPr>
              <w:pStyle w:val="11"/>
            </w:pPr>
            <w:r>
              <w:rPr>
                <w:rFonts w:hint="eastAsia"/>
              </w:rPr>
              <w:t>H3.</w:t>
            </w:r>
            <w:r>
              <w:t>4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质量和食品安全管理手册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中8</w:t>
            </w:r>
            <w:r>
              <w:t>.3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食品研发及确认控制程序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00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</w:tcPr>
          <w:p/>
        </w:tc>
        <w:tc>
          <w:tcPr>
            <w:tcW w:w="737" w:type="dxa"/>
            <w:shd w:val="clear" w:color="auto" w:fill="auto"/>
          </w:tcPr>
          <w:p/>
        </w:tc>
        <w:tc>
          <w:tcPr>
            <w:tcW w:w="9424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当企业发生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新产品研发、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产品发生变化、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产品生产工艺发生变更，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要对HACCP计划的进行确认，按照预备步骤进行控制。 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该组织的设计开发主要以产品/原料配料，口味等变化为主，工艺基本一致，询问企业目前新品开发情况，企业表示审核周期内没有新产品，如有发生时，参照预备步骤进行控制。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是否进行了食品安全危害识别</w:t>
            </w:r>
            <w:r>
              <w:rPr>
                <w:rFonts w:hint="eastAsia"/>
                <w:u w:val="single"/>
              </w:rPr>
              <w:t>（审核周期内没有发生）</w:t>
            </w:r>
            <w:r>
              <w:rPr>
                <w:rFonts w:hint="eastAsia"/>
              </w:rPr>
              <w:t xml:space="preserve">；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口是口否；具体描述：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是否进行了食品安全危害分析和评估；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口是口否；具体描述：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是否确定了CCP/CL/OL</w:t>
            </w:r>
          </w:p>
          <w:p>
            <w:r>
              <w:rPr>
                <w:rFonts w:hint="eastAsia"/>
              </w:rPr>
              <w:t>口是口否；具体描述：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</w:tc>
        <w:tc>
          <w:tcPr>
            <w:tcW w:w="1418" w:type="dxa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100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H3.3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H3.5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《前提方案/良好卫生规范》、口《生产过程控制管理制度》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食品配送工作日常管理规程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场所、配送工具清洗消毒保洁管理制度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弃物处置管理制度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" w:hRule="atLeast"/>
        </w:trPr>
        <w:tc>
          <w:tcPr>
            <w:tcW w:w="1857" w:type="dxa"/>
            <w:vMerge w:val="continue"/>
            <w:shd w:val="clear" w:color="auto" w:fill="auto"/>
          </w:tcPr>
          <w:p>
            <w:pPr>
              <w:rPr>
                <w:highlight w:val="green"/>
              </w:rPr>
            </w:pPr>
          </w:p>
        </w:tc>
        <w:tc>
          <w:tcPr>
            <w:tcW w:w="1008" w:type="dxa"/>
            <w:gridSpan w:val="3"/>
            <w:vMerge w:val="continue"/>
            <w:shd w:val="clear" w:color="auto" w:fill="auto"/>
          </w:tcPr>
          <w:p>
            <w:pPr>
              <w:rPr>
                <w:highlight w:val="green"/>
              </w:rPr>
            </w:pP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</w:t>
            </w:r>
            <w:bookmarkStart w:id="0" w:name="注册地址"/>
            <w:r>
              <w:rPr>
                <w:rFonts w:hint="eastAsia"/>
                <w:szCs w:val="21"/>
                <w:u w:val="single"/>
              </w:rPr>
              <w:t>浙江省杭州市临安区玲珑街道双源村</w:t>
            </w:r>
            <w:bookmarkEnd w:id="0"/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厂区位置、配送分拣大厅布局符合预包装食品（含冷藏冷冻食品）及散装食品（不含冷藏冷冻食品）销售的</w:t>
            </w:r>
            <w:r>
              <w:rPr>
                <w:rFonts w:hint="eastAsia"/>
                <w:szCs w:val="21"/>
                <w:u w:val="single"/>
              </w:rPr>
              <w:t>基本需求。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与公司地理位置图、平面图台账一致。</w:t>
            </w:r>
          </w:p>
          <w:p>
            <w:pPr>
              <w:ind w:firstLine="211" w:firstLineChars="100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建筑面积5382平方米，厂区面积13057平方米；配送大厅1个； 2个冷冻库，  2个冷藏库，  3个常温库，检验室1个；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在办公层和车间外部设有卫生间，配备有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简易</w:t>
            </w:r>
            <w:r>
              <w:rPr>
                <w:rFonts w:hint="eastAsia" w:ascii="宋体" w:hAnsi="宋体"/>
                <w:szCs w:val="21"/>
                <w:u w:val="single"/>
              </w:rPr>
              <w:t>更衣室等；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预包装食品（含冷藏冷冻食品）及散装食品（不含冷藏冷冻食品）销售</w:t>
            </w:r>
            <w:r>
              <w:rPr>
                <w:rFonts w:hint="eastAsia" w:ascii="宋体" w:hAnsi="宋体"/>
                <w:szCs w:val="21"/>
                <w:u w:val="single"/>
              </w:rPr>
              <w:t>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>因组织为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预包装食品（含冷藏冷冻食品）及散装食品（不含冷藏冷冻食品）销售</w:t>
            </w:r>
            <w:r>
              <w:rPr>
                <w:rFonts w:hint="eastAsia"/>
                <w:highlight w:val="none"/>
                <w:u w:val="single"/>
              </w:rPr>
              <w:t>，使用城市管网水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对场地、车辆消毒用水</w:t>
            </w:r>
            <w:r>
              <w:rPr>
                <w:rFonts w:hint="eastAsia"/>
                <w:highlight w:val="none"/>
                <w:u w:val="single"/>
              </w:rPr>
              <w:t>等。</w:t>
            </w:r>
          </w:p>
          <w:p>
            <w:pPr>
              <w:ind w:firstLine="420" w:firstLineChars="2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对水流、物流和人流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基本</w:t>
            </w:r>
            <w:r>
              <w:rPr>
                <w:rFonts w:hint="eastAsia"/>
                <w:highlight w:val="none"/>
                <w:u w:val="single"/>
              </w:rPr>
              <w:t>明确，基本满足不交叉；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在仓库门口、车间入口处有挡鼠板，与《虫鼠害控制图》一致；仓库配置有粘鼠板。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虫鼠害外包，外包方：杭州五江有害生物防制有限公司；提供有《五江有害生物防制服务工程报告》</w:t>
            </w:r>
          </w:p>
          <w:p>
            <w:pPr>
              <w:ind w:firstLine="210" w:firstLineChars="100"/>
              <w:rPr>
                <w:rFonts w:hint="eastAsia"/>
                <w:highlight w:val="yellow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抽查2021-07-21、2021-10-22、2022-02-14、2022-04-15，无异常</w:t>
            </w:r>
          </w:p>
          <w:p>
            <w:pPr>
              <w:ind w:firstLine="21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配送大厅有配备</w:t>
            </w:r>
            <w:r>
              <w:rPr>
                <w:rFonts w:hint="eastAsia"/>
                <w:highlight w:val="none"/>
                <w:u w:val="single"/>
              </w:rPr>
              <w:t>垃圾桶带盖，每天加工结束进行清理；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配送大厅</w:t>
            </w:r>
            <w:r>
              <w:rPr>
                <w:rFonts w:hint="eastAsia"/>
                <w:highlight w:val="none"/>
                <w:u w:val="single"/>
              </w:rPr>
              <w:t>安装有虫鼠害防治措施，安装有诱捕式灭蝇灯，</w:t>
            </w:r>
            <w:r>
              <w:rPr>
                <w:rFonts w:hint="eastAsia"/>
                <w:highlight w:val="yellow"/>
                <w:u w:val="single"/>
                <w:lang w:val="en-US" w:eastAsia="zh-CN"/>
              </w:rPr>
              <w:t>远程视频巡视灭蝇灯中有大量蚊蝇未清理开具不符合项。</w:t>
            </w:r>
            <w:r>
              <w:rPr>
                <w:rFonts w:hint="eastAsia"/>
                <w:highlight w:val="none"/>
                <w:u w:val="single"/>
              </w:rPr>
              <w:t>提供了对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配送大厅</w:t>
            </w:r>
            <w:r>
              <w:rPr>
                <w:rFonts w:hint="eastAsia"/>
                <w:highlight w:val="none"/>
                <w:u w:val="single"/>
              </w:rPr>
              <w:t>进行虫害检查，提供有《虫鼠害检查记录》，每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天</w:t>
            </w:r>
            <w:r>
              <w:rPr>
                <w:rFonts w:hint="eastAsia"/>
                <w:highlight w:val="none"/>
                <w:u w:val="single"/>
              </w:rPr>
              <w:t>检查一次。</w:t>
            </w:r>
          </w:p>
          <w:p>
            <w:pPr>
              <w:pStyle w:val="2"/>
              <w:ind w:firstLine="210" w:firstLineChars="100"/>
              <w:rPr>
                <w:rFonts w:ascii="Times New Roman" w:hAnsi="Times New Roman"/>
                <w:szCs w:val="20"/>
                <w:highlight w:val="none"/>
              </w:rPr>
            </w:pPr>
            <w:r>
              <w:rPr>
                <w:rFonts w:hint="eastAsia"/>
                <w:sz w:val="21"/>
                <w:szCs w:val="20"/>
                <w:highlight w:val="none"/>
                <w:u w:val="single"/>
              </w:rPr>
              <w:t>污水经过处理后，统一排入市政污水管网。基本符合。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配备的主要</w:t>
            </w:r>
            <w:r>
              <w:rPr>
                <w:rFonts w:hint="eastAsia"/>
                <w:u w:val="single"/>
                <w:lang w:val="en-US" w:eastAsia="zh-CN"/>
              </w:rPr>
              <w:t xml:space="preserve">车辆、小拖车；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设备主要以清洁</w:t>
            </w:r>
            <w:r>
              <w:rPr>
                <w:rFonts w:hint="eastAsia"/>
                <w:u w:val="single"/>
                <w:lang w:val="en-US" w:eastAsia="zh-CN"/>
              </w:rPr>
              <w:t>消毒</w:t>
            </w:r>
            <w:r>
              <w:rPr>
                <w:rFonts w:hint="eastAsia"/>
                <w:u w:val="single"/>
              </w:rPr>
              <w:t>为主，提供《</w:t>
            </w:r>
            <w:r>
              <w:rPr>
                <w:rFonts w:hint="eastAsia"/>
                <w:u w:val="single"/>
                <w:lang w:val="en-US" w:eastAsia="zh-CN"/>
              </w:rPr>
              <w:t>场地库房及设备工器具清洗消毒记录表</w:t>
            </w:r>
            <w:r>
              <w:rPr>
                <w:rFonts w:hint="eastAsia"/>
                <w:u w:val="single"/>
              </w:rPr>
              <w:t>》、《</w:t>
            </w:r>
            <w:r>
              <w:rPr>
                <w:rFonts w:hint="eastAsia"/>
                <w:u w:val="single"/>
                <w:lang w:val="en-US" w:eastAsia="zh-CN"/>
              </w:rPr>
              <w:t>配送场地及场地内工器具清洗消毒记录表</w:t>
            </w:r>
            <w:r>
              <w:rPr>
                <w:rFonts w:hint="eastAsia"/>
                <w:u w:val="single"/>
              </w:rPr>
              <w:t>》，抽查202</w:t>
            </w:r>
            <w:r>
              <w:rPr>
                <w:rFonts w:hint="eastAsia"/>
                <w:u w:val="single"/>
                <w:lang w:val="en-US" w:eastAsia="zh-CN"/>
              </w:rPr>
              <w:t>2-05-26/2022-05-04/2022-04-01日，无异常；</w:t>
            </w:r>
            <w:r>
              <w:rPr>
                <w:rFonts w:hint="eastAsia"/>
                <w:u w:val="single"/>
              </w:rPr>
              <w:t>记录，基本符合。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  <w:sz w:val="21"/>
                <w:szCs w:val="20"/>
                <w:u w:val="single"/>
              </w:rPr>
              <w:t>设备维保等见7</w:t>
            </w:r>
            <w:r>
              <w:rPr>
                <w:sz w:val="21"/>
                <w:szCs w:val="20"/>
                <w:u w:val="single"/>
              </w:rPr>
              <w:t>.1.3</w:t>
            </w:r>
            <w:r>
              <w:rPr>
                <w:rFonts w:hint="eastAsia"/>
                <w:sz w:val="21"/>
                <w:szCs w:val="20"/>
                <w:u w:val="single"/>
              </w:rPr>
              <w:t>条款。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见“</w:t>
            </w:r>
            <w:r>
              <w:rPr>
                <w:rFonts w:hint="eastAsia"/>
                <w:u w:val="single"/>
                <w:lang w:val="en-US" w:eastAsia="zh-CN"/>
              </w:rPr>
              <w:t>采购部</w:t>
            </w:r>
            <w:r>
              <w:rPr>
                <w:rFonts w:hint="eastAsia"/>
                <w:u w:val="single"/>
              </w:rPr>
              <w:t>”F7</w:t>
            </w:r>
            <w:r>
              <w:rPr>
                <w:u w:val="single"/>
              </w:rPr>
              <w:t>.1.6/H3.5</w:t>
            </w:r>
            <w:r>
              <w:rPr>
                <w:rFonts w:hint="eastAsia"/>
                <w:u w:val="single"/>
              </w:rPr>
              <w:t>条款审核记录。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widowControl/>
              <w:ind w:firstLine="210" w:firstLineChars="100"/>
              <w:jc w:val="left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化学品专区进行管理，由仓库库管负责管理；有化学品标识</w:t>
            </w:r>
            <w:r>
              <w:rPr>
                <w:rFonts w:hint="eastAsia"/>
                <w:szCs w:val="22"/>
                <w:highlight w:val="none"/>
                <w:u w:val="single"/>
              </w:rPr>
              <w:t>；</w:t>
            </w:r>
          </w:p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szCs w:val="21"/>
                <w:u w:val="single"/>
              </w:rPr>
              <w:t>观察——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分拣大厅</w:t>
            </w:r>
            <w:r>
              <w:rPr>
                <w:rFonts w:hint="eastAsia" w:ascii="宋体" w:hAnsi="宋体"/>
                <w:szCs w:val="21"/>
                <w:u w:val="single"/>
              </w:rPr>
              <w:t>车间地面全部硬化，基本平整，材质，结构，建筑物，门窗，基本符合；基本干净整洁、分区域存放、灭火器完好，原辅料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u w:val="single"/>
              </w:rPr>
              <w:t>标识基础清楚、离地离墙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分区域分间存放</w:t>
            </w:r>
            <w:r>
              <w:rPr>
                <w:rFonts w:hint="eastAsia" w:ascii="宋体" w:hAnsi="宋体"/>
                <w:szCs w:val="21"/>
                <w:u w:val="single"/>
              </w:rPr>
              <w:t>；未见与有毒有害物品混放的情况。</w:t>
            </w:r>
          </w:p>
          <w:p>
            <w:pPr>
              <w:pStyle w:val="7"/>
              <w:ind w:left="0" w:firstLine="0" w:firstLineChars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验收见</w:t>
            </w:r>
            <w:r>
              <w:rPr>
                <w:rFonts w:hint="eastAsia"/>
                <w:u w:val="single"/>
                <w:lang w:val="en-US" w:eastAsia="zh-CN"/>
              </w:rPr>
              <w:t>质检部</w:t>
            </w:r>
            <w:r>
              <w:rPr>
                <w:u w:val="single"/>
              </w:rPr>
              <w:t>H3.8</w:t>
            </w:r>
            <w:r>
              <w:rPr>
                <w:rFonts w:hint="eastAsia"/>
                <w:u w:val="single"/>
              </w:rPr>
              <w:t>条款审核记录。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11"/>
              <w:ind w:left="230" w:hanging="230" w:hangingChars="100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针对各类原辅料、化学品等进行分类摆放，存放时，有垫板等，具有一定的防止交叉污染的措施。</w:t>
            </w:r>
          </w:p>
          <w:p>
            <w:pPr>
              <w:pStyle w:val="11"/>
              <w:ind w:left="230" w:hanging="230" w:hanging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对人流物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流进行了区分，</w:t>
            </w:r>
            <w:r>
              <w:rPr>
                <w:rFonts w:hint="eastAsia"/>
                <w:u w:val="single"/>
                <w:lang w:val="en-US" w:eastAsia="zh-CN"/>
              </w:rPr>
              <w:t>配备了人员手部消毒设施。</w:t>
            </w:r>
            <w:r>
              <w:rPr>
                <w:rFonts w:hint="eastAsia"/>
                <w:u w:val="single"/>
              </w:rPr>
              <w:t>工器具等</w:t>
            </w:r>
            <w:r>
              <w:rPr>
                <w:rFonts w:hint="eastAsia"/>
                <w:u w:val="single"/>
                <w:lang w:val="en-US" w:eastAsia="zh-CN"/>
              </w:rPr>
              <w:t>定期进行</w:t>
            </w:r>
            <w:r>
              <w:rPr>
                <w:rFonts w:hint="eastAsia"/>
                <w:u w:val="single"/>
              </w:rPr>
              <w:t>清洗消毒。基本可防止交叉污染。</w:t>
            </w:r>
          </w:p>
          <w:p>
            <w:pPr>
              <w:pStyle w:val="11"/>
              <w:ind w:left="230" w:hanging="230" w:hangingChars="1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对运输的车辆等进行了卫生检查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清洗消毒</w:t>
            </w:r>
            <w:r>
              <w:rPr>
                <w:rFonts w:hint="eastAsia"/>
                <w:u w:val="single"/>
              </w:rPr>
              <w:t>，以确保运输过程的安全。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每天工作结束进行清洁和消毒，环境基本干净整洁；</w:t>
            </w:r>
            <w:r>
              <w:rPr>
                <w:rFonts w:hint="eastAsia"/>
                <w:u w:val="single"/>
                <w:lang w:val="en-US" w:eastAsia="zh-CN"/>
              </w:rPr>
              <w:t>采用84消毒液兑水方式喷洒消毒，</w:t>
            </w:r>
            <w:r>
              <w:rPr>
                <w:rFonts w:hint="eastAsia"/>
                <w:u w:val="single"/>
              </w:rPr>
              <w:t>提供《</w:t>
            </w:r>
            <w:r>
              <w:rPr>
                <w:rFonts w:hint="eastAsia"/>
                <w:u w:val="single"/>
                <w:lang w:val="en-US" w:eastAsia="zh-CN"/>
              </w:rPr>
              <w:t>场地库房及设备工器具清洗消毒记录表</w:t>
            </w:r>
            <w:r>
              <w:rPr>
                <w:rFonts w:hint="eastAsia"/>
                <w:u w:val="single"/>
              </w:rPr>
              <w:t>》、《</w:t>
            </w:r>
            <w:r>
              <w:rPr>
                <w:rFonts w:hint="eastAsia"/>
                <w:u w:val="single"/>
                <w:lang w:val="en-US" w:eastAsia="zh-CN"/>
              </w:rPr>
              <w:t>配送场地及场地内工器具清洗消毒记录表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>；</w:t>
            </w:r>
            <w:r>
              <w:rPr>
                <w:rFonts w:hint="eastAsia"/>
                <w:u w:val="single"/>
              </w:rPr>
              <w:t>基本符合。</w:t>
            </w:r>
          </w:p>
          <w:p>
            <w:pPr>
              <w:pStyle w:val="2"/>
              <w:rPr>
                <w:sz w:val="21"/>
                <w:szCs w:val="20"/>
                <w:u w:val="single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健康证见“办公室”审核记录，</w:t>
            </w:r>
            <w:r>
              <w:rPr>
                <w:rFonts w:hint="eastAsia"/>
                <w:u w:val="single"/>
                <w:lang w:val="en-US" w:eastAsia="zh-CN"/>
              </w:rPr>
              <w:t>远程视频</w:t>
            </w:r>
            <w:r>
              <w:rPr>
                <w:rFonts w:hint="eastAsia"/>
                <w:u w:val="single"/>
              </w:rPr>
              <w:t>查看，配有工服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</w:rPr>
              <w:t>一次性帽子口罩等，员工工作服</w:t>
            </w:r>
            <w:r>
              <w:rPr>
                <w:rFonts w:hint="eastAsia"/>
                <w:u w:val="single"/>
                <w:lang w:val="en-US" w:eastAsia="zh-CN"/>
              </w:rPr>
              <w:t>自行进行清洗，基本</w:t>
            </w:r>
            <w:r>
              <w:rPr>
                <w:rFonts w:hint="eastAsia"/>
                <w:u w:val="single"/>
              </w:rPr>
              <w:t>干净整洁。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每日进行晨检，提供有《</w:t>
            </w:r>
            <w:r>
              <w:rPr>
                <w:rFonts w:hint="eastAsia"/>
                <w:u w:val="single"/>
                <w:lang w:val="en-US" w:eastAsia="zh-CN"/>
              </w:rPr>
              <w:t>员工健康情况调查表</w:t>
            </w:r>
            <w:r>
              <w:rPr>
                <w:rFonts w:hint="eastAsia"/>
                <w:u w:val="single"/>
              </w:rPr>
              <w:t>》，有疫情防控制度要求，监测体温以及健康状况等，基本符合。</w:t>
            </w:r>
          </w:p>
          <w:p>
            <w:pPr>
              <w:pStyle w:val="11"/>
              <w:ind w:firstLine="23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外来人员身体的健康告知：</w:t>
            </w:r>
            <w:r>
              <w:rPr>
                <w:rFonts w:hint="eastAsia"/>
                <w:highlight w:val="none"/>
                <w:u w:val="single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</w:rPr>
              <w:t xml:space="preserve">健康证  </w:t>
            </w:r>
            <w:r>
              <w:rPr>
                <w:rFonts w:hint="eastAsia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highlight w:val="none"/>
                <w:u w:val="single"/>
              </w:rPr>
              <w:t>良好身体健康告知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提供有《配送场地外来人员登记》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预包装食品（含冷藏冷冻食品）及散装食品（不含冷藏冷冻食品）销售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pStyle w:val="11"/>
              <w:ind w:firstLine="230" w:firstLineChars="100"/>
            </w:pPr>
            <w:r>
              <w:rPr>
                <w:rFonts w:hint="eastAsia"/>
                <w:u w:val="single"/>
              </w:rPr>
              <w:t>客户群体主要是</w:t>
            </w:r>
            <w:r>
              <w:rPr>
                <w:rFonts w:hint="eastAsia"/>
                <w:u w:val="single"/>
                <w:lang w:val="en-US" w:eastAsia="zh-CN"/>
              </w:rPr>
              <w:t>学校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418" w:type="dxa"/>
            <w:vMerge w:val="continue"/>
            <w:shd w:val="clear" w:color="auto" w:fill="auto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96" w:type="dxa"/>
            <w:vMerge w:val="restart"/>
            <w:shd w:val="clear" w:color="auto" w:fill="auto"/>
          </w:tcPr>
          <w:p>
            <w:r>
              <w:t>F8.4</w:t>
            </w:r>
          </w:p>
          <w:p>
            <w:r>
              <w:rPr>
                <w:rFonts w:hint="eastAsia"/>
              </w:rPr>
              <w:t>H3.13</w:t>
            </w:r>
          </w:p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应急准备与响应控制程序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63" w:type="dxa"/>
            <w:gridSpan w:val="2"/>
            <w:vMerge w:val="continue"/>
            <w:shd w:val="clear" w:color="auto" w:fill="auto"/>
          </w:tcPr>
          <w:p/>
        </w:tc>
        <w:tc>
          <w:tcPr>
            <w:tcW w:w="996" w:type="dxa"/>
            <w:vMerge w:val="continue"/>
            <w:shd w:val="clear" w:color="auto" w:fill="auto"/>
          </w:tcPr>
          <w:p/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可能影响食品安全事故和/或紧急情况的示例包括：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环境事故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生物恐怖主义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工作场所事故（火灾）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食品中毒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突发公共卫生事件（疫情）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水的中断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电的中断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车辆事故等</w:t>
            </w:r>
          </w:p>
          <w:p/>
          <w:p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应急准备与响应控制程序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《应急处置预案》</w:t>
            </w:r>
          </w:p>
          <w:p/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  <w:r>
              <w:rPr>
                <w:highlight w:val="none"/>
                <w:u w:val="single"/>
              </w:rPr>
              <w:t xml:space="preserve"> </w:t>
            </w:r>
          </w:p>
          <w:p>
            <w:pPr>
              <w:rPr>
                <w:highlight w:val="none"/>
              </w:rPr>
            </w:pPr>
          </w:p>
          <w:p>
            <w:r>
              <w:rPr>
                <w:rFonts w:hint="eastAsia"/>
              </w:rPr>
              <w:t>本部门是否发生食品安全方面的应急演练：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u w:val="single"/>
              </w:rPr>
              <w:t xml:space="preserve">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8"/>
              <w:gridCol w:w="1970"/>
              <w:gridCol w:w="244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518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8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25</w:t>
                  </w:r>
                  <w:r>
                    <w:rPr>
                      <w:rFonts w:hint="eastAsia"/>
                    </w:rPr>
                    <w:t>日消防演习</w:t>
                  </w:r>
                  <w:r>
                    <w:rPr>
                      <w:rFonts w:hint="eastAsia"/>
                      <w:u w:val="single"/>
                    </w:rPr>
                    <w:t>演练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8" w:type="dxa"/>
                </w:tcPr>
                <w:p/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445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8" w:type="dxa"/>
                </w:tcPr>
                <w:p/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445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445" w:type="dxa"/>
                </w:tcPr>
                <w:p/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无效</w:t>
                  </w:r>
                </w:p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演练总结时进行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</w:t>
            </w:r>
          </w:p>
          <w:p/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71" w:hRule="atLeast"/>
        </w:trPr>
        <w:tc>
          <w:tcPr>
            <w:tcW w:w="1857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1008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>
            <w:r>
              <w:rPr>
                <w:rFonts w:hint="eastAsia"/>
              </w:rPr>
              <w:t>4</w:t>
            </w:r>
            <w:r>
              <w:t>.3.4.3CCP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737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手册8.5条款、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87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</w:tcPr>
          <w:p/>
        </w:tc>
        <w:tc>
          <w:tcPr>
            <w:tcW w:w="73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运行证据及现场查看</w:t>
            </w:r>
          </w:p>
        </w:tc>
        <w:tc>
          <w:tcPr>
            <w:tcW w:w="9424" w:type="dxa"/>
            <w:vMerge w:val="restart"/>
            <w:shd w:val="clear" w:color="auto" w:fill="auto"/>
          </w:tcPr>
          <w:p>
            <w:pPr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OPRP计划/</w:t>
            </w:r>
            <w:r>
              <w:rPr>
                <w:rFonts w:hint="eastAsia" w:ascii="宋体" w:hAnsi="宋体" w:cs="宋体"/>
                <w:b/>
                <w:bCs/>
                <w:lang w:val="en-GB"/>
              </w:rPr>
              <w:t>HACCP计划</w:t>
            </w:r>
            <w:r>
              <w:rPr>
                <w:rFonts w:hint="eastAsia" w:ascii="宋体" w:hAnsi="宋体" w:cs="宋体"/>
                <w:b/>
                <w:bCs/>
              </w:rPr>
              <w:t>的策划</w:t>
            </w:r>
            <w:r>
              <w:rPr>
                <w:rFonts w:hint="eastAsia" w:ascii="宋体" w:hAnsi="宋体" w:cs="宋体"/>
                <w:b/>
                <w:bCs/>
                <w:lang w:val="en-GB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见食品安全小组审核记录F</w:t>
            </w:r>
            <w:r>
              <w:rPr>
                <w:rFonts w:ascii="宋体" w:hAnsi="宋体" w:cs="宋体"/>
                <w:b/>
                <w:bCs/>
              </w:rPr>
              <w:t>8.5.4</w:t>
            </w:r>
            <w:r>
              <w:rPr>
                <w:rFonts w:hint="eastAsia" w:ascii="宋体" w:hAnsi="宋体" w:cs="宋体"/>
                <w:b/>
                <w:bCs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涉及</w:t>
            </w:r>
            <w:r>
              <w:rPr>
                <w:rFonts w:hint="eastAsia" w:ascii="宋体" w:hAnsi="宋体" w:cs="宋体"/>
                <w:lang w:val="en-US" w:eastAsia="zh-CN"/>
              </w:rPr>
              <w:t>配送部的主要有：</w:t>
            </w:r>
          </w:p>
          <w:p>
            <w:r>
              <w:t>OPRP</w:t>
            </w:r>
            <w:r>
              <w:rPr>
                <w:rFonts w:hint="eastAsia"/>
              </w:rPr>
              <w:t>点的实施情况（2个）：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850"/>
              <w:gridCol w:w="1660"/>
              <w:gridCol w:w="1550"/>
              <w:gridCol w:w="2834"/>
              <w:gridCol w:w="1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地点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行动准则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记录情况</w:t>
                  </w:r>
                </w:p>
              </w:tc>
              <w:tc>
                <w:tcPr>
                  <w:tcW w:w="283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现场情况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冻品储存过程OPRP2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cs="Times New Roman"/>
                      <w:lang w:val="en-US" w:eastAsia="zh-CN"/>
                    </w:rPr>
                    <w:t>配送分拣大厅</w:t>
                  </w:r>
                </w:p>
              </w:tc>
              <w:tc>
                <w:tcPr>
                  <w:tcW w:w="1660" w:type="dxa"/>
                  <w:vAlign w:val="center"/>
                </w:tcPr>
                <w:p>
                  <w:pPr>
                    <w:pStyle w:val="2"/>
                    <w:jc w:val="both"/>
                    <w:rPr>
                      <w:rFonts w:hint="default" w:ascii="Times New Roman" w:hAnsi="Times New Roman" w:eastAsia="宋体" w:cs="Times New Roman"/>
                      <w:sz w:val="21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0"/>
                    </w:rPr>
                    <w:t>冷藏温度-2~10℃；冷冻温度≤-12℃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《</w:t>
                  </w:r>
                  <w:r>
                    <w:rPr>
                      <w:rFonts w:hint="eastAsia" w:cs="Times New Roman"/>
                      <w:lang w:val="en-US" w:eastAsia="zh-CN"/>
                    </w:rPr>
                    <w:t>温度监控记录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》</w:t>
                  </w:r>
                </w:p>
              </w:tc>
              <w:tc>
                <w:tcPr>
                  <w:tcW w:w="283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highlight w:val="none"/>
                    </w:rPr>
                    <w:t>远程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冷藏库1:0.9℃；冷藏库2:4.6℃；冷冻库：-15.4℃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8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冻品配送OPRP3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lang w:eastAsia="zh-CN"/>
                    </w:rPr>
                  </w:pPr>
                  <w:r>
                    <w:rPr>
                      <w:rFonts w:hint="eastAsia" w:cs="Times New Roman"/>
                      <w:lang w:val="en-US" w:eastAsia="zh-CN"/>
                    </w:rPr>
                    <w:t>配送</w:t>
                  </w:r>
                </w:p>
              </w:tc>
              <w:tc>
                <w:tcPr>
                  <w:tcW w:w="1660" w:type="dxa"/>
                  <w:vAlign w:val="center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冷藏温度-2~10℃；冷冻温度≤0℃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lang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 w:cs="Times New Roman"/>
                      <w:sz w:val="21"/>
                      <w:szCs w:val="21"/>
                      <w:lang w:val="en-US" w:eastAsia="zh-CN"/>
                    </w:rPr>
                    <w:t>冷藏配送车厢温度记录表</w:t>
                  </w:r>
                  <w:r>
                    <w:rPr>
                      <w:rFonts w:hint="eastAsia" w:cs="Times New Roman"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283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FF0000"/>
                      <w:lang w:val="en-US" w:eastAsia="zh-CN"/>
                    </w:rPr>
                    <w:t>抽查2022-04-08日、2022-05-16日的冷藏配送车厢温度记录，发现未对冷藏车温度进行记录。</w:t>
                  </w:r>
                </w:p>
              </w:tc>
              <w:tc>
                <w:tcPr>
                  <w:tcW w:w="116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cs="Times New Roman"/>
                      <w:lang w:val="en-US" w:eastAsia="zh-CN"/>
                    </w:rPr>
                    <w:t>不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符合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HACCP的实施情况（</w:t>
            </w:r>
            <w:r>
              <w:rPr>
                <w:rFonts w:hint="eastAsia"/>
                <w:lang w:val="en-US" w:eastAsia="zh-CN"/>
              </w:rPr>
              <w:t>质检部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  <w:lang w:val="en-US" w:eastAsia="zh-CN"/>
              </w:rPr>
              <w:t>见质检部审核记录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3"/>
              <w:gridCol w:w="709"/>
              <w:gridCol w:w="1985"/>
              <w:gridCol w:w="1984"/>
              <w:gridCol w:w="2142"/>
              <w:gridCol w:w="1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3" w:type="dxa"/>
                </w:tcPr>
                <w:p/>
              </w:tc>
              <w:tc>
                <w:tcPr>
                  <w:tcW w:w="709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985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142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3" w:type="dxa"/>
                </w:tcPr>
                <w:p>
                  <w:pPr>
                    <w:rPr>
                      <w:rFonts w:hint="eastAsia" w:ascii="宋体" w:hAnsi="宋体" w:eastAsia="宋体"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42" w:type="dxa"/>
                </w:tcPr>
                <w:p>
                  <w:pPr>
                    <w:spacing w:line="240" w:lineRule="exact"/>
                  </w:pP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3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2142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3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highlight w:val="yellow"/>
                    </w:rPr>
                  </w:pPr>
                </w:p>
              </w:tc>
              <w:tc>
                <w:tcPr>
                  <w:tcW w:w="2142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line="240" w:lineRule="exact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/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0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1008" w:type="dxa"/>
            <w:gridSpan w:val="3"/>
            <w:vMerge w:val="continue"/>
            <w:shd w:val="clear" w:color="auto" w:fill="auto"/>
          </w:tcPr>
          <w:p/>
        </w:tc>
        <w:tc>
          <w:tcPr>
            <w:tcW w:w="737" w:type="dxa"/>
            <w:vMerge w:val="continue"/>
            <w:shd w:val="clear" w:color="auto" w:fill="auto"/>
          </w:tcPr>
          <w:p/>
        </w:tc>
        <w:tc>
          <w:tcPr>
            <w:tcW w:w="9424" w:type="dxa"/>
            <w:vMerge w:val="continue"/>
            <w:shd w:val="clear" w:color="auto" w:fill="auto"/>
          </w:tcPr>
          <w:p/>
        </w:tc>
        <w:tc>
          <w:tcPr>
            <w:tcW w:w="1418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68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9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F8.3</w:t>
            </w:r>
          </w:p>
          <w:p>
            <w:pPr>
              <w:pStyle w:val="2"/>
            </w:pPr>
            <w:r>
              <w:rPr>
                <w:rFonts w:hint="eastAsia"/>
              </w:rPr>
              <w:t>H（V1.0）3.7</w:t>
            </w:r>
          </w:p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食品安全管理手册</w:t>
            </w:r>
            <w:r>
              <w:rPr>
                <w:rFonts w:hint="eastAsia"/>
                <w:lang w:eastAsia="zh-CN"/>
              </w:rPr>
              <w:t>》</w:t>
            </w:r>
            <w: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《良好操作规范》、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产品标识及可追溯性控制程序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《食品安全追溯制度等管理制度》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11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35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996" w:type="dxa"/>
            <w:vMerge w:val="continue"/>
            <w:shd w:val="clear" w:color="auto" w:fill="auto"/>
          </w:tcPr>
          <w:p/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待下结论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不合格 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材料/产品的返工；（不涉及）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/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周转筐</w:t>
            </w:r>
            <w:r>
              <w:rPr>
                <w:rFonts w:hint="eastAsia"/>
              </w:rPr>
              <w:t>原有标签</w:t>
            </w:r>
          </w:p>
          <w:p/>
          <w:p>
            <w:r>
              <w:rPr>
                <w:rFonts w:hint="eastAsia"/>
              </w:rPr>
              <w:t xml:space="preserve">半成品的唯一性标识方式：（不适用）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成品的唯一性标识方式：（销售行业特殊性，与原辅料标签基本一致）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区域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周转筐</w:t>
            </w:r>
          </w:p>
          <w:p>
            <w:pPr>
              <w:pStyle w:val="11"/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组织于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202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highlight w:val="none"/>
              </w:rPr>
              <w:t>验证和测试可追溯性体系的有效性。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追溯</w:t>
            </w:r>
            <w:r>
              <w:rPr>
                <w:rFonts w:hint="eastAsia"/>
                <w:highlight w:val="none"/>
              </w:rPr>
              <w:t>原因：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演练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质量事故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229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297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配送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hint="default" w:ascii="宋体" w:hAnsi="宋体" w:eastAsia="宋体"/>
                      <w:bCs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sz w:val="20"/>
                    </w:rPr>
                    <w:t>2</w:t>
                  </w:r>
                  <w:r>
                    <w:rPr>
                      <w:rFonts w:ascii="宋体" w:hAnsi="宋体"/>
                      <w:bCs/>
                      <w:sz w:val="20"/>
                    </w:rPr>
                    <w:t>022</w:t>
                  </w:r>
                  <w:r>
                    <w:rPr>
                      <w:rFonts w:hint="eastAsia" w:ascii="宋体" w:hAnsi="宋体"/>
                      <w:bCs/>
                      <w:sz w:val="20"/>
                      <w:lang w:val="en-US" w:eastAsia="zh-CN"/>
                    </w:rPr>
                    <w:t>0415</w:t>
                  </w:r>
                </w:p>
              </w:tc>
              <w:tc>
                <w:tcPr>
                  <w:tcW w:w="2297" w:type="dxa"/>
                </w:tcPr>
                <w:p>
                  <w:r>
                    <w:rPr>
                      <w:rFonts w:hint="eastAsia"/>
                    </w:rPr>
                    <w:t>临安小学配送的玉米是转基因玉米，不符合学校规定</w:t>
                  </w:r>
                </w:p>
                <w:p/>
              </w:tc>
              <w:tc>
                <w:tcPr>
                  <w:tcW w:w="12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已进行确认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未做确认</w:t>
                  </w:r>
                </w:p>
              </w:tc>
              <w:tc>
                <w:tcPr>
                  <w:tcW w:w="126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已进行确认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未做确认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不够完整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追溯演练只对采购、配送过程的记录进行了追溯，未对检验、留样过程进行确认，也未提供追溯涉及的原始记录，已现场沟通。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远程审核要求进行了追溯，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产品销售追溯流程：</w:t>
            </w:r>
          </w:p>
          <w:p>
            <w:pPr>
              <w:pStyle w:val="2"/>
              <w:spacing w:line="360" w:lineRule="auto"/>
              <w:ind w:left="420" w:hanging="420" w:hangingChars="200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1）追溯产品：2022-05-26日配送客户【高虹中心幼儿园-德胜分园教师】下达的采购订单：手工面疙瘩16斤、新鲜毛豆仁4斤、天目小香薯13斤、 冻鸦片鱼头12斤、本地嫩南瓜15斤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2）采购过程：提供了采购配送单（即客户订单）、采购汇总单、采购入库单；</w:t>
            </w:r>
          </w:p>
          <w:p>
            <w:pPr>
              <w:pStyle w:val="2"/>
              <w:spacing w:line="360" w:lineRule="auto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3）原料验收检验过程：果蔬类自测农残，提供了农残测试报告；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）配送部分拣过程：提供了5-26日《配送场地及场地内工器具清洗消毒记录表》、《场地库房及设备工器具清洗消毒记录表》、《鼎新鲜配蔬菜水果去皮分拣销毁记录》、</w:t>
            </w:r>
          </w:p>
          <w:p>
            <w:pPr>
              <w:pStyle w:val="2"/>
              <w:spacing w:line="360" w:lineRule="auto"/>
              <w:rPr>
                <w:rFonts w:hint="default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5）配送部配送过程：提供了《车辆常规安全自查表》【含车辆消毒】车牌号：浙AB86J0；《冷藏配送车厢温度记录表》，配送驾驶员：樊阳军；客户签收人：庄军。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基本符合追溯思路，但未提供冻鸦片鱼头的入库单、未对果蔬类留样进行追溯，已现场沟通。</w:t>
            </w:r>
          </w:p>
          <w:p>
            <w:pPr>
              <w:pStyle w:val="2"/>
              <w:rPr>
                <w:rFonts w:hint="default"/>
                <w:highlight w:val="yellow"/>
                <w:lang w:val="en-US" w:eastAsia="zh-CN"/>
              </w:rPr>
            </w:pP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24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trike/>
                <w:dstrike w:val="0"/>
                <w:u w:val="single"/>
                <w:lang w:val="en-US" w:eastAsia="zh-CN"/>
              </w:rPr>
              <w:t>6个月</w:t>
            </w:r>
            <w:r>
              <w:rPr>
                <w:rFonts w:hint="eastAsia"/>
                <w:strike/>
                <w:dstrike w:val="0"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抽查产品留样记录：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见质检部审核记录</w:t>
            </w:r>
            <w:r>
              <w:rPr>
                <w:rFonts w:hint="eastAsia"/>
                <w:lang w:eastAsia="zh-CN"/>
              </w:rPr>
              <w:t>”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297"/>
              <w:gridCol w:w="2320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1808" w:type="dxa"/>
                  <w:vAlign w:val="top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2320" w:type="dxa"/>
                  <w:vAlign w:val="top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32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/>
              </w:tc>
              <w:tc>
                <w:tcPr>
                  <w:tcW w:w="1297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32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/>
              </w:tc>
              <w:tc>
                <w:tcPr>
                  <w:tcW w:w="1809" w:type="dxa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3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  <w:vAlign w:val="top"/>
                </w:tcPr>
                <w:p/>
              </w:tc>
              <w:tc>
                <w:tcPr>
                  <w:tcW w:w="232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/>
              </w:tc>
              <w:tc>
                <w:tcPr>
                  <w:tcW w:w="1297" w:type="dxa"/>
                  <w:vAlign w:val="top"/>
                </w:tcPr>
                <w:p/>
              </w:tc>
              <w:tc>
                <w:tcPr>
                  <w:tcW w:w="2320" w:type="dxa"/>
                  <w:vAlign w:val="top"/>
                </w:tcPr>
                <w:p/>
              </w:tc>
              <w:tc>
                <w:tcPr>
                  <w:tcW w:w="1809" w:type="dxa"/>
                  <w:vAlign w:val="top"/>
                </w:tcPr>
                <w:p/>
              </w:tc>
              <w:tc>
                <w:tcPr>
                  <w:tcW w:w="1809" w:type="dxa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/>
              </w:tc>
              <w:tc>
                <w:tcPr>
                  <w:tcW w:w="1297" w:type="dxa"/>
                  <w:vAlign w:val="top"/>
                </w:tcPr>
                <w:p/>
              </w:tc>
              <w:tc>
                <w:tcPr>
                  <w:tcW w:w="2320" w:type="dxa"/>
                  <w:vAlign w:val="top"/>
                </w:tcPr>
                <w:p/>
              </w:tc>
              <w:tc>
                <w:tcPr>
                  <w:tcW w:w="1809" w:type="dxa"/>
                  <w:vAlign w:val="top"/>
                </w:tcPr>
                <w:p/>
              </w:tc>
              <w:tc>
                <w:tcPr>
                  <w:tcW w:w="1809" w:type="dxa"/>
                  <w:vAlign w:val="top"/>
                </w:tcPr>
                <w:p/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3" w:hRule="atLeast"/>
        </w:trPr>
        <w:tc>
          <w:tcPr>
            <w:tcW w:w="1857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96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3"/>
              <w:ind w:left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分区存放在托盘上</w:t>
            </w:r>
          </w:p>
          <w:p>
            <w:pPr>
              <w:pStyle w:val="3"/>
              <w:ind w:left="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</w:p>
          <w:p>
            <w:pPr>
              <w:pStyle w:val="3"/>
              <w:ind w:left="0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同原材料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远程视频查看：乳制品库：温度：0.9℃。蔬菜保鲜库4.6℃；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不适宜说明：不涉及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  <w:lang w:val="en-US" w:eastAsia="zh-CN"/>
              </w:rPr>
              <w:t>同原辅料</w:t>
            </w:r>
          </w:p>
        </w:tc>
        <w:tc>
          <w:tcPr>
            <w:tcW w:w="1418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68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致敏物管理</w:t>
            </w:r>
          </w:p>
          <w:p>
            <w:r>
              <w:rPr>
                <w:rFonts w:hint="eastAsia"/>
              </w:rPr>
              <w:t>食品防护</w:t>
            </w:r>
          </w:p>
        </w:tc>
        <w:tc>
          <w:tcPr>
            <w:tcW w:w="996" w:type="dxa"/>
            <w:vMerge w:val="restart"/>
            <w:shd w:val="clear" w:color="auto" w:fill="auto"/>
          </w:tcPr>
          <w:p>
            <w:pPr>
              <w:pStyle w:val="11"/>
            </w:pPr>
            <w:r>
              <w:rPr>
                <w:rFonts w:hint="eastAsia"/>
              </w:rPr>
              <w:t>H3.11</w:t>
            </w:r>
          </w:p>
          <w:p>
            <w:pPr>
              <w:pStyle w:val="11"/>
            </w:pPr>
            <w:r>
              <w:rPr>
                <w:rFonts w:hint="eastAsia"/>
              </w:rPr>
              <w:t>H3.10</w:t>
            </w:r>
          </w:p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食品安全管理</w:t>
            </w:r>
            <w:r>
              <w:rPr>
                <w:rFonts w:hint="eastAsia"/>
              </w:rPr>
              <w:t>手册8</w:t>
            </w:r>
            <w:r>
              <w:t>.</w:t>
            </w:r>
            <w:r>
              <w:rPr>
                <w:rFonts w:hint="eastAsia"/>
                <w:lang w:val="en-US" w:eastAsia="zh-CN"/>
              </w:rPr>
              <w:t>2.4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val="en-US" w:eastAsia="zh-CN"/>
              </w:rPr>
              <w:t>/8.2.5条款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《仓库管理</w:t>
            </w:r>
            <w:r>
              <w:rPr>
                <w:rFonts w:hint="eastAsia"/>
                <w:lang w:val="en-US" w:eastAsia="zh-CN"/>
              </w:rPr>
              <w:t>制度</w:t>
            </w:r>
            <w:r>
              <w:rPr>
                <w:rFonts w:hint="eastAsia"/>
              </w:rPr>
              <w:t>》、《产品/服务提供控制程序》、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食品防护控制程序</w:t>
            </w:r>
            <w:r>
              <w:rPr>
                <w:rFonts w:hint="eastAsia"/>
              </w:rPr>
              <w:t>》、《库房管理制度》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996" w:type="dxa"/>
            <w:vMerge w:val="continue"/>
            <w:shd w:val="clear" w:color="auto" w:fill="auto"/>
          </w:tcPr>
          <w:p/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996" w:type="dxa"/>
            <w:vMerge w:val="continue"/>
            <w:shd w:val="clear" w:color="auto" w:fill="auto"/>
          </w:tcPr>
          <w:p/>
        </w:tc>
        <w:tc>
          <w:tcPr>
            <w:tcW w:w="749" w:type="dxa"/>
            <w:gridSpan w:val="3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 xml:space="preserve">原材料库房管理：抽查原材料名称：  </w:t>
            </w:r>
            <w:r>
              <w:rPr>
                <w:rFonts w:hint="eastAsia"/>
                <w:lang w:val="en-US" w:eastAsia="zh-CN"/>
              </w:rPr>
              <w:t>花生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酸奶、大豆、大米、调味品（如食用盐、出、海天蚝油等）</w:t>
            </w:r>
            <w:r>
              <w:rPr>
                <w:rFonts w:hint="eastAsia"/>
              </w:rPr>
              <w:t>；上锁防护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分类别分库存放、库存量不大</w:t>
            </w:r>
            <w:r>
              <w:rPr>
                <w:rFonts w:hint="eastAsia"/>
              </w:rPr>
              <w:t xml:space="preserve">。 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储存温度 </w:t>
            </w: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 xml:space="preserve"> ℃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酸奶冷藏库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冷冻库</w:t>
            </w:r>
            <w:r>
              <w:rPr>
                <w:rFonts w:hint="eastAsia"/>
              </w:rPr>
              <w:t xml:space="preserve">温度 </w:t>
            </w:r>
            <w:r>
              <w:rPr>
                <w:rFonts w:hint="eastAsia"/>
                <w:lang w:val="en-US" w:eastAsia="zh-CN"/>
              </w:rPr>
              <w:t>-19.2</w:t>
            </w:r>
            <w:r>
              <w:rPr>
                <w:rFonts w:hint="eastAsia"/>
              </w:rPr>
              <w:t xml:space="preserve"> ℃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冷冻类产品、少量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%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   月（有保存期时）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</w:t>
            </w:r>
          </w:p>
          <w:p/>
          <w:p>
            <w:r>
              <w:rPr>
                <w:rFonts w:hint="eastAsia"/>
              </w:rPr>
              <w:t xml:space="preserve">半成品库房管理：抽查半成品名称：     ——              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 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%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储存时间   月（有保存期时）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>
            <w:r>
              <w:rPr>
                <w:rFonts w:hint="eastAsia"/>
              </w:rPr>
              <w:t>现场查看冷藏柜温度3</w:t>
            </w:r>
            <w:r>
              <w:t>.7</w:t>
            </w:r>
            <w:r>
              <w:rPr>
                <w:rFonts w:hint="eastAsia"/>
              </w:rPr>
              <w:t>℃、冷冻柜-</w:t>
            </w:r>
            <w:r>
              <w:t>12.3</w:t>
            </w:r>
            <w:r>
              <w:rPr>
                <w:rFonts w:hint="eastAsia"/>
              </w:rPr>
              <w:t>℃，基本符合要求。</w:t>
            </w:r>
          </w:p>
          <w:p/>
          <w:p>
            <w:r>
              <w:rPr>
                <w:rFonts w:hint="eastAsia"/>
              </w:rPr>
              <w:t xml:space="preserve">成品库房管理：抽查成品名称： </w:t>
            </w:r>
            <w:r>
              <w:rPr>
                <w:rFonts w:hint="eastAsia"/>
                <w:lang w:val="en-US" w:eastAsia="zh-CN"/>
              </w:rPr>
              <w:t>同原料</w:t>
            </w:r>
            <w:r>
              <w:rPr>
                <w:rFonts w:hint="eastAsia"/>
              </w:rPr>
              <w:t xml:space="preserve">            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%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（有保存期时）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远程询问查看，现场酸奶、花生、大豆属于致敏物质，有加贴致敏物标识，但大豆未加贴，已现场沟通。</w:t>
            </w:r>
          </w:p>
          <w:p>
            <w:pPr>
              <w:pStyle w:val="2"/>
              <w:spacing w:line="360" w:lineRule="auto"/>
              <w:jc w:val="distribut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原材料储存过程，每个仓库需经库管同意、刷卡开门进入，基本可控外来人员的恶意破坏；干杂类：比如木耳、干黄椒段等，有加贴标签标示，明确保质期以及进货日期。基本符合要求。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86" w:hRule="atLeast"/>
        </w:trPr>
        <w:tc>
          <w:tcPr>
            <w:tcW w:w="18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撤回/召回</w:t>
            </w: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</w:t>
            </w:r>
            <w:r>
              <w:t>8.9.5</w:t>
            </w:r>
          </w:p>
          <w:p>
            <w:pPr>
              <w:pStyle w:val="2"/>
            </w:pPr>
            <w:r>
              <w:rPr>
                <w:rFonts w:hint="eastAsia"/>
              </w:rPr>
              <w:t>H（V1.0）3.9</w:t>
            </w:r>
          </w:p>
          <w:p>
            <w:pPr>
              <w:pStyle w:val="2"/>
            </w:pPr>
          </w:p>
        </w:tc>
        <w:tc>
          <w:tcPr>
            <w:tcW w:w="74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4" w:type="dxa"/>
            <w:shd w:val="clear" w:color="auto" w:fill="auto"/>
          </w:tcPr>
          <w:p>
            <w:pPr>
              <w:spacing w:line="480" w:lineRule="exac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产品标识及可追溯性控制程序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产品撤回/召回控制程序》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09" w:hRule="atLeast"/>
        </w:trPr>
        <w:tc>
          <w:tcPr>
            <w:tcW w:w="1857" w:type="dxa"/>
            <w:vMerge w:val="continue"/>
            <w:shd w:val="clear" w:color="auto" w:fill="auto"/>
          </w:tcPr>
          <w:p/>
        </w:tc>
        <w:tc>
          <w:tcPr>
            <w:tcW w:w="997" w:type="dxa"/>
            <w:gridSpan w:val="2"/>
            <w:vMerge w:val="continue"/>
            <w:shd w:val="clear" w:color="auto" w:fill="auto"/>
          </w:tcPr>
          <w:p/>
        </w:tc>
        <w:tc>
          <w:tcPr>
            <w:tcW w:w="74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4" w:type="dxa"/>
            <w:shd w:val="clear" w:color="auto" w:fill="auto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 总经理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896"/>
              <w:gridCol w:w="2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配送部、客服部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配送部、客服部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配送部、质检部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1288"/>
              <w:gridCol w:w="17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6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撤回日期</w:t>
                  </w:r>
                </w:p>
              </w:tc>
              <w:tc>
                <w:tcPr>
                  <w:tcW w:w="1288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性质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.0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4.15</w:t>
                  </w:r>
                </w:p>
              </w:tc>
              <w:tc>
                <w:tcPr>
                  <w:tcW w:w="1288" w:type="dxa"/>
                  <w:shd w:val="clear" w:color="auto" w:fill="auto"/>
                  <w:vAlign w:val="top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764" w:type="dxa"/>
                  <w:shd w:val="clear" w:color="auto" w:fill="auto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  <w:t>给临安小学配送的玉米是转基因玉米，不符合学校规定</w:t>
                  </w:r>
                </w:p>
              </w:tc>
              <w:tc>
                <w:tcPr>
                  <w:tcW w:w="1927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eastAsia="宋体" w:cs="Times New Roman" w:asciiTheme="minorEastAsia" w:hAnsi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已找回发出去的30箱</w:t>
                  </w:r>
                </w:p>
              </w:tc>
              <w:tc>
                <w:tcPr>
                  <w:tcW w:w="1518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见《产品召回记录》，并向最高管理者报告，作为管理评审的输入。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3C62"/>
    <w:rsid w:val="00013BA5"/>
    <w:rsid w:val="00016C0F"/>
    <w:rsid w:val="000237F6"/>
    <w:rsid w:val="0003373A"/>
    <w:rsid w:val="00036AFB"/>
    <w:rsid w:val="000400E2"/>
    <w:rsid w:val="000504B6"/>
    <w:rsid w:val="000535A5"/>
    <w:rsid w:val="00054988"/>
    <w:rsid w:val="00062E46"/>
    <w:rsid w:val="0006662A"/>
    <w:rsid w:val="00071522"/>
    <w:rsid w:val="00073557"/>
    <w:rsid w:val="00073A25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1E92"/>
    <w:rsid w:val="000E606A"/>
    <w:rsid w:val="000E6B21"/>
    <w:rsid w:val="00127063"/>
    <w:rsid w:val="00134B3B"/>
    <w:rsid w:val="00135082"/>
    <w:rsid w:val="00144553"/>
    <w:rsid w:val="00161E82"/>
    <w:rsid w:val="00171904"/>
    <w:rsid w:val="001750C6"/>
    <w:rsid w:val="00177E4F"/>
    <w:rsid w:val="001824A0"/>
    <w:rsid w:val="00182530"/>
    <w:rsid w:val="001932C6"/>
    <w:rsid w:val="0019695B"/>
    <w:rsid w:val="001A2D7F"/>
    <w:rsid w:val="001A7DCC"/>
    <w:rsid w:val="001C6FD4"/>
    <w:rsid w:val="001C7DD2"/>
    <w:rsid w:val="001D38F7"/>
    <w:rsid w:val="001E0B83"/>
    <w:rsid w:val="001F0830"/>
    <w:rsid w:val="001F1DDB"/>
    <w:rsid w:val="00201132"/>
    <w:rsid w:val="0023145E"/>
    <w:rsid w:val="002522A6"/>
    <w:rsid w:val="00257A65"/>
    <w:rsid w:val="00274262"/>
    <w:rsid w:val="00290653"/>
    <w:rsid w:val="002939AD"/>
    <w:rsid w:val="0029410C"/>
    <w:rsid w:val="00295C5D"/>
    <w:rsid w:val="00296249"/>
    <w:rsid w:val="002B3F44"/>
    <w:rsid w:val="002C5AE0"/>
    <w:rsid w:val="002D28E3"/>
    <w:rsid w:val="002F3121"/>
    <w:rsid w:val="00314AF6"/>
    <w:rsid w:val="00332757"/>
    <w:rsid w:val="00337922"/>
    <w:rsid w:val="00340867"/>
    <w:rsid w:val="00351F43"/>
    <w:rsid w:val="00364D15"/>
    <w:rsid w:val="00372126"/>
    <w:rsid w:val="0037744C"/>
    <w:rsid w:val="00380837"/>
    <w:rsid w:val="0039161C"/>
    <w:rsid w:val="003A198A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7D46"/>
    <w:rsid w:val="004217FC"/>
    <w:rsid w:val="00421B59"/>
    <w:rsid w:val="00423D3B"/>
    <w:rsid w:val="00431C26"/>
    <w:rsid w:val="0045323B"/>
    <w:rsid w:val="00454DF0"/>
    <w:rsid w:val="004749CC"/>
    <w:rsid w:val="00474F25"/>
    <w:rsid w:val="004754ED"/>
    <w:rsid w:val="00476720"/>
    <w:rsid w:val="0048201E"/>
    <w:rsid w:val="00497FF0"/>
    <w:rsid w:val="004A3C24"/>
    <w:rsid w:val="004C0054"/>
    <w:rsid w:val="004D0382"/>
    <w:rsid w:val="004D6DED"/>
    <w:rsid w:val="004E009B"/>
    <w:rsid w:val="004F0731"/>
    <w:rsid w:val="004F75F9"/>
    <w:rsid w:val="005017B6"/>
    <w:rsid w:val="00501AA3"/>
    <w:rsid w:val="00510AA7"/>
    <w:rsid w:val="005223A0"/>
    <w:rsid w:val="00536930"/>
    <w:rsid w:val="0054025D"/>
    <w:rsid w:val="00547BBF"/>
    <w:rsid w:val="00556519"/>
    <w:rsid w:val="00557EFC"/>
    <w:rsid w:val="00564E53"/>
    <w:rsid w:val="0056561D"/>
    <w:rsid w:val="00565FDD"/>
    <w:rsid w:val="00574EEA"/>
    <w:rsid w:val="00576D7A"/>
    <w:rsid w:val="00580BBD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600C20"/>
    <w:rsid w:val="006022B5"/>
    <w:rsid w:val="006072A9"/>
    <w:rsid w:val="00610632"/>
    <w:rsid w:val="00611175"/>
    <w:rsid w:val="00612731"/>
    <w:rsid w:val="00624B7D"/>
    <w:rsid w:val="00637C7C"/>
    <w:rsid w:val="006422AC"/>
    <w:rsid w:val="00644FE2"/>
    <w:rsid w:val="006463FA"/>
    <w:rsid w:val="006526C8"/>
    <w:rsid w:val="00670B28"/>
    <w:rsid w:val="00673A38"/>
    <w:rsid w:val="0067640C"/>
    <w:rsid w:val="0068187C"/>
    <w:rsid w:val="00693071"/>
    <w:rsid w:val="0069328B"/>
    <w:rsid w:val="0069480F"/>
    <w:rsid w:val="00697FFA"/>
    <w:rsid w:val="006A5232"/>
    <w:rsid w:val="006A55E2"/>
    <w:rsid w:val="006A6483"/>
    <w:rsid w:val="006B20A9"/>
    <w:rsid w:val="006B3D0F"/>
    <w:rsid w:val="006B6ABE"/>
    <w:rsid w:val="006D77CB"/>
    <w:rsid w:val="006E678B"/>
    <w:rsid w:val="006E6869"/>
    <w:rsid w:val="006E7B1D"/>
    <w:rsid w:val="006F15DB"/>
    <w:rsid w:val="006F277F"/>
    <w:rsid w:val="006F2E6D"/>
    <w:rsid w:val="006F52FC"/>
    <w:rsid w:val="007110A2"/>
    <w:rsid w:val="00711CE2"/>
    <w:rsid w:val="00711DFD"/>
    <w:rsid w:val="00716F2B"/>
    <w:rsid w:val="00721894"/>
    <w:rsid w:val="007254CA"/>
    <w:rsid w:val="00731240"/>
    <w:rsid w:val="00744C1A"/>
    <w:rsid w:val="00747832"/>
    <w:rsid w:val="00751C5D"/>
    <w:rsid w:val="00753152"/>
    <w:rsid w:val="00754C6D"/>
    <w:rsid w:val="00765A6D"/>
    <w:rsid w:val="0077484B"/>
    <w:rsid w:val="007755CE"/>
    <w:rsid w:val="007757F3"/>
    <w:rsid w:val="007768D9"/>
    <w:rsid w:val="00777105"/>
    <w:rsid w:val="0078477E"/>
    <w:rsid w:val="0079152F"/>
    <w:rsid w:val="00794B98"/>
    <w:rsid w:val="007A38AB"/>
    <w:rsid w:val="007C1B48"/>
    <w:rsid w:val="007D0D0E"/>
    <w:rsid w:val="007E12A4"/>
    <w:rsid w:val="007E3B15"/>
    <w:rsid w:val="007E3CB9"/>
    <w:rsid w:val="007E4F18"/>
    <w:rsid w:val="007E52E7"/>
    <w:rsid w:val="007E6AEB"/>
    <w:rsid w:val="007F0B9E"/>
    <w:rsid w:val="0081311A"/>
    <w:rsid w:val="00814888"/>
    <w:rsid w:val="0083419D"/>
    <w:rsid w:val="00834771"/>
    <w:rsid w:val="008359AC"/>
    <w:rsid w:val="00856B49"/>
    <w:rsid w:val="008578A4"/>
    <w:rsid w:val="008606F7"/>
    <w:rsid w:val="00863155"/>
    <w:rsid w:val="008638BA"/>
    <w:rsid w:val="00877CC5"/>
    <w:rsid w:val="008850CC"/>
    <w:rsid w:val="0088536C"/>
    <w:rsid w:val="00893EAA"/>
    <w:rsid w:val="00894840"/>
    <w:rsid w:val="00896D5F"/>
    <w:rsid w:val="008973EE"/>
    <w:rsid w:val="008C32FA"/>
    <w:rsid w:val="008D31A4"/>
    <w:rsid w:val="008E0D64"/>
    <w:rsid w:val="008E71AB"/>
    <w:rsid w:val="00901120"/>
    <w:rsid w:val="0092308C"/>
    <w:rsid w:val="009260DA"/>
    <w:rsid w:val="00941E1B"/>
    <w:rsid w:val="009439B9"/>
    <w:rsid w:val="00970FD7"/>
    <w:rsid w:val="00971600"/>
    <w:rsid w:val="00971ACB"/>
    <w:rsid w:val="00985764"/>
    <w:rsid w:val="00986B30"/>
    <w:rsid w:val="009973B4"/>
    <w:rsid w:val="00997620"/>
    <w:rsid w:val="009C28C1"/>
    <w:rsid w:val="009D2EDA"/>
    <w:rsid w:val="009F6E58"/>
    <w:rsid w:val="009F713A"/>
    <w:rsid w:val="009F779F"/>
    <w:rsid w:val="009F7EED"/>
    <w:rsid w:val="00A10A43"/>
    <w:rsid w:val="00A22A49"/>
    <w:rsid w:val="00A46019"/>
    <w:rsid w:val="00A55742"/>
    <w:rsid w:val="00A62C54"/>
    <w:rsid w:val="00A80636"/>
    <w:rsid w:val="00A80B72"/>
    <w:rsid w:val="00A80EFB"/>
    <w:rsid w:val="00A92EF7"/>
    <w:rsid w:val="00A94F3E"/>
    <w:rsid w:val="00AA20D9"/>
    <w:rsid w:val="00AA65A0"/>
    <w:rsid w:val="00AC15D4"/>
    <w:rsid w:val="00AD1AA5"/>
    <w:rsid w:val="00AE5CE4"/>
    <w:rsid w:val="00AF0AAB"/>
    <w:rsid w:val="00B004B7"/>
    <w:rsid w:val="00B059CB"/>
    <w:rsid w:val="00B06CC0"/>
    <w:rsid w:val="00B127A7"/>
    <w:rsid w:val="00B1459E"/>
    <w:rsid w:val="00B17ADA"/>
    <w:rsid w:val="00B21204"/>
    <w:rsid w:val="00B305B2"/>
    <w:rsid w:val="00B41E8C"/>
    <w:rsid w:val="00B4406D"/>
    <w:rsid w:val="00B544E1"/>
    <w:rsid w:val="00B6429D"/>
    <w:rsid w:val="00B701E7"/>
    <w:rsid w:val="00B7583A"/>
    <w:rsid w:val="00B841E4"/>
    <w:rsid w:val="00B86146"/>
    <w:rsid w:val="00B86A3C"/>
    <w:rsid w:val="00B87F0C"/>
    <w:rsid w:val="00B9335E"/>
    <w:rsid w:val="00B93520"/>
    <w:rsid w:val="00BA2698"/>
    <w:rsid w:val="00BB0F01"/>
    <w:rsid w:val="00BB21D0"/>
    <w:rsid w:val="00BB6ADB"/>
    <w:rsid w:val="00BC065D"/>
    <w:rsid w:val="00BF3977"/>
    <w:rsid w:val="00BF597E"/>
    <w:rsid w:val="00BF7B9D"/>
    <w:rsid w:val="00C05C25"/>
    <w:rsid w:val="00C17F48"/>
    <w:rsid w:val="00C30200"/>
    <w:rsid w:val="00C30BD2"/>
    <w:rsid w:val="00C336E9"/>
    <w:rsid w:val="00C51A36"/>
    <w:rsid w:val="00C5433B"/>
    <w:rsid w:val="00C55228"/>
    <w:rsid w:val="00C63768"/>
    <w:rsid w:val="00C72991"/>
    <w:rsid w:val="00C736FD"/>
    <w:rsid w:val="00C82624"/>
    <w:rsid w:val="00CA0B66"/>
    <w:rsid w:val="00CA35A8"/>
    <w:rsid w:val="00CB4F15"/>
    <w:rsid w:val="00CB6FCC"/>
    <w:rsid w:val="00CC39B3"/>
    <w:rsid w:val="00CC3D64"/>
    <w:rsid w:val="00CD1475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B03B9"/>
    <w:rsid w:val="00DD3CDE"/>
    <w:rsid w:val="00DD4F98"/>
    <w:rsid w:val="00DD6EBC"/>
    <w:rsid w:val="00DE4FDB"/>
    <w:rsid w:val="00DF2177"/>
    <w:rsid w:val="00DF4663"/>
    <w:rsid w:val="00E03468"/>
    <w:rsid w:val="00E118C4"/>
    <w:rsid w:val="00E3278F"/>
    <w:rsid w:val="00E33CF3"/>
    <w:rsid w:val="00E37076"/>
    <w:rsid w:val="00E41ACE"/>
    <w:rsid w:val="00E45E2C"/>
    <w:rsid w:val="00E468B6"/>
    <w:rsid w:val="00E54128"/>
    <w:rsid w:val="00E566B4"/>
    <w:rsid w:val="00E57B3E"/>
    <w:rsid w:val="00E61EC4"/>
    <w:rsid w:val="00E6224C"/>
    <w:rsid w:val="00E75AC3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22105"/>
    <w:rsid w:val="00F23154"/>
    <w:rsid w:val="00F313B6"/>
    <w:rsid w:val="00F364BA"/>
    <w:rsid w:val="00F42ADA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45307B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3F0116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DF2977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1E96EE3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2652EA"/>
    <w:rsid w:val="4B337454"/>
    <w:rsid w:val="4B407CC6"/>
    <w:rsid w:val="4B42232B"/>
    <w:rsid w:val="4B825A76"/>
    <w:rsid w:val="4B8B3702"/>
    <w:rsid w:val="4B9B0D7E"/>
    <w:rsid w:val="4BC83B65"/>
    <w:rsid w:val="4C751509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87224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3A070D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D5FBC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1A52FC"/>
    <w:rsid w:val="72583D47"/>
    <w:rsid w:val="72702455"/>
    <w:rsid w:val="728F2E47"/>
    <w:rsid w:val="72973011"/>
    <w:rsid w:val="72E42D1B"/>
    <w:rsid w:val="734F0911"/>
    <w:rsid w:val="736054C4"/>
    <w:rsid w:val="73627F7A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6448</Words>
  <Characters>7048</Characters>
  <Lines>81</Lines>
  <Paragraphs>22</Paragraphs>
  <TotalTime>18</TotalTime>
  <ScaleCrop>false</ScaleCrop>
  <LinksUpToDate>false</LinksUpToDate>
  <CharactersWithSpaces>8179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2022-04-28T00:56:00Z</dcterms:created>
  <dc:creator>微软用户</dc:creator>
  <cp:lastModifiedBy>肖新龙</cp:lastModifiedBy>
  <dcterms:modified xsi:type="dcterms:W3CDTF">2022-06-05T12:38:43Z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89EDB0F0CAEC40E0BE70DA5799098484</vt:lpwstr>
  </property>
</Properties>
</file>