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val="0"/>
          <w:bCs w:val="0"/>
          <w:color w:val="auto"/>
          <w:sz w:val="28"/>
          <w:szCs w:val="28"/>
          <w14:shadow w14:blurRad="50800" w14:dist="38100" w14:dir="2700000" w14:sx="100000" w14:sy="100000" w14:kx="0" w14:ky="0" w14:algn="tl">
            <w14:srgbClr w14:val="000000">
              <w14:alpha w14:val="60000"/>
            </w14:srgbClr>
          </w14:shadow>
        </w:rPr>
      </w:pPr>
      <w:r>
        <w:rPr>
          <w:b w:val="0"/>
          <w:bCs w:val="0"/>
          <w:color w:val="auto"/>
          <w:sz w:val="28"/>
          <w:szCs w:val="28"/>
          <w14:shadow w14:blurRad="50800" w14:dist="38100" w14:dir="2700000" w14:sx="100000" w14:sy="100000" w14:kx="0" w14:ky="0" w14:algn="tl">
            <w14:srgbClr w14:val="000000">
              <w14:alpha w14:val="60000"/>
            </w14:srgbClr>
          </w14:shadow>
        </w:rPr>
        <w:t>附</w:t>
      </w:r>
      <w:r>
        <w:rPr>
          <w:rFonts w:hint="eastAsia"/>
          <w:b w:val="0"/>
          <w:bCs w:val="0"/>
          <w:color w:val="auto"/>
          <w:sz w:val="28"/>
          <w:szCs w:val="28"/>
          <w14:shadow w14:blurRad="50800" w14:dist="38100" w14:dir="2700000" w14:sx="100000" w14:sy="100000" w14:kx="0" w14:ky="0" w14:algn="tl">
            <w14:srgbClr w14:val="000000">
              <w14:alpha w14:val="60000"/>
            </w14:srgbClr>
          </w14:shadow>
        </w:rPr>
        <w:t>1:</w:t>
      </w:r>
    </w:p>
    <w:p>
      <w:pPr>
        <w:pStyle w:val="2"/>
        <w:spacing w:line="240" w:lineRule="auto"/>
        <w:jc w:val="center"/>
        <w:rPr>
          <w:rFonts w:ascii="宋体" w:hAnsi="宋体" w:cs="宋体"/>
          <w:b/>
          <w:bCs/>
          <w:snapToGrid w:val="0"/>
          <w:color w:val="auto"/>
          <w:kern w:val="0"/>
          <w:sz w:val="28"/>
          <w:szCs w:val="28"/>
        </w:rPr>
      </w:pPr>
      <w:r>
        <w:rPr>
          <w:rFonts w:hint="default" w:ascii="Times New Roman" w:hAnsi="Times New Roman" w:eastAsia="宋体" w:cs="Times New Roman"/>
          <w:b/>
          <w:bCs/>
          <w:color w:val="auto"/>
          <w:sz w:val="28"/>
          <w:szCs w:val="28"/>
        </w:rPr>
        <w:t>防喷器压力试验检测过程</w:t>
      </w:r>
      <w:r>
        <w:rPr>
          <w:rFonts w:hint="eastAsia" w:ascii="宋体" w:hAnsi="宋体" w:cs="宋体"/>
          <w:b/>
          <w:bCs/>
          <w:color w:val="auto"/>
          <w:sz w:val="28"/>
          <w:szCs w:val="28"/>
        </w:rPr>
        <w:t>测量</w:t>
      </w:r>
      <w:r>
        <w:rPr>
          <w:rFonts w:hint="eastAsia" w:ascii="宋体" w:hAnsi="宋体" w:cs="宋体"/>
          <w:b/>
          <w:bCs/>
          <w:snapToGrid w:val="0"/>
          <w:color w:val="auto"/>
          <w:kern w:val="0"/>
          <w:sz w:val="28"/>
          <w:szCs w:val="28"/>
        </w:rPr>
        <w:t>不确定评定报告</w:t>
      </w:r>
    </w:p>
    <w:p>
      <w:pPr>
        <w:spacing w:line="360" w:lineRule="auto"/>
        <w:rPr>
          <w:bCs/>
          <w:color w:val="auto"/>
          <w:sz w:val="24"/>
        </w:rPr>
      </w:pPr>
      <w:r>
        <w:rPr>
          <w:bCs/>
          <w:color w:val="auto"/>
          <w:sz w:val="24"/>
        </w:rPr>
        <w:t>1、测量过程</w:t>
      </w:r>
      <w:r>
        <w:rPr>
          <w:color w:val="auto"/>
          <w:sz w:val="24"/>
        </w:rPr>
        <w:br w:type="textWrapping"/>
      </w:r>
      <w:r>
        <w:rPr>
          <w:bCs/>
          <w:color w:val="auto"/>
          <w:sz w:val="24"/>
        </w:rPr>
        <w:t>1.1</w:t>
      </w:r>
      <w:r>
        <w:rPr>
          <w:color w:val="auto"/>
          <w:sz w:val="24"/>
        </w:rPr>
        <w:t>、测量方法：</w:t>
      </w:r>
      <w:r>
        <w:rPr>
          <w:bCs/>
          <w:color w:val="auto"/>
          <w:sz w:val="24"/>
        </w:rPr>
        <w:t xml:space="preserve"> SY/T6160-2014《防喷器检查和维修 》</w:t>
      </w:r>
      <w:r>
        <w:rPr>
          <w:color w:val="auto"/>
          <w:sz w:val="24"/>
        </w:rPr>
        <w:t>及仪器使用说明书和相关操作规范</w:t>
      </w:r>
      <w:r>
        <w:rPr>
          <w:bCs/>
          <w:color w:val="auto"/>
          <w:sz w:val="24"/>
        </w:rPr>
        <w:t>进行测量。</w:t>
      </w:r>
    </w:p>
    <w:p>
      <w:pPr>
        <w:spacing w:line="360" w:lineRule="auto"/>
        <w:rPr>
          <w:color w:val="auto"/>
          <w:sz w:val="24"/>
        </w:rPr>
      </w:pPr>
      <w:r>
        <w:rPr>
          <w:color w:val="auto"/>
          <w:sz w:val="24"/>
        </w:rPr>
        <w:t>1.2、环境条件：常温</w:t>
      </w:r>
    </w:p>
    <w:p>
      <w:pPr>
        <w:rPr>
          <w:color w:val="auto"/>
          <w:sz w:val="24"/>
        </w:rPr>
      </w:pPr>
      <w:r>
        <w:rPr>
          <w:color w:val="auto"/>
          <w:sz w:val="24"/>
        </w:rPr>
        <w:t>1.3、检测设备：压力传感器（0-</w:t>
      </w:r>
      <w:r>
        <w:rPr>
          <w:rFonts w:hint="eastAsia"/>
          <w:color w:val="auto"/>
          <w:sz w:val="24"/>
          <w:lang w:val="en-US" w:eastAsia="zh-CN"/>
        </w:rPr>
        <w:t>2</w:t>
      </w:r>
      <w:r>
        <w:rPr>
          <w:color w:val="auto"/>
          <w:sz w:val="24"/>
        </w:rPr>
        <w:t>00）MPa，</w:t>
      </w:r>
      <w:r>
        <w:rPr>
          <w:rFonts w:hint="eastAsia"/>
          <w:color w:val="auto"/>
          <w:sz w:val="24"/>
          <w:lang w:val="en-US" w:eastAsia="zh-CN"/>
        </w:rPr>
        <w:t>最大允许误差</w:t>
      </w:r>
      <w:r>
        <w:rPr>
          <w:rFonts w:hint="eastAsia" w:ascii="宋体" w:hAnsi="宋体" w:eastAsia="宋体" w:cs="宋体"/>
          <w:color w:val="auto"/>
          <w:sz w:val="24"/>
          <w:lang w:val="en-US" w:eastAsia="zh-CN"/>
        </w:rPr>
        <w:t>±</w:t>
      </w:r>
      <w:r>
        <w:rPr>
          <w:color w:val="auto"/>
          <w:sz w:val="24"/>
        </w:rPr>
        <w:t>0.</w:t>
      </w:r>
      <w:r>
        <w:rPr>
          <w:rFonts w:hint="eastAsia"/>
          <w:color w:val="auto"/>
          <w:sz w:val="24"/>
          <w:lang w:val="en-US" w:eastAsia="zh-CN"/>
        </w:rPr>
        <w:t>5</w:t>
      </w:r>
      <w:r>
        <w:rPr>
          <w:rFonts w:hint="eastAsia"/>
          <w:color w:val="auto"/>
          <w:sz w:val="24"/>
        </w:rPr>
        <w:t>%</w:t>
      </w:r>
    </w:p>
    <w:p>
      <w:pPr>
        <w:spacing w:line="360" w:lineRule="auto"/>
        <w:rPr>
          <w:color w:val="auto"/>
          <w:sz w:val="24"/>
        </w:rPr>
      </w:pPr>
      <w:r>
        <w:rPr>
          <w:color w:val="auto"/>
          <w:sz w:val="24"/>
        </w:rPr>
        <w:t>1.4、被测对象：压力（35-35.7）MPa</w:t>
      </w:r>
      <w:r>
        <w:rPr>
          <w:color w:val="auto"/>
          <w:kern w:val="0"/>
          <w:sz w:val="24"/>
        </w:rPr>
        <w:t>。</w:t>
      </w:r>
    </w:p>
    <w:p>
      <w:pPr>
        <w:spacing w:line="360" w:lineRule="auto"/>
        <w:ind w:left="720" w:hanging="720" w:hangingChars="300"/>
        <w:rPr>
          <w:bCs/>
          <w:color w:val="auto"/>
          <w:sz w:val="24"/>
        </w:rPr>
      </w:pPr>
      <w:r>
        <w:rPr>
          <w:color w:val="auto"/>
          <w:sz w:val="24"/>
        </w:rPr>
        <w:t>1.5、测量过程：</w:t>
      </w:r>
      <w:r>
        <w:rPr>
          <w:rFonts w:hint="eastAsia"/>
          <w:bCs/>
          <w:color w:val="auto"/>
          <w:sz w:val="24"/>
        </w:rPr>
        <w:t>开机，打开测试软件，压力置零，连接防喷器，防喷器灌满水</w:t>
      </w:r>
    </w:p>
    <w:p>
      <w:pPr>
        <w:spacing w:line="360" w:lineRule="auto"/>
        <w:ind w:left="720" w:hanging="720" w:hangingChars="300"/>
        <w:rPr>
          <w:bCs/>
          <w:color w:val="auto"/>
          <w:sz w:val="24"/>
        </w:rPr>
      </w:pPr>
      <w:r>
        <w:rPr>
          <w:rFonts w:hint="eastAsia"/>
          <w:bCs/>
          <w:color w:val="auto"/>
          <w:sz w:val="24"/>
        </w:rPr>
        <w:t>后，关闭闸板，再开泵排出空气；</w:t>
      </w:r>
      <w:r>
        <w:rPr>
          <w:bCs/>
          <w:color w:val="auto"/>
          <w:sz w:val="24"/>
        </w:rPr>
        <w:t>检查</w:t>
      </w:r>
      <w:r>
        <w:rPr>
          <w:color w:val="auto"/>
          <w:sz w:val="24"/>
        </w:rPr>
        <w:t>压力传感器</w:t>
      </w:r>
      <w:r>
        <w:rPr>
          <w:bCs/>
          <w:color w:val="auto"/>
          <w:sz w:val="24"/>
        </w:rPr>
        <w:t>，表面应干净，应具有有效合</w:t>
      </w:r>
    </w:p>
    <w:p>
      <w:pPr>
        <w:spacing w:line="360" w:lineRule="auto"/>
        <w:ind w:left="720" w:hanging="720" w:hangingChars="300"/>
        <w:rPr>
          <w:bCs/>
          <w:color w:val="auto"/>
          <w:sz w:val="24"/>
        </w:rPr>
      </w:pPr>
      <w:r>
        <w:rPr>
          <w:bCs/>
          <w:color w:val="auto"/>
          <w:sz w:val="24"/>
        </w:rPr>
        <w:t>格标识，外观良好</w:t>
      </w:r>
      <w:r>
        <w:rPr>
          <w:rFonts w:hint="eastAsia"/>
          <w:bCs/>
          <w:color w:val="auto"/>
          <w:sz w:val="24"/>
        </w:rPr>
        <w:t>；开泵进入检测模式，人员撤离到监控室，按下测试键开始检</w:t>
      </w:r>
    </w:p>
    <w:p>
      <w:pPr>
        <w:spacing w:line="360" w:lineRule="auto"/>
        <w:ind w:left="720" w:hanging="720" w:hangingChars="300"/>
        <w:rPr>
          <w:b/>
          <w:bCs/>
          <w:color w:val="auto"/>
          <w:sz w:val="24"/>
        </w:rPr>
      </w:pPr>
      <w:r>
        <w:rPr>
          <w:rFonts w:hint="eastAsia"/>
          <w:bCs/>
          <w:color w:val="auto"/>
          <w:sz w:val="24"/>
        </w:rPr>
        <w:t>测，待检测完毕，记录压力数据</w:t>
      </w:r>
      <w:r>
        <w:rPr>
          <w:color w:val="auto"/>
          <w:sz w:val="24"/>
        </w:rPr>
        <w:t>。</w:t>
      </w:r>
    </w:p>
    <w:p>
      <w:pPr>
        <w:pStyle w:val="9"/>
        <w:numPr>
          <w:ilvl w:val="0"/>
          <w:numId w:val="1"/>
        </w:numPr>
        <w:autoSpaceDE w:val="0"/>
        <w:autoSpaceDN w:val="0"/>
        <w:adjustRightInd w:val="0"/>
        <w:spacing w:line="360" w:lineRule="auto"/>
        <w:ind w:firstLineChars="0"/>
        <w:jc w:val="left"/>
        <w:rPr>
          <w:color w:val="auto"/>
          <w:sz w:val="24"/>
        </w:rPr>
      </w:pPr>
      <w:r>
        <w:rPr>
          <w:b/>
          <w:bCs/>
          <w:color w:val="auto"/>
          <w:sz w:val="24"/>
        </w:rPr>
        <w:t>数学模型</w:t>
      </w:r>
      <w:r>
        <w:rPr>
          <w:color w:val="auto"/>
          <w:sz w:val="24"/>
        </w:rPr>
        <w:t xml:space="preserve"> </w:t>
      </w:r>
    </w:p>
    <w:p>
      <w:pPr>
        <w:autoSpaceDE w:val="0"/>
        <w:autoSpaceDN w:val="0"/>
        <w:spacing w:line="360" w:lineRule="auto"/>
        <w:ind w:firstLine="1320" w:firstLineChars="550"/>
        <w:rPr>
          <w:color w:val="auto"/>
          <w:sz w:val="24"/>
        </w:rPr>
      </w:pPr>
      <w:r>
        <w:rPr>
          <w:color w:val="auto"/>
          <w:sz w:val="24"/>
        </w:rPr>
        <w:t xml:space="preserve">  </w:t>
      </w:r>
      <m:oMath>
        <m:r>
          <m:rPr/>
          <w:rPr>
            <w:rFonts w:ascii="Cambria Math" w:hAnsi="Cambria Math"/>
            <w:color w:val="auto"/>
            <w:position w:val="-4"/>
            <w:sz w:val="24"/>
          </w:rPr>
          <m:t>ΔL=L</m:t>
        </m:r>
      </m:oMath>
      <w:r>
        <w:rPr>
          <w:color w:val="auto"/>
          <w:sz w:val="24"/>
        </w:rPr>
        <w:t xml:space="preserve">                                     </w:t>
      </w:r>
    </w:p>
    <w:p>
      <w:pPr>
        <w:pStyle w:val="2"/>
        <w:spacing w:line="360" w:lineRule="auto"/>
        <w:ind w:firstLine="1440" w:firstLineChars="600"/>
        <w:jc w:val="left"/>
        <w:rPr>
          <w:color w:val="auto"/>
          <w:sz w:val="24"/>
        </w:rPr>
      </w:pPr>
      <w:r>
        <w:rPr>
          <w:color w:val="auto"/>
          <w:sz w:val="24"/>
        </w:rPr>
        <w:t>式中：</w:t>
      </w:r>
      <m:oMath>
        <m:r>
          <m:rPr/>
          <w:rPr>
            <w:rFonts w:ascii="Cambria Math" w:hAnsi="Cambria Math"/>
            <w:color w:val="auto"/>
            <w:position w:val="-4"/>
            <w:sz w:val="24"/>
          </w:rPr>
          <m:t>ΔL</m:t>
        </m:r>
      </m:oMath>
      <w:r>
        <w:rPr>
          <w:color w:val="auto"/>
          <w:sz w:val="24"/>
        </w:rPr>
        <w:t xml:space="preserve"> ---防喷器压力</w:t>
      </w:r>
      <w:r>
        <w:rPr>
          <w:rFonts w:hint="eastAsia"/>
          <w:color w:val="auto"/>
          <w:sz w:val="24"/>
        </w:rPr>
        <w:t>检测</w:t>
      </w:r>
      <w:r>
        <w:rPr>
          <w:color w:val="auto"/>
          <w:kern w:val="0"/>
          <w:sz w:val="24"/>
        </w:rPr>
        <w:t>结果</w:t>
      </w:r>
    </w:p>
    <w:p>
      <w:pPr>
        <w:pStyle w:val="2"/>
        <w:spacing w:line="360" w:lineRule="auto"/>
        <w:ind w:firstLine="2160" w:firstLineChars="900"/>
        <w:jc w:val="left"/>
        <w:rPr>
          <w:color w:val="auto"/>
          <w:sz w:val="24"/>
        </w:rPr>
      </w:pPr>
      <w:r>
        <w:rPr>
          <w:color w:val="auto"/>
          <w:sz w:val="24"/>
        </w:rPr>
        <w:t>L----防喷器压力读数值</w:t>
      </w:r>
    </w:p>
    <w:p>
      <w:pPr>
        <w:numPr>
          <w:ilvl w:val="0"/>
          <w:numId w:val="2"/>
        </w:numPr>
        <w:spacing w:line="360" w:lineRule="auto"/>
        <w:rPr>
          <w:color w:val="auto"/>
          <w:sz w:val="24"/>
        </w:rPr>
      </w:pPr>
      <w:r>
        <w:rPr>
          <w:b/>
          <w:color w:val="auto"/>
          <w:sz w:val="24"/>
        </w:rPr>
        <w:t>输入量的标准不确定度评定</w:t>
      </w:r>
    </w:p>
    <w:p>
      <w:pPr>
        <w:spacing w:line="360" w:lineRule="auto"/>
        <w:ind w:firstLine="480" w:firstLineChars="200"/>
        <w:rPr>
          <w:bCs/>
          <w:color w:val="auto"/>
          <w:sz w:val="24"/>
        </w:rPr>
      </w:pPr>
      <w:r>
        <w:rPr>
          <w:color w:val="auto"/>
          <w:sz w:val="24"/>
        </w:rPr>
        <w:t>输入量的不确定度主要来源于：测量重复性引入的不确定度</w:t>
      </w:r>
      <w:r>
        <w:rPr>
          <w:color w:val="auto"/>
          <w:position w:val="-10"/>
          <w:sz w:val="24"/>
        </w:rPr>
        <w:object>
          <v:shape id="_x0000_i1025" o:spt="75" type="#_x0000_t75" style="height:16.7pt;width:1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b/>
          <w:bCs/>
          <w:color w:val="auto"/>
          <w:sz w:val="24"/>
        </w:rPr>
        <w:t>；</w:t>
      </w:r>
      <w:r>
        <w:rPr>
          <w:bCs/>
          <w:color w:val="auto"/>
          <w:sz w:val="24"/>
        </w:rPr>
        <w:t>测量设备</w:t>
      </w:r>
      <w:r>
        <w:rPr>
          <w:color w:val="auto"/>
          <w:sz w:val="24"/>
        </w:rPr>
        <w:t>引入的标准不确定度</w:t>
      </w:r>
      <w:r>
        <w:rPr>
          <w:color w:val="auto"/>
          <w:position w:val="-10"/>
          <w:sz w:val="24"/>
        </w:rPr>
        <w:object>
          <v:shape id="_x0000_i1026" o:spt="75" type="#_x0000_t75" style="height:16.7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Cs/>
          <w:color w:val="auto"/>
          <w:sz w:val="24"/>
        </w:rPr>
        <w:t>。</w:t>
      </w:r>
    </w:p>
    <w:p>
      <w:pPr>
        <w:spacing w:line="360" w:lineRule="auto"/>
        <w:rPr>
          <w:color w:val="auto"/>
          <w:sz w:val="24"/>
        </w:rPr>
      </w:pPr>
      <w:r>
        <w:rPr>
          <w:color w:val="auto"/>
          <w:sz w:val="24"/>
        </w:rPr>
        <w:t>3.1测量重复性引入的标准不确定度</w:t>
      </w:r>
      <w:r>
        <w:rPr>
          <w:color w:val="auto"/>
          <w:position w:val="-10"/>
          <w:sz w:val="24"/>
        </w:rPr>
        <w:object>
          <v:shape id="_x0000_i1027" o:spt="75" type="#_x0000_t75" style="height:16.7pt;width:12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color w:val="auto"/>
          <w:sz w:val="24"/>
        </w:rPr>
        <w:t>的评定</w:t>
      </w:r>
    </w:p>
    <w:p>
      <w:pPr>
        <w:spacing w:line="360" w:lineRule="auto"/>
        <w:ind w:firstLine="480"/>
        <w:rPr>
          <w:color w:val="auto"/>
          <w:sz w:val="24"/>
        </w:rPr>
      </w:pPr>
      <w:r>
        <w:rPr>
          <w:color w:val="auto"/>
          <w:sz w:val="24"/>
        </w:rPr>
        <w:t>输入量测量重复性不确定度的来源主要是测量重复性引入的标准不确定度。</w:t>
      </w:r>
    </w:p>
    <w:p>
      <w:pPr>
        <w:spacing w:line="360" w:lineRule="auto"/>
        <w:rPr>
          <w:color w:val="auto"/>
          <w:sz w:val="24"/>
        </w:rPr>
      </w:pPr>
      <w:r>
        <w:rPr>
          <w:color w:val="auto"/>
          <w:sz w:val="24"/>
        </w:rPr>
        <w:t>做A类评定，在压力传感器正常工作状态下，同一组人，用同一台设备，在相临近的时间内，对被</w:t>
      </w:r>
      <w:r>
        <w:rPr>
          <w:rFonts w:hint="eastAsia"/>
          <w:color w:val="auto"/>
          <w:sz w:val="24"/>
        </w:rPr>
        <w:t>检测的防喷器压力</w:t>
      </w:r>
      <w:r>
        <w:rPr>
          <w:color w:val="auto"/>
          <w:sz w:val="24"/>
        </w:rPr>
        <w:t>连续测量5次，得5个测量数据汇于表1：</w:t>
      </w:r>
    </w:p>
    <w:p>
      <w:pPr>
        <w:spacing w:line="360" w:lineRule="auto"/>
        <w:ind w:firstLine="3600" w:firstLineChars="1500"/>
        <w:rPr>
          <w:color w:val="auto"/>
          <w:sz w:val="24"/>
        </w:rPr>
      </w:pPr>
      <w:r>
        <w:rPr>
          <w:color w:val="auto"/>
          <w:sz w:val="24"/>
        </w:rPr>
        <w:t>表1:重复性数据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center"/>
              <w:rPr>
                <w:color w:val="auto"/>
                <w:sz w:val="24"/>
              </w:rPr>
            </w:pPr>
            <w:r>
              <w:rPr>
                <w:color w:val="auto"/>
                <w:sz w:val="24"/>
              </w:rPr>
              <w:t>序号</w:t>
            </w:r>
          </w:p>
        </w:tc>
        <w:tc>
          <w:tcPr>
            <w:tcW w:w="1420" w:type="dxa"/>
            <w:vAlign w:val="center"/>
          </w:tcPr>
          <w:p>
            <w:pPr>
              <w:widowControl/>
              <w:adjustRightInd w:val="0"/>
              <w:spacing w:line="360" w:lineRule="auto"/>
              <w:ind w:left="237" w:leftChars="113"/>
              <w:jc w:val="center"/>
              <w:rPr>
                <w:color w:val="auto"/>
                <w:sz w:val="24"/>
              </w:rPr>
            </w:pPr>
            <w:r>
              <w:rPr>
                <w:color w:val="auto"/>
                <w:sz w:val="24"/>
              </w:rPr>
              <w:t>1</w:t>
            </w:r>
          </w:p>
        </w:tc>
        <w:tc>
          <w:tcPr>
            <w:tcW w:w="1420" w:type="dxa"/>
            <w:vAlign w:val="center"/>
          </w:tcPr>
          <w:p>
            <w:pPr>
              <w:widowControl/>
              <w:adjustRightInd w:val="0"/>
              <w:spacing w:line="360" w:lineRule="auto"/>
              <w:ind w:left="237"/>
              <w:jc w:val="center"/>
              <w:rPr>
                <w:color w:val="auto"/>
                <w:sz w:val="24"/>
              </w:rPr>
            </w:pPr>
            <w:r>
              <w:rPr>
                <w:color w:val="auto"/>
                <w:sz w:val="24"/>
              </w:rPr>
              <w:t>2</w:t>
            </w:r>
          </w:p>
        </w:tc>
        <w:tc>
          <w:tcPr>
            <w:tcW w:w="1420" w:type="dxa"/>
            <w:vAlign w:val="center"/>
          </w:tcPr>
          <w:p>
            <w:pPr>
              <w:widowControl/>
              <w:adjustRightInd w:val="0"/>
              <w:spacing w:line="360" w:lineRule="auto"/>
              <w:ind w:left="252"/>
              <w:jc w:val="center"/>
              <w:rPr>
                <w:color w:val="auto"/>
                <w:sz w:val="24"/>
              </w:rPr>
            </w:pPr>
            <w:r>
              <w:rPr>
                <w:color w:val="auto"/>
                <w:sz w:val="24"/>
              </w:rPr>
              <w:t>3</w:t>
            </w:r>
          </w:p>
        </w:tc>
        <w:tc>
          <w:tcPr>
            <w:tcW w:w="1421" w:type="dxa"/>
            <w:vAlign w:val="center"/>
          </w:tcPr>
          <w:p>
            <w:pPr>
              <w:widowControl/>
              <w:adjustRightInd w:val="0"/>
              <w:spacing w:line="360" w:lineRule="auto"/>
              <w:ind w:firstLine="120" w:firstLineChars="50"/>
              <w:jc w:val="center"/>
              <w:rPr>
                <w:color w:val="auto"/>
                <w:sz w:val="24"/>
              </w:rPr>
            </w:pPr>
            <w:r>
              <w:rPr>
                <w:color w:val="auto"/>
                <w:sz w:val="24"/>
              </w:rPr>
              <w:t>4</w:t>
            </w:r>
          </w:p>
        </w:tc>
        <w:tc>
          <w:tcPr>
            <w:tcW w:w="1421" w:type="dxa"/>
            <w:vAlign w:val="center"/>
          </w:tcPr>
          <w:p>
            <w:pPr>
              <w:widowControl/>
              <w:adjustRightInd w:val="0"/>
              <w:spacing w:line="360" w:lineRule="auto"/>
              <w:ind w:left="103" w:leftChars="49" w:firstLine="120" w:firstLineChars="50"/>
              <w:jc w:val="center"/>
              <w:rPr>
                <w:color w:val="auto"/>
                <w:sz w:val="24"/>
              </w:rPr>
            </w:pPr>
            <w:r>
              <w:rPr>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center"/>
              <w:rPr>
                <w:color w:val="auto"/>
                <w:sz w:val="24"/>
              </w:rPr>
            </w:pPr>
            <w:r>
              <w:rPr>
                <w:color w:val="auto"/>
                <w:sz w:val="24"/>
              </w:rPr>
              <w:t>L(MPa)</w:t>
            </w:r>
          </w:p>
        </w:tc>
        <w:tc>
          <w:tcPr>
            <w:tcW w:w="1420" w:type="dxa"/>
            <w:vAlign w:val="center"/>
          </w:tcPr>
          <w:p>
            <w:pPr>
              <w:widowControl/>
              <w:spacing w:line="360" w:lineRule="auto"/>
              <w:jc w:val="center"/>
              <w:rPr>
                <w:color w:val="auto"/>
                <w:kern w:val="0"/>
                <w:sz w:val="24"/>
              </w:rPr>
            </w:pPr>
            <w:r>
              <w:rPr>
                <w:color w:val="auto"/>
                <w:kern w:val="0"/>
                <w:sz w:val="24"/>
              </w:rPr>
              <w:t>35.05</w:t>
            </w:r>
          </w:p>
        </w:tc>
        <w:tc>
          <w:tcPr>
            <w:tcW w:w="1420" w:type="dxa"/>
            <w:vAlign w:val="center"/>
          </w:tcPr>
          <w:p>
            <w:pPr>
              <w:widowControl/>
              <w:spacing w:line="360" w:lineRule="auto"/>
              <w:jc w:val="center"/>
              <w:rPr>
                <w:color w:val="auto"/>
                <w:kern w:val="0"/>
                <w:sz w:val="24"/>
              </w:rPr>
            </w:pPr>
            <w:r>
              <w:rPr>
                <w:color w:val="auto"/>
                <w:kern w:val="0"/>
                <w:sz w:val="24"/>
              </w:rPr>
              <w:t>35.05</w:t>
            </w:r>
          </w:p>
        </w:tc>
        <w:tc>
          <w:tcPr>
            <w:tcW w:w="1420" w:type="dxa"/>
            <w:vAlign w:val="center"/>
          </w:tcPr>
          <w:p>
            <w:pPr>
              <w:widowControl/>
              <w:spacing w:line="360" w:lineRule="auto"/>
              <w:jc w:val="center"/>
              <w:rPr>
                <w:color w:val="auto"/>
                <w:kern w:val="0"/>
                <w:sz w:val="24"/>
              </w:rPr>
            </w:pPr>
            <w:r>
              <w:rPr>
                <w:color w:val="auto"/>
                <w:kern w:val="0"/>
                <w:sz w:val="24"/>
              </w:rPr>
              <w:t>35.05</w:t>
            </w:r>
          </w:p>
        </w:tc>
        <w:tc>
          <w:tcPr>
            <w:tcW w:w="1421" w:type="dxa"/>
            <w:vAlign w:val="center"/>
          </w:tcPr>
          <w:p>
            <w:pPr>
              <w:widowControl/>
              <w:spacing w:line="360" w:lineRule="auto"/>
              <w:jc w:val="center"/>
              <w:rPr>
                <w:color w:val="auto"/>
                <w:kern w:val="0"/>
                <w:sz w:val="24"/>
              </w:rPr>
            </w:pPr>
            <w:r>
              <w:rPr>
                <w:color w:val="auto"/>
                <w:kern w:val="0"/>
                <w:sz w:val="24"/>
              </w:rPr>
              <w:t>35.07</w:t>
            </w:r>
          </w:p>
        </w:tc>
        <w:tc>
          <w:tcPr>
            <w:tcW w:w="1421" w:type="dxa"/>
            <w:vAlign w:val="center"/>
          </w:tcPr>
          <w:p>
            <w:pPr>
              <w:widowControl/>
              <w:spacing w:line="360" w:lineRule="auto"/>
              <w:jc w:val="center"/>
              <w:rPr>
                <w:color w:val="auto"/>
                <w:kern w:val="0"/>
                <w:sz w:val="24"/>
              </w:rPr>
            </w:pPr>
            <w:r>
              <w:rPr>
                <w:color w:val="auto"/>
                <w:kern w:val="0"/>
                <w:sz w:val="24"/>
              </w:rPr>
              <w:t>35.07</w:t>
            </w:r>
          </w:p>
        </w:tc>
      </w:tr>
    </w:tbl>
    <w:p>
      <w:pPr>
        <w:spacing w:line="360" w:lineRule="auto"/>
        <w:rPr>
          <w:color w:val="auto"/>
          <w:sz w:val="24"/>
        </w:rPr>
      </w:pPr>
    </w:p>
    <w:p>
      <w:pPr>
        <w:spacing w:line="360" w:lineRule="auto"/>
        <w:rPr>
          <w:color w:val="auto"/>
          <w:sz w:val="24"/>
        </w:rPr>
      </w:pPr>
    </w:p>
    <w:p>
      <w:pPr>
        <w:spacing w:line="360" w:lineRule="auto"/>
        <w:rPr>
          <w:color w:val="auto"/>
          <w:sz w:val="24"/>
        </w:rPr>
      </w:pPr>
      <w:r>
        <w:rPr>
          <w:color w:val="auto"/>
          <w:sz w:val="24"/>
        </w:rPr>
        <w:tab/>
      </w:r>
    </w:p>
    <w:p>
      <w:pPr>
        <w:widowControl/>
        <w:tabs>
          <w:tab w:val="center" w:pos="4360"/>
          <w:tab w:val="right" w:pos="8300"/>
        </w:tabs>
        <w:spacing w:line="360" w:lineRule="auto"/>
        <w:rPr>
          <w:color w:val="auto"/>
          <w:kern w:val="0"/>
          <w:sz w:val="24"/>
        </w:rPr>
      </w:pPr>
      <w:r>
        <w:rPr>
          <w:color w:val="auto"/>
          <w:kern w:val="0"/>
          <w:sz w:val="24"/>
        </w:rPr>
        <w:t>用极差法评定单个测量值的实验标准差：</w:t>
      </w:r>
      <w:r>
        <w:rPr>
          <w:color w:val="auto"/>
          <w:kern w:val="0"/>
          <w:position w:val="-20"/>
          <w:sz w:val="24"/>
        </w:rPr>
        <w:object>
          <v:shape id="_x0000_i1028" o:spt="75" type="#_x0000_t75" style="height:30.85pt;width:197.1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p>
      <w:pPr>
        <w:widowControl/>
        <w:tabs>
          <w:tab w:val="center" w:pos="4360"/>
          <w:tab w:val="right" w:pos="8300"/>
        </w:tabs>
        <w:spacing w:line="360" w:lineRule="auto"/>
        <w:rPr>
          <w:color w:val="auto"/>
          <w:kern w:val="0"/>
          <w:sz w:val="24"/>
        </w:rPr>
      </w:pPr>
      <w:r>
        <w:rPr>
          <w:color w:val="auto"/>
          <w:kern w:val="0"/>
          <w:sz w:val="24"/>
        </w:rPr>
        <w:t>被测量估计值（</w:t>
      </w:r>
      <w:r>
        <w:rPr>
          <w:color w:val="auto"/>
          <w:kern w:val="0"/>
          <w:position w:val="-4"/>
          <w:sz w:val="24"/>
        </w:rPr>
        <w:object>
          <v:shape id="_x0000_i1029" o:spt="75" type="#_x0000_t75" style="height:17.15pt;width:12pt;" o:ole="t" filled="f" o:preferrelative="t" stroked="f" coordsize="21600,21600">
            <v:path/>
            <v:fill on="f" focussize="0,0"/>
            <v:stroke on="f" joinstyle="miter"/>
            <v:imagedata r:id="rId14" o:title=""/>
            <o:lock v:ext="edit" aspectratio="t"/>
            <w10:wrap type="none"/>
            <w10:anchorlock/>
          </v:shape>
          <o:OLEObject Type="Embed" ProgID="Equation.KSEE3" ShapeID="_x0000_i1029" DrawAspect="Content" ObjectID="_1468075729" r:id="rId13">
            <o:LockedField>false</o:LockedField>
          </o:OLEObject>
        </w:object>
      </w:r>
      <w:r>
        <w:rPr>
          <w:color w:val="auto"/>
          <w:kern w:val="0"/>
          <w:sz w:val="24"/>
        </w:rPr>
        <w:t>）标准不确定度分量</w:t>
      </w:r>
      <w:r>
        <w:rPr>
          <w:i/>
          <w:iCs/>
          <w:color w:val="auto"/>
          <w:sz w:val="24"/>
        </w:rPr>
        <w:t>u</w:t>
      </w:r>
      <w:r>
        <w:rPr>
          <w:color w:val="auto"/>
          <w:sz w:val="24"/>
          <w:vertAlign w:val="subscript"/>
        </w:rPr>
        <w:t>1</w:t>
      </w:r>
      <w:r>
        <w:rPr>
          <w:color w:val="auto"/>
          <w:kern w:val="0"/>
          <w:sz w:val="24"/>
        </w:rPr>
        <w:t>（</w:t>
      </w:r>
      <w:r>
        <w:rPr>
          <w:color w:val="auto"/>
          <w:kern w:val="0"/>
          <w:position w:val="-4"/>
          <w:sz w:val="24"/>
        </w:rPr>
        <w:object>
          <v:shape id="_x0000_i1030" o:spt="75" type="#_x0000_t75" style="height:17.15pt;width:12pt;" o:ole="t" filled="f" o:preferrelative="t" stroked="f" coordsize="21600,21600">
            <v:path/>
            <v:fill on="f" focussize="0,0"/>
            <v:stroke on="f" joinstyle="miter"/>
            <v:imagedata r:id="rId14" o:title=""/>
            <o:lock v:ext="edit" aspectratio="t"/>
            <w10:wrap type="none"/>
            <w10:anchorlock/>
          </v:shape>
          <o:OLEObject Type="Embed" ProgID="Equation.KSEE3" ShapeID="_x0000_i1030" DrawAspect="Content" ObjectID="_1468075730" r:id="rId15">
            <o:LockedField>false</o:LockedField>
          </o:OLEObject>
        </w:object>
      </w:r>
      <w:r>
        <w:rPr>
          <w:color w:val="auto"/>
          <w:kern w:val="0"/>
          <w:sz w:val="24"/>
        </w:rPr>
        <w:t>为1组数据的平均值，取n=1）</w:t>
      </w:r>
    </w:p>
    <w:p>
      <w:pPr>
        <w:widowControl/>
        <w:tabs>
          <w:tab w:val="center" w:pos="4360"/>
          <w:tab w:val="right" w:pos="8300"/>
        </w:tabs>
        <w:spacing w:line="360" w:lineRule="auto"/>
        <w:rPr>
          <w:color w:val="auto"/>
          <w:sz w:val="24"/>
        </w:rPr>
      </w:pPr>
      <w:r>
        <w:rPr>
          <w:color w:val="auto"/>
          <w:kern w:val="0"/>
          <w:sz w:val="24"/>
        </w:rPr>
        <w:t xml:space="preserve">标准不确定度分量： </w:t>
      </w:r>
      <w:r>
        <w:rPr>
          <w:color w:val="auto"/>
          <w:kern w:val="0"/>
          <w:position w:val="-10"/>
          <w:sz w:val="24"/>
        </w:rPr>
        <w:object>
          <v:shape id="_x0000_i1031" o:spt="75" type="#_x0000_t75" style="height:16.7pt;width:12pt;" o:ole="t" filled="f" o:preferrelative="t" stroked="f" coordsize="21600,21600">
            <v:path/>
            <v:fill on="f" focussize="0,0"/>
            <v:stroke on="f" joinstyle="miter"/>
            <v:imagedata r:id="rId17" o:title=""/>
            <o:lock v:ext="edit" aspectratio="t"/>
            <w10:wrap type="none"/>
            <w10:anchorlock/>
          </v:shape>
          <o:OLEObject Type="Embed" ProgID="Equation.KSEE3" ShapeID="_x0000_i1031" DrawAspect="Content" ObjectID="_1468075731" r:id="rId16">
            <o:LockedField>false</o:LockedField>
          </o:OLEObject>
        </w:object>
      </w:r>
      <w:r>
        <w:rPr>
          <w:color w:val="auto"/>
          <w:kern w:val="0"/>
          <w:sz w:val="24"/>
        </w:rPr>
        <w:t>=</w:t>
      </w:r>
      <w:r>
        <w:rPr>
          <w:color w:val="auto"/>
          <w:kern w:val="0"/>
          <w:position w:val="-28"/>
          <w:sz w:val="24"/>
        </w:rPr>
        <w:object>
          <v:shape id="_x0000_i1032" o:spt="75" type="#_x0000_t75" style="height:33pt;width:159.85pt;" o:ole="t" filled="f" o:preferrelative="t" stroked="f" coordsize="21600,21600">
            <v:path/>
            <v:fill on="f" focussize="0,0"/>
            <v:stroke on="f" joinstyle="miter"/>
            <v:imagedata r:id="rId19" o:title=""/>
            <o:lock v:ext="edit" aspectratio="t"/>
            <w10:wrap type="none"/>
            <w10:anchorlock/>
          </v:shape>
          <o:OLEObject Type="Embed" ProgID="Equation.KSEE3" ShapeID="_x0000_i1032" DrawAspect="Content" ObjectID="_1468075732" r:id="rId18">
            <o:LockedField>false</o:LockedField>
          </o:OLEObject>
        </w:object>
      </w:r>
      <w:r>
        <w:rPr>
          <w:color w:val="auto"/>
          <w:sz w:val="24"/>
        </w:rPr>
        <w:t xml:space="preserve">       </w:t>
      </w:r>
    </w:p>
    <w:p>
      <w:pPr>
        <w:widowControl/>
        <w:tabs>
          <w:tab w:val="center" w:pos="4360"/>
          <w:tab w:val="right" w:pos="8300"/>
        </w:tabs>
        <w:spacing w:line="360" w:lineRule="auto"/>
        <w:rPr>
          <w:color w:val="auto"/>
          <w:kern w:val="0"/>
          <w:sz w:val="24"/>
          <w:vertAlign w:val="subscript"/>
        </w:rPr>
      </w:pPr>
      <w:r>
        <w:rPr>
          <w:color w:val="auto"/>
          <w:kern w:val="0"/>
          <w:sz w:val="24"/>
        </w:rPr>
        <w:t>3.2、</w:t>
      </w:r>
      <w:r>
        <w:rPr>
          <w:color w:val="auto"/>
          <w:sz w:val="24"/>
        </w:rPr>
        <w:t>测量设备引入的</w:t>
      </w:r>
      <w:r>
        <w:rPr>
          <w:color w:val="auto"/>
          <w:kern w:val="0"/>
          <w:sz w:val="24"/>
        </w:rPr>
        <w:t>不确定度影响分量</w:t>
      </w:r>
      <w:r>
        <w:rPr>
          <w:color w:val="auto"/>
          <w:kern w:val="0"/>
          <w:position w:val="-10"/>
          <w:sz w:val="24"/>
        </w:rPr>
        <w:object>
          <v:shape id="_x0000_i1033" o:spt="75" type="#_x0000_t75" style="height:16.7pt;width:12.85pt;" o:ole="t" filled="f" o:preferrelative="t" stroked="f" coordsize="21600,21600">
            <v:path/>
            <v:fill on="f" focussize="0,0"/>
            <v:stroke on="f" joinstyle="miter"/>
            <v:imagedata r:id="rId21" o:title=""/>
            <o:lock v:ext="edit" aspectratio="t"/>
            <w10:wrap type="none"/>
            <w10:anchorlock/>
          </v:shape>
          <o:OLEObject Type="Embed" ProgID="Equation.KSEE3" ShapeID="_x0000_i1033" DrawAspect="Content" ObjectID="_1468075733" r:id="rId20">
            <o:LockedField>false</o:LockedField>
          </o:OLEObject>
        </w:object>
      </w:r>
    </w:p>
    <w:p>
      <w:pPr>
        <w:ind w:firstLine="480" w:firstLineChars="200"/>
        <w:rPr>
          <w:color w:val="auto"/>
          <w:sz w:val="24"/>
        </w:rPr>
      </w:pPr>
      <w:r>
        <w:rPr>
          <w:color w:val="auto"/>
          <w:sz w:val="24"/>
        </w:rPr>
        <w:t>压力传感器的最大允许误差为</w:t>
      </w:r>
      <w:r>
        <w:rPr>
          <w:rFonts w:hint="eastAsia" w:ascii="宋体" w:hAnsi="宋体" w:eastAsia="宋体" w:cs="宋体"/>
          <w:color w:val="auto"/>
          <w:sz w:val="24"/>
          <w:lang w:val="en-US" w:eastAsia="zh-CN"/>
        </w:rPr>
        <w:t>±</w:t>
      </w:r>
      <w:r>
        <w:rPr>
          <w:color w:val="auto"/>
          <w:sz w:val="24"/>
        </w:rPr>
        <w:t>0.</w:t>
      </w:r>
      <w:r>
        <w:rPr>
          <w:rFonts w:hint="eastAsia"/>
          <w:color w:val="auto"/>
          <w:sz w:val="24"/>
          <w:lang w:val="en-US" w:eastAsia="zh-CN"/>
        </w:rPr>
        <w:t>5</w:t>
      </w:r>
      <w:r>
        <w:rPr>
          <w:rFonts w:hint="eastAsia"/>
          <w:color w:val="auto"/>
          <w:sz w:val="24"/>
        </w:rPr>
        <w:t>%,</w:t>
      </w:r>
      <w:r>
        <w:rPr>
          <w:rFonts w:hint="eastAsia"/>
          <w:color w:val="auto"/>
          <w:sz w:val="24"/>
          <w:lang w:val="en-US" w:eastAsia="zh-CN"/>
        </w:rPr>
        <w:t>按照</w:t>
      </w:r>
      <w:r>
        <w:rPr>
          <w:color w:val="auto"/>
          <w:sz w:val="24"/>
        </w:rPr>
        <w:t>均匀分布，</w:t>
      </w:r>
      <w:r>
        <w:rPr>
          <w:rFonts w:hint="eastAsia"/>
          <w:color w:val="auto"/>
          <w:sz w:val="24"/>
          <w:lang w:val="en-US" w:eastAsia="zh-CN"/>
        </w:rPr>
        <w:t>半宽a=0.5%,</w:t>
      </w:r>
      <w:r>
        <w:rPr>
          <w:color w:val="auto"/>
          <w:sz w:val="24"/>
        </w:rPr>
        <w:t>取</w:t>
      </w:r>
      <w:r>
        <w:rPr>
          <w:rFonts w:hint="eastAsia"/>
          <w:color w:val="auto"/>
          <w:sz w:val="24"/>
          <w:lang w:val="en-US" w:eastAsia="zh-CN"/>
        </w:rPr>
        <w:t>包含因子k</w:t>
      </w:r>
      <w:r>
        <w:rPr>
          <w:color w:val="auto"/>
          <w:sz w:val="24"/>
        </w:rPr>
        <w:t>=</w:t>
      </w:r>
      <m:oMath>
        <m:rad>
          <m:radPr>
            <m:degHide m:val="1"/>
            <m:ctrlPr>
              <w:rPr>
                <w:rFonts w:ascii="Cambria Math" w:hAnsi="Cambria Math"/>
                <w:color w:val="auto"/>
                <w:sz w:val="24"/>
              </w:rPr>
            </m:ctrlPr>
          </m:radPr>
          <m:deg>
            <m:ctrlPr>
              <w:rPr>
                <w:rFonts w:ascii="Cambria Math" w:hAnsi="Cambria Math"/>
                <w:color w:val="auto"/>
                <w:sz w:val="24"/>
              </w:rPr>
            </m:ctrlPr>
          </m:deg>
          <m:e>
            <m:r>
              <m:rPr/>
              <w:rPr>
                <w:rFonts w:ascii="Cambria Math" w:hAnsi="Cambria Math"/>
                <w:color w:val="auto"/>
                <w:sz w:val="24"/>
              </w:rPr>
              <m:t>3</m:t>
            </m:r>
            <m:ctrlPr>
              <w:rPr>
                <w:rFonts w:ascii="Cambria Math" w:hAnsi="Cambria Math"/>
                <w:color w:val="auto"/>
                <w:sz w:val="24"/>
              </w:rPr>
            </m:ctrlPr>
          </m:e>
        </m:rad>
      </m:oMath>
      <w:r>
        <w:rPr>
          <w:color w:val="auto"/>
          <w:sz w:val="24"/>
        </w:rPr>
        <w:t>，则由</w:t>
      </w:r>
      <w:r>
        <w:rPr>
          <w:rFonts w:hint="eastAsia"/>
          <w:color w:val="auto"/>
          <w:sz w:val="24"/>
          <w:lang w:val="en-US" w:eastAsia="zh-CN"/>
        </w:rPr>
        <w:t>测量</w:t>
      </w:r>
      <w:r>
        <w:rPr>
          <w:color w:val="auto"/>
          <w:sz w:val="24"/>
        </w:rPr>
        <w:t>设备引入的</w:t>
      </w:r>
      <w:r>
        <w:rPr>
          <w:rFonts w:hint="eastAsia"/>
          <w:color w:val="auto"/>
          <w:sz w:val="24"/>
          <w:lang w:val="en-US" w:eastAsia="zh-CN"/>
        </w:rPr>
        <w:t>标准</w:t>
      </w:r>
      <w:r>
        <w:rPr>
          <w:color w:val="auto"/>
          <w:sz w:val="24"/>
        </w:rPr>
        <w:t>不确定为：</w:t>
      </w:r>
      <w:bookmarkStart w:id="0" w:name="_GoBack"/>
      <w:bookmarkEnd w:id="0"/>
    </w:p>
    <w:p>
      <w:pPr>
        <w:spacing w:line="360" w:lineRule="auto"/>
        <w:ind w:firstLine="2160" w:firstLineChars="900"/>
        <w:rPr>
          <w:i/>
          <w:color w:val="auto"/>
          <w:position w:val="-24"/>
          <w:sz w:val="24"/>
        </w:rPr>
      </w:pPr>
      <w:r>
        <w:rPr>
          <w:i/>
          <w:color w:val="auto"/>
          <w:position w:val="-30"/>
          <w:sz w:val="24"/>
        </w:rPr>
        <w:object>
          <v:shape id="_x0000_i1034" o:spt="75" alt="" type="#_x0000_t75" style="height:31.95pt;width:239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p>
    <w:p>
      <w:pPr>
        <w:spacing w:line="360" w:lineRule="auto"/>
        <w:jc w:val="left"/>
        <w:rPr>
          <w:color w:val="auto"/>
          <w:sz w:val="24"/>
        </w:rPr>
      </w:pPr>
      <w:r>
        <w:rPr>
          <w:b/>
          <w:bCs/>
          <w:color w:val="auto"/>
          <w:sz w:val="24"/>
        </w:rPr>
        <w:t>4、合成标准不确定度的评定</w:t>
      </w:r>
    </w:p>
    <w:p>
      <w:pPr>
        <w:spacing w:line="360" w:lineRule="auto"/>
        <w:rPr>
          <w:color w:val="auto"/>
          <w:sz w:val="24"/>
        </w:rPr>
      </w:pPr>
      <w:r>
        <w:rPr>
          <w:color w:val="auto"/>
          <w:sz w:val="24"/>
        </w:rPr>
        <w:t>4.1标准不确定度汇总表</w:t>
      </w:r>
    </w:p>
    <w:p>
      <w:pPr>
        <w:spacing w:line="360" w:lineRule="auto"/>
        <w:ind w:firstLine="480" w:firstLineChars="200"/>
        <w:rPr>
          <w:color w:val="auto"/>
          <w:sz w:val="24"/>
        </w:rPr>
      </w:pPr>
      <w:r>
        <w:rPr>
          <w:color w:val="auto"/>
          <w:sz w:val="24"/>
        </w:rPr>
        <w:t>输入量的标准不确定度汇总于表2。</w:t>
      </w:r>
    </w:p>
    <w:p>
      <w:pPr>
        <w:spacing w:line="360" w:lineRule="auto"/>
        <w:jc w:val="center"/>
        <w:rPr>
          <w:color w:val="auto"/>
          <w:sz w:val="24"/>
        </w:rPr>
      </w:pPr>
      <w:r>
        <w:rPr>
          <w:color w:val="auto"/>
          <w:sz w:val="24"/>
        </w:rPr>
        <w:t>表2：标准不确定度汇总表</w:t>
      </w:r>
    </w:p>
    <w:tbl>
      <w:tblPr>
        <w:tblStyle w:val="6"/>
        <w:tblW w:w="7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62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pPr>
              <w:widowControl/>
              <w:adjustRightInd w:val="0"/>
              <w:spacing w:line="360" w:lineRule="auto"/>
              <w:jc w:val="center"/>
              <w:rPr>
                <w:color w:val="auto"/>
                <w:sz w:val="24"/>
              </w:rPr>
            </w:pPr>
            <w:r>
              <w:rPr>
                <w:color w:val="auto"/>
                <w:sz w:val="24"/>
              </w:rPr>
              <w:t>标准不确定度分量</w:t>
            </w:r>
          </w:p>
        </w:tc>
        <w:tc>
          <w:tcPr>
            <w:tcW w:w="2620" w:type="dxa"/>
            <w:vAlign w:val="center"/>
          </w:tcPr>
          <w:p>
            <w:pPr>
              <w:widowControl/>
              <w:adjustRightInd w:val="0"/>
              <w:spacing w:line="360" w:lineRule="auto"/>
              <w:jc w:val="center"/>
              <w:rPr>
                <w:color w:val="auto"/>
                <w:sz w:val="24"/>
              </w:rPr>
            </w:pPr>
            <w:r>
              <w:rPr>
                <w:color w:val="auto"/>
                <w:sz w:val="24"/>
              </w:rPr>
              <w:t>不确定度来源</w:t>
            </w:r>
          </w:p>
        </w:tc>
        <w:tc>
          <w:tcPr>
            <w:tcW w:w="2200" w:type="dxa"/>
            <w:vAlign w:val="center"/>
          </w:tcPr>
          <w:p>
            <w:pPr>
              <w:widowControl/>
              <w:adjustRightInd w:val="0"/>
              <w:spacing w:line="360" w:lineRule="auto"/>
              <w:jc w:val="center"/>
              <w:rPr>
                <w:color w:val="auto"/>
                <w:sz w:val="24"/>
              </w:rPr>
            </w:pPr>
            <w:r>
              <w:rPr>
                <w:color w:val="auto"/>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tcPr>
          <w:p>
            <w:pPr>
              <w:widowControl/>
              <w:adjustRightInd w:val="0"/>
              <w:spacing w:line="360" w:lineRule="auto"/>
              <w:jc w:val="center"/>
              <w:rPr>
                <w:color w:val="auto"/>
                <w:sz w:val="24"/>
              </w:rPr>
            </w:pPr>
            <w:r>
              <w:rPr>
                <w:color w:val="auto"/>
                <w:sz w:val="24"/>
              </w:rPr>
              <w:t>标准不确定度</w:t>
            </w:r>
            <w:r>
              <w:rPr>
                <w:i/>
                <w:iCs/>
                <w:color w:val="auto"/>
                <w:sz w:val="24"/>
              </w:rPr>
              <w:t>u</w:t>
            </w:r>
            <w:r>
              <w:rPr>
                <w:color w:val="auto"/>
                <w:sz w:val="24"/>
                <w:vertAlign w:val="subscript"/>
              </w:rPr>
              <w:t>1</w:t>
            </w:r>
          </w:p>
        </w:tc>
        <w:tc>
          <w:tcPr>
            <w:tcW w:w="2620" w:type="dxa"/>
          </w:tcPr>
          <w:p>
            <w:pPr>
              <w:widowControl/>
              <w:adjustRightInd w:val="0"/>
              <w:spacing w:line="360" w:lineRule="auto"/>
              <w:jc w:val="center"/>
              <w:rPr>
                <w:color w:val="auto"/>
                <w:sz w:val="24"/>
              </w:rPr>
            </w:pPr>
            <w:r>
              <w:rPr>
                <w:color w:val="auto"/>
                <w:sz w:val="24"/>
              </w:rPr>
              <w:t>测量重复性</w:t>
            </w:r>
          </w:p>
        </w:tc>
        <w:tc>
          <w:tcPr>
            <w:tcW w:w="2200" w:type="dxa"/>
            <w:vAlign w:val="center"/>
          </w:tcPr>
          <w:p>
            <w:pPr>
              <w:widowControl/>
              <w:adjustRightInd w:val="0"/>
              <w:spacing w:line="360" w:lineRule="auto"/>
              <w:jc w:val="center"/>
              <w:rPr>
                <w:color w:val="auto"/>
                <w:sz w:val="24"/>
              </w:rPr>
            </w:pPr>
            <w:r>
              <w:rPr>
                <w:color w:val="auto"/>
                <w:sz w:val="24"/>
              </w:rPr>
              <w:t>0.008</w:t>
            </w:r>
            <w:r>
              <w:rPr>
                <w:rFonts w:hint="eastAsia"/>
                <w:color w:val="auto"/>
                <w:sz w:val="24"/>
              </w:rPr>
              <w:t>6</w:t>
            </w:r>
            <w:r>
              <w:rPr>
                <w:color w:val="auto"/>
                <w:sz w:val="24"/>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tcPr>
          <w:p>
            <w:pPr>
              <w:widowControl/>
              <w:adjustRightInd w:val="0"/>
              <w:spacing w:line="360" w:lineRule="auto"/>
              <w:jc w:val="center"/>
              <w:rPr>
                <w:color w:val="auto"/>
                <w:sz w:val="24"/>
              </w:rPr>
            </w:pPr>
            <w:r>
              <w:rPr>
                <w:color w:val="auto"/>
                <w:sz w:val="24"/>
              </w:rPr>
              <w:t>标准不确定度</w:t>
            </w:r>
            <w:r>
              <w:rPr>
                <w:i/>
                <w:iCs/>
                <w:color w:val="auto"/>
                <w:sz w:val="24"/>
              </w:rPr>
              <w:t>u</w:t>
            </w:r>
            <w:r>
              <w:rPr>
                <w:color w:val="auto"/>
                <w:sz w:val="24"/>
                <w:vertAlign w:val="subscript"/>
              </w:rPr>
              <w:t>2</w:t>
            </w:r>
          </w:p>
        </w:tc>
        <w:tc>
          <w:tcPr>
            <w:tcW w:w="2620" w:type="dxa"/>
          </w:tcPr>
          <w:p>
            <w:pPr>
              <w:widowControl/>
              <w:adjustRightInd w:val="0"/>
              <w:spacing w:line="360" w:lineRule="auto"/>
              <w:jc w:val="center"/>
              <w:rPr>
                <w:color w:val="auto"/>
                <w:sz w:val="24"/>
              </w:rPr>
            </w:pPr>
            <w:r>
              <w:rPr>
                <w:color w:val="auto"/>
                <w:sz w:val="24"/>
              </w:rPr>
              <w:t>测量设备</w:t>
            </w:r>
          </w:p>
        </w:tc>
        <w:tc>
          <w:tcPr>
            <w:tcW w:w="2200" w:type="dxa"/>
            <w:vAlign w:val="center"/>
          </w:tcPr>
          <w:p>
            <w:pPr>
              <w:widowControl/>
              <w:tabs>
                <w:tab w:val="center" w:pos="4612"/>
              </w:tabs>
              <w:adjustRightInd w:val="0"/>
              <w:spacing w:line="360" w:lineRule="auto"/>
              <w:jc w:val="center"/>
              <w:rPr>
                <w:color w:val="auto"/>
                <w:sz w:val="24"/>
              </w:rPr>
            </w:pPr>
            <w:r>
              <w:rPr>
                <w:color w:val="auto"/>
                <w:sz w:val="24"/>
              </w:rPr>
              <w:t>0.</w:t>
            </w:r>
            <w:r>
              <w:rPr>
                <w:rFonts w:hint="eastAsia"/>
                <w:color w:val="auto"/>
                <w:sz w:val="24"/>
                <w:lang w:val="en-US" w:eastAsia="zh-CN"/>
              </w:rPr>
              <w:t>1</w:t>
            </w:r>
            <w:r>
              <w:rPr>
                <w:color w:val="auto"/>
                <w:sz w:val="24"/>
              </w:rPr>
              <w:t>MPa</w:t>
            </w:r>
          </w:p>
        </w:tc>
      </w:tr>
    </w:tbl>
    <w:p>
      <w:pPr>
        <w:spacing w:line="360" w:lineRule="auto"/>
        <w:rPr>
          <w:color w:val="auto"/>
          <w:sz w:val="24"/>
        </w:rPr>
      </w:pPr>
      <w:r>
        <w:rPr>
          <w:color w:val="auto"/>
          <w:sz w:val="24"/>
        </w:rPr>
        <w:t>4.2合成标准不确定度的计算</w:t>
      </w:r>
    </w:p>
    <w:p>
      <w:pPr>
        <w:spacing w:line="360" w:lineRule="auto"/>
        <w:ind w:firstLine="480" w:firstLineChars="200"/>
        <w:rPr>
          <w:color w:val="auto"/>
          <w:sz w:val="24"/>
        </w:rPr>
      </w:pPr>
      <w:r>
        <w:rPr>
          <w:color w:val="auto"/>
          <w:sz w:val="24"/>
        </w:rPr>
        <w:t>合成标准不确定度可按下式得到：</w:t>
      </w:r>
    </w:p>
    <w:p>
      <w:pPr>
        <w:spacing w:line="360" w:lineRule="auto"/>
        <w:ind w:firstLine="480" w:firstLineChars="200"/>
        <w:rPr>
          <w:b/>
          <w:bCs/>
          <w:color w:val="auto"/>
          <w:sz w:val="24"/>
        </w:rPr>
      </w:pPr>
      <w:r>
        <w:rPr>
          <w:color w:val="auto"/>
          <w:position w:val="-22"/>
          <w:sz w:val="24"/>
          <w:vertAlign w:val="subscript"/>
        </w:rPr>
        <w:object>
          <v:shape id="_x0000_i1035" o:spt="75" type="#_x0000_t75" style="height:29.65pt;width:274.15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p>
    <w:p>
      <w:pPr>
        <w:spacing w:line="360" w:lineRule="auto"/>
        <w:rPr>
          <w:b/>
          <w:bCs/>
          <w:color w:val="auto"/>
          <w:sz w:val="24"/>
        </w:rPr>
      </w:pPr>
      <w:r>
        <w:rPr>
          <w:b/>
          <w:bCs/>
          <w:color w:val="auto"/>
          <w:sz w:val="24"/>
        </w:rPr>
        <w:t>5、扩展不确定度的计算</w:t>
      </w:r>
    </w:p>
    <w:p>
      <w:pPr>
        <w:spacing w:line="360" w:lineRule="auto"/>
        <w:ind w:left="360"/>
        <w:rPr>
          <w:color w:val="auto"/>
          <w:sz w:val="24"/>
        </w:rPr>
      </w:pPr>
      <w:r>
        <w:rPr>
          <w:color w:val="auto"/>
          <w:sz w:val="24"/>
        </w:rPr>
        <w:t>取</w:t>
      </w:r>
      <w:r>
        <w:rPr>
          <w:color w:val="auto"/>
          <w:kern w:val="0"/>
          <w:sz w:val="24"/>
        </w:rPr>
        <w:t>包含因子</w:t>
      </w:r>
      <w:r>
        <w:rPr>
          <w:i/>
          <w:color w:val="auto"/>
          <w:kern w:val="0"/>
          <w:sz w:val="24"/>
        </w:rPr>
        <w:t>k</w:t>
      </w:r>
      <w:r>
        <w:rPr>
          <w:i/>
          <w:iCs/>
          <w:color w:val="auto"/>
          <w:kern w:val="0"/>
          <w:sz w:val="24"/>
        </w:rPr>
        <w:t xml:space="preserve"> </w:t>
      </w:r>
      <w:r>
        <w:rPr>
          <w:color w:val="auto"/>
          <w:kern w:val="0"/>
          <w:sz w:val="24"/>
        </w:rPr>
        <w:t>= 2,置信概率 95％</w:t>
      </w:r>
      <w:r>
        <w:rPr>
          <w:i/>
          <w:color w:val="auto"/>
          <w:sz w:val="24"/>
        </w:rPr>
        <w:t xml:space="preserve">,  </w:t>
      </w:r>
      <w:r>
        <w:rPr>
          <w:color w:val="auto"/>
          <w:sz w:val="24"/>
        </w:rPr>
        <w:t>得</w:t>
      </w:r>
    </w:p>
    <w:p>
      <w:pPr>
        <w:spacing w:line="360" w:lineRule="auto"/>
        <w:ind w:firstLine="480" w:firstLineChars="200"/>
        <w:rPr>
          <w:color w:val="auto"/>
          <w:sz w:val="24"/>
        </w:rPr>
      </w:pPr>
      <w:r>
        <w:rPr>
          <w:i/>
          <w:color w:val="auto"/>
          <w:sz w:val="24"/>
        </w:rPr>
        <w:t>U＝</w:t>
      </w:r>
      <w:r>
        <w:rPr>
          <w:color w:val="auto"/>
          <w:sz w:val="24"/>
        </w:rPr>
        <w:t xml:space="preserve"> </w:t>
      </w:r>
      <w:r>
        <w:rPr>
          <w:i/>
          <w:color w:val="auto"/>
          <w:kern w:val="0"/>
          <w:sz w:val="24"/>
        </w:rPr>
        <w:t>k</w:t>
      </w:r>
      <w:r>
        <w:rPr>
          <w:i/>
          <w:iCs/>
          <w:color w:val="auto"/>
          <w:sz w:val="24"/>
        </w:rPr>
        <w:t>u</w:t>
      </w:r>
      <w:r>
        <w:rPr>
          <w:color w:val="auto"/>
          <w:sz w:val="24"/>
          <w:vertAlign w:val="subscript"/>
        </w:rPr>
        <w:t>c</w:t>
      </w:r>
      <w:r>
        <w:rPr>
          <w:color w:val="auto"/>
          <w:sz w:val="24"/>
        </w:rPr>
        <w:t>＝2×0.</w:t>
      </w:r>
      <w:r>
        <w:rPr>
          <w:rFonts w:hint="eastAsia"/>
          <w:color w:val="auto"/>
          <w:sz w:val="24"/>
          <w:lang w:val="en-US" w:eastAsia="zh-CN"/>
        </w:rPr>
        <w:t>1</w:t>
      </w:r>
      <w:r>
        <w:rPr>
          <w:color w:val="auto"/>
          <w:sz w:val="24"/>
        </w:rPr>
        <w:t>MPa＝0.</w:t>
      </w:r>
      <w:r>
        <w:rPr>
          <w:rFonts w:hint="eastAsia"/>
          <w:color w:val="auto"/>
          <w:sz w:val="24"/>
          <w:lang w:val="en-US" w:eastAsia="zh-CN"/>
        </w:rPr>
        <w:t>2</w:t>
      </w:r>
      <w:r>
        <w:rPr>
          <w:color w:val="auto"/>
          <w:sz w:val="24"/>
        </w:rPr>
        <w:t>MPa</w:t>
      </w:r>
    </w:p>
    <w:p>
      <w:pPr>
        <w:spacing w:line="360" w:lineRule="auto"/>
        <w:rPr>
          <w:color w:val="auto"/>
          <w:sz w:val="24"/>
        </w:rPr>
      </w:pPr>
      <w:r>
        <w:rPr>
          <w:b/>
          <w:bCs/>
          <w:color w:val="auto"/>
          <w:sz w:val="24"/>
        </w:rPr>
        <w:t xml:space="preserve">6、测量不确定度的报告与表示   </w:t>
      </w:r>
      <w:r>
        <w:rPr>
          <w:color w:val="auto"/>
          <w:sz w:val="24"/>
        </w:rPr>
        <w:t xml:space="preserve">  </w:t>
      </w:r>
    </w:p>
    <w:p>
      <w:pPr>
        <w:spacing w:line="360" w:lineRule="auto"/>
        <w:ind w:firstLine="480" w:firstLineChars="200"/>
        <w:rPr>
          <w:color w:val="auto"/>
          <w:sz w:val="24"/>
        </w:rPr>
      </w:pPr>
      <w:r>
        <w:rPr>
          <w:i/>
          <w:color w:val="auto"/>
          <w:sz w:val="24"/>
        </w:rPr>
        <w:t>U＝</w:t>
      </w:r>
      <w:r>
        <w:rPr>
          <w:color w:val="auto"/>
          <w:sz w:val="24"/>
        </w:rPr>
        <w:t>0.</w:t>
      </w:r>
      <w:r>
        <w:rPr>
          <w:rFonts w:hint="eastAsia"/>
          <w:color w:val="auto"/>
          <w:sz w:val="24"/>
          <w:lang w:val="en-US" w:eastAsia="zh-CN"/>
        </w:rPr>
        <w:t>2</w:t>
      </w:r>
      <w:r>
        <w:rPr>
          <w:color w:val="auto"/>
          <w:sz w:val="24"/>
        </w:rPr>
        <w:t xml:space="preserve">MPa  </w:t>
      </w:r>
      <w:r>
        <w:rPr>
          <w:i/>
          <w:color w:val="auto"/>
          <w:kern w:val="0"/>
          <w:sz w:val="24"/>
        </w:rPr>
        <w:t>k</w:t>
      </w:r>
      <w:r>
        <w:rPr>
          <w:i/>
          <w:iCs/>
          <w:color w:val="auto"/>
          <w:kern w:val="0"/>
          <w:sz w:val="24"/>
        </w:rPr>
        <w:t xml:space="preserve"> </w:t>
      </w:r>
      <w:r>
        <w:rPr>
          <w:color w:val="auto"/>
          <w:kern w:val="0"/>
          <w:sz w:val="24"/>
        </w:rPr>
        <w:t>= 2</w:t>
      </w:r>
    </w:p>
    <w:p>
      <w:pPr>
        <w:pStyle w:val="2"/>
        <w:spacing w:line="240" w:lineRule="auto"/>
        <w:jc w:val="center"/>
        <w:rPr>
          <w:color w:val="FF0000"/>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95E52F6"/>
    <w:rsid w:val="00037162"/>
    <w:rsid w:val="001E3A13"/>
    <w:rsid w:val="00227CDF"/>
    <w:rsid w:val="00406AD4"/>
    <w:rsid w:val="00464803"/>
    <w:rsid w:val="00501C3E"/>
    <w:rsid w:val="00553067"/>
    <w:rsid w:val="00592E16"/>
    <w:rsid w:val="0063611F"/>
    <w:rsid w:val="006E25D7"/>
    <w:rsid w:val="00732A29"/>
    <w:rsid w:val="007A44C6"/>
    <w:rsid w:val="00827864"/>
    <w:rsid w:val="00884B4A"/>
    <w:rsid w:val="00A355CA"/>
    <w:rsid w:val="00A536C3"/>
    <w:rsid w:val="00A56519"/>
    <w:rsid w:val="00A92CEC"/>
    <w:rsid w:val="00AB15B9"/>
    <w:rsid w:val="00B23EC5"/>
    <w:rsid w:val="00B72BDD"/>
    <w:rsid w:val="00B80283"/>
    <w:rsid w:val="00D60E80"/>
    <w:rsid w:val="00E043D6"/>
    <w:rsid w:val="00F55B64"/>
    <w:rsid w:val="00F90B91"/>
    <w:rsid w:val="00FD7046"/>
    <w:rsid w:val="015416E6"/>
    <w:rsid w:val="01E43D31"/>
    <w:rsid w:val="01FF3BC3"/>
    <w:rsid w:val="024025BA"/>
    <w:rsid w:val="02D10F61"/>
    <w:rsid w:val="033C61BB"/>
    <w:rsid w:val="033C6CE8"/>
    <w:rsid w:val="0529508E"/>
    <w:rsid w:val="05A406F4"/>
    <w:rsid w:val="06354F1C"/>
    <w:rsid w:val="0684477D"/>
    <w:rsid w:val="07153E89"/>
    <w:rsid w:val="074914CA"/>
    <w:rsid w:val="07813E62"/>
    <w:rsid w:val="07A54DAE"/>
    <w:rsid w:val="082852F7"/>
    <w:rsid w:val="0A0C05C6"/>
    <w:rsid w:val="0A9A5E74"/>
    <w:rsid w:val="0AF125E1"/>
    <w:rsid w:val="0B0B039F"/>
    <w:rsid w:val="0C8C375E"/>
    <w:rsid w:val="0E2137A4"/>
    <w:rsid w:val="0E570075"/>
    <w:rsid w:val="0F334CE9"/>
    <w:rsid w:val="0F492F44"/>
    <w:rsid w:val="0F89424F"/>
    <w:rsid w:val="108B0D18"/>
    <w:rsid w:val="10C76CC6"/>
    <w:rsid w:val="11062BEE"/>
    <w:rsid w:val="114B0031"/>
    <w:rsid w:val="12636A19"/>
    <w:rsid w:val="139C6110"/>
    <w:rsid w:val="13AD63AE"/>
    <w:rsid w:val="13CB519A"/>
    <w:rsid w:val="150669D4"/>
    <w:rsid w:val="15577EC7"/>
    <w:rsid w:val="159C1D1A"/>
    <w:rsid w:val="1651438D"/>
    <w:rsid w:val="16895B57"/>
    <w:rsid w:val="183E7280"/>
    <w:rsid w:val="18B23F30"/>
    <w:rsid w:val="1A136006"/>
    <w:rsid w:val="1A2A38DE"/>
    <w:rsid w:val="1AE95F4D"/>
    <w:rsid w:val="1AF92720"/>
    <w:rsid w:val="1AFC0AA7"/>
    <w:rsid w:val="1B184F4E"/>
    <w:rsid w:val="1B2A74E6"/>
    <w:rsid w:val="1BE83ECF"/>
    <w:rsid w:val="1D5D7C6E"/>
    <w:rsid w:val="1D99516E"/>
    <w:rsid w:val="1DE85FFF"/>
    <w:rsid w:val="1E8A6C52"/>
    <w:rsid w:val="1EEB7551"/>
    <w:rsid w:val="20380E11"/>
    <w:rsid w:val="2063580D"/>
    <w:rsid w:val="21352D06"/>
    <w:rsid w:val="21BA3713"/>
    <w:rsid w:val="21D544E9"/>
    <w:rsid w:val="22242A16"/>
    <w:rsid w:val="223F6863"/>
    <w:rsid w:val="2257687F"/>
    <w:rsid w:val="22D65382"/>
    <w:rsid w:val="22DD7592"/>
    <w:rsid w:val="237A5348"/>
    <w:rsid w:val="23A5138B"/>
    <w:rsid w:val="24836E05"/>
    <w:rsid w:val="24B17578"/>
    <w:rsid w:val="254D786C"/>
    <w:rsid w:val="26520B85"/>
    <w:rsid w:val="266F2FDB"/>
    <w:rsid w:val="2710167F"/>
    <w:rsid w:val="2720587C"/>
    <w:rsid w:val="27D019DA"/>
    <w:rsid w:val="27DF7713"/>
    <w:rsid w:val="28FE60D3"/>
    <w:rsid w:val="295E52F6"/>
    <w:rsid w:val="29702973"/>
    <w:rsid w:val="2A2A582A"/>
    <w:rsid w:val="2A9F7E91"/>
    <w:rsid w:val="2C1B093A"/>
    <w:rsid w:val="2CA95F12"/>
    <w:rsid w:val="2CFE7B58"/>
    <w:rsid w:val="2DA16047"/>
    <w:rsid w:val="2DBB4F6C"/>
    <w:rsid w:val="2DBD3E4F"/>
    <w:rsid w:val="2E5E35F6"/>
    <w:rsid w:val="2EC93DDC"/>
    <w:rsid w:val="2EDF670F"/>
    <w:rsid w:val="2F001AC3"/>
    <w:rsid w:val="2F1E200F"/>
    <w:rsid w:val="2F306C78"/>
    <w:rsid w:val="2F985D32"/>
    <w:rsid w:val="2FA50E6E"/>
    <w:rsid w:val="30536D05"/>
    <w:rsid w:val="329B5D42"/>
    <w:rsid w:val="32C755ED"/>
    <w:rsid w:val="34785C61"/>
    <w:rsid w:val="349B3CDF"/>
    <w:rsid w:val="34AD43B8"/>
    <w:rsid w:val="35CD24B3"/>
    <w:rsid w:val="36184782"/>
    <w:rsid w:val="37682CFB"/>
    <w:rsid w:val="37A94C31"/>
    <w:rsid w:val="380B5B88"/>
    <w:rsid w:val="3A163D1F"/>
    <w:rsid w:val="3A1C0AAF"/>
    <w:rsid w:val="3A1D0244"/>
    <w:rsid w:val="3AA94754"/>
    <w:rsid w:val="3C0B0DDB"/>
    <w:rsid w:val="3DA52452"/>
    <w:rsid w:val="3E782D86"/>
    <w:rsid w:val="3E914909"/>
    <w:rsid w:val="3EF73C9A"/>
    <w:rsid w:val="3F6318E7"/>
    <w:rsid w:val="3FCE66DA"/>
    <w:rsid w:val="407A0847"/>
    <w:rsid w:val="407C22A8"/>
    <w:rsid w:val="409F2474"/>
    <w:rsid w:val="40E63BC5"/>
    <w:rsid w:val="41D24F23"/>
    <w:rsid w:val="42904D9A"/>
    <w:rsid w:val="42D51AAC"/>
    <w:rsid w:val="43666874"/>
    <w:rsid w:val="43B525C0"/>
    <w:rsid w:val="43EB5300"/>
    <w:rsid w:val="43EB609A"/>
    <w:rsid w:val="444F34BE"/>
    <w:rsid w:val="452D6531"/>
    <w:rsid w:val="45B643FF"/>
    <w:rsid w:val="45FE3658"/>
    <w:rsid w:val="462C7D91"/>
    <w:rsid w:val="46915ADF"/>
    <w:rsid w:val="47451645"/>
    <w:rsid w:val="47A07B51"/>
    <w:rsid w:val="47D62180"/>
    <w:rsid w:val="47FA49F3"/>
    <w:rsid w:val="487954CE"/>
    <w:rsid w:val="489932CB"/>
    <w:rsid w:val="492E08A0"/>
    <w:rsid w:val="493C18BB"/>
    <w:rsid w:val="49680B69"/>
    <w:rsid w:val="4A556A39"/>
    <w:rsid w:val="4AD918C9"/>
    <w:rsid w:val="4B466D02"/>
    <w:rsid w:val="4C5067A9"/>
    <w:rsid w:val="4CD37E96"/>
    <w:rsid w:val="4DB2248A"/>
    <w:rsid w:val="4E086F29"/>
    <w:rsid w:val="4E310665"/>
    <w:rsid w:val="4E416634"/>
    <w:rsid w:val="4FD5108C"/>
    <w:rsid w:val="4FDA309F"/>
    <w:rsid w:val="50730AE5"/>
    <w:rsid w:val="50A07371"/>
    <w:rsid w:val="51B926F9"/>
    <w:rsid w:val="51D71733"/>
    <w:rsid w:val="520B3430"/>
    <w:rsid w:val="526747A8"/>
    <w:rsid w:val="528447F7"/>
    <w:rsid w:val="53BC0C9F"/>
    <w:rsid w:val="53FF492A"/>
    <w:rsid w:val="543842E0"/>
    <w:rsid w:val="54C603E3"/>
    <w:rsid w:val="552B733D"/>
    <w:rsid w:val="55803F4D"/>
    <w:rsid w:val="558744B5"/>
    <w:rsid w:val="55985E5F"/>
    <w:rsid w:val="55B27004"/>
    <w:rsid w:val="56A8574D"/>
    <w:rsid w:val="56C86374"/>
    <w:rsid w:val="57CC2099"/>
    <w:rsid w:val="57EE0F5D"/>
    <w:rsid w:val="58A13279"/>
    <w:rsid w:val="58C70B1F"/>
    <w:rsid w:val="58F90F65"/>
    <w:rsid w:val="59E404A7"/>
    <w:rsid w:val="5AC6231F"/>
    <w:rsid w:val="5AEF16BE"/>
    <w:rsid w:val="5B12033D"/>
    <w:rsid w:val="5B474822"/>
    <w:rsid w:val="5B557525"/>
    <w:rsid w:val="5C096AEE"/>
    <w:rsid w:val="5D5F2C23"/>
    <w:rsid w:val="5DFB0858"/>
    <w:rsid w:val="5EAF7D71"/>
    <w:rsid w:val="5EFD54A6"/>
    <w:rsid w:val="6001421E"/>
    <w:rsid w:val="605F0B66"/>
    <w:rsid w:val="608B4C0D"/>
    <w:rsid w:val="60C173E7"/>
    <w:rsid w:val="61513181"/>
    <w:rsid w:val="619B1BCE"/>
    <w:rsid w:val="62484C76"/>
    <w:rsid w:val="64701F3E"/>
    <w:rsid w:val="68255B3B"/>
    <w:rsid w:val="683B1F8B"/>
    <w:rsid w:val="695F0B69"/>
    <w:rsid w:val="6A071061"/>
    <w:rsid w:val="6A2F29AB"/>
    <w:rsid w:val="6A370221"/>
    <w:rsid w:val="6A7D3D26"/>
    <w:rsid w:val="6B7A2070"/>
    <w:rsid w:val="6BDE262E"/>
    <w:rsid w:val="6C347AA5"/>
    <w:rsid w:val="6CF710FC"/>
    <w:rsid w:val="6E9F7006"/>
    <w:rsid w:val="6EE7134B"/>
    <w:rsid w:val="6F7F7358"/>
    <w:rsid w:val="6FE36DE5"/>
    <w:rsid w:val="6FFC36C6"/>
    <w:rsid w:val="702B2064"/>
    <w:rsid w:val="703F78C8"/>
    <w:rsid w:val="70BE60D8"/>
    <w:rsid w:val="70F02CA1"/>
    <w:rsid w:val="711F53B4"/>
    <w:rsid w:val="721675B7"/>
    <w:rsid w:val="723B526F"/>
    <w:rsid w:val="72D84B70"/>
    <w:rsid w:val="72EF5E54"/>
    <w:rsid w:val="73160F66"/>
    <w:rsid w:val="73361172"/>
    <w:rsid w:val="745D0E1C"/>
    <w:rsid w:val="75925870"/>
    <w:rsid w:val="75C4732A"/>
    <w:rsid w:val="76A1752D"/>
    <w:rsid w:val="78932B85"/>
    <w:rsid w:val="78EB596B"/>
    <w:rsid w:val="79C20835"/>
    <w:rsid w:val="7A347A80"/>
    <w:rsid w:val="7A3757D9"/>
    <w:rsid w:val="7B150E34"/>
    <w:rsid w:val="7C3E2CBC"/>
    <w:rsid w:val="7E0E55E6"/>
    <w:rsid w:val="7EC9775F"/>
    <w:rsid w:val="7F7D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line="240" w:lineRule="exact"/>
    </w:pPr>
    <w:rPr>
      <w:sz w:val="18"/>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 w:type="character" w:customStyle="1" w:styleId="10">
    <w:name w:val="页眉 字符"/>
    <w:basedOn w:val="8"/>
    <w:link w:val="5"/>
    <w:qFormat/>
    <w:uiPriority w:val="0"/>
    <w:rPr>
      <w:kern w:val="2"/>
      <w:sz w:val="18"/>
      <w:szCs w:val="18"/>
    </w:rPr>
  </w:style>
  <w:style w:type="character" w:styleId="11">
    <w:name w:val="Placeholder Text"/>
    <w:basedOn w:val="8"/>
    <w:semiHidden/>
    <w:qFormat/>
    <w:uiPriority w:val="99"/>
    <w:rPr>
      <w:color w:val="808080"/>
    </w:rPr>
  </w:style>
  <w:style w:type="character" w:customStyle="1" w:styleId="12">
    <w:name w:val="批注框文本 字符"/>
    <w:basedOn w:val="8"/>
    <w:link w:val="3"/>
    <w:qFormat/>
    <w:uiPriority w:val="0"/>
    <w:rPr>
      <w:kern w:val="2"/>
      <w:sz w:val="18"/>
      <w:szCs w:val="18"/>
    </w:rPr>
  </w:style>
  <w:style w:type="character" w:customStyle="1" w:styleId="13">
    <w:name w:val="正文文本 字符"/>
    <w:basedOn w:val="8"/>
    <w:link w:val="2"/>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10</TotalTime>
  <ScaleCrop>false</ScaleCrop>
  <LinksUpToDate>false</LinksUpToDate>
  <CharactersWithSpaces>1335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cp:lastPrinted>2020-06-19T03:26:00Z</cp:lastPrinted>
  <dcterms:modified xsi:type="dcterms:W3CDTF">2022-05-16T10:34:39Z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D86C795C4A624523A42C9968C03164B2</vt:lpwstr>
  </property>
</Properties>
</file>