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3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01"/>
        <w:gridCol w:w="1086"/>
        <w:gridCol w:w="1372"/>
        <w:gridCol w:w="1251"/>
        <w:gridCol w:w="1461"/>
        <w:gridCol w:w="184"/>
        <w:gridCol w:w="1484"/>
        <w:gridCol w:w="1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18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7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2" w:name="组织名称"/>
            <w:r>
              <w:rPr>
                <w:rFonts w:hint="eastAsia"/>
                <w:b/>
                <w:sz w:val="22"/>
                <w:szCs w:val="22"/>
              </w:rPr>
              <w:t>徐州鼎一具业工程机械有限公司</w:t>
            </w:r>
            <w:bookmarkEnd w:id="2"/>
          </w:p>
        </w:tc>
        <w:tc>
          <w:tcPr>
            <w:tcW w:w="16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3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17.02.00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杨庆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17.02.00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2" w:hRule="atLeast"/>
          <w:jc w:val="center"/>
        </w:trPr>
        <w:tc>
          <w:tcPr>
            <w:tcW w:w="8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李林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杨春光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 xml:space="preserve">原材料检验—机加工（下料-车-铣-刨-磨-钻-折弯）--焊接—检验—表面处理（酸洗磷化、抛丸或喷砂、喷漆或喷塑、镀锌）—检验—入库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特殊过程：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焊接过程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设计开发、表面处理；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主要控制方式：作业指导书以及部分业务外包（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表面处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理（酸洗磷化、镀锌））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02" w:firstLineChars="200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客户图纸和技术要求，GB/T12459-2005钢制对焊无缝管件、GB/T8163-2018输送流体用无缝钢管、GB/T3639-2009冷拔或冷轧精密无缝钢管等。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无型式检验要求，主要检验项目为：尺寸、外观等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161290</wp:posOffset>
                  </wp:positionV>
                  <wp:extent cx="462280" cy="207010"/>
                  <wp:effectExtent l="0" t="0" r="13970" b="2540"/>
                  <wp:wrapTopAndBottom/>
                  <wp:docPr id="3" name="图片 2" descr="杨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杨庆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2022年05月17日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5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123190</wp:posOffset>
                  </wp:positionV>
                  <wp:extent cx="479425" cy="247015"/>
                  <wp:effectExtent l="0" t="0" r="15875" b="635"/>
                  <wp:wrapTopAndBottom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2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2022年05月17日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3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01"/>
        <w:gridCol w:w="1086"/>
        <w:gridCol w:w="1372"/>
        <w:gridCol w:w="1251"/>
        <w:gridCol w:w="1461"/>
        <w:gridCol w:w="184"/>
        <w:gridCol w:w="1484"/>
        <w:gridCol w:w="1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18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7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徐州鼎一具业工程机械有限公司</w:t>
            </w:r>
          </w:p>
        </w:tc>
        <w:tc>
          <w:tcPr>
            <w:tcW w:w="16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3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17.07.02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李林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17.07.02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杨庆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杨春光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 xml:space="preserve">原材料检验—机加工（下料-车-铣-刨-磨-钻-折弯）--焊接—检验—表面处理（酸洗磷化、抛丸或喷砂、喷漆或喷塑、镀锌）—检验—入库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特殊过程：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焊接过程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设计开发、表面处理；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主要控制方式：作业指导书以及部分业务外包（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表面处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理（酸洗磷化、镀锌））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02" w:firstLineChars="200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客户图纸和技术要求，GB/T12459-2005钢制对焊无缝管件、GB/T8163-2018输送流体用无缝钢管、GB/T3639-2009冷拔或冷轧精密无缝钢管等。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无型式检验要求，主要检验项目为：尺寸、外观、压力等等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339090</wp:posOffset>
                  </wp:positionV>
                  <wp:extent cx="479425" cy="247015"/>
                  <wp:effectExtent l="0" t="0" r="15875" b="635"/>
                  <wp:wrapTopAndBottom/>
                  <wp:docPr id="6" name="图片 6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2022年05月17日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18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5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281305</wp:posOffset>
                  </wp:positionV>
                  <wp:extent cx="479425" cy="247015"/>
                  <wp:effectExtent l="0" t="0" r="15875" b="635"/>
                  <wp:wrapTopAndBottom/>
                  <wp:docPr id="5" name="图片 5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2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2022年05月17日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44E2BE0"/>
    <w:rsid w:val="07FB4E2D"/>
    <w:rsid w:val="18C354F3"/>
    <w:rsid w:val="1D8A4831"/>
    <w:rsid w:val="29D2746B"/>
    <w:rsid w:val="48693111"/>
    <w:rsid w:val="58F41319"/>
    <w:rsid w:val="76AF1D88"/>
    <w:rsid w:val="7D270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381</Words>
  <Characters>449</Characters>
  <Lines>2</Lines>
  <Paragraphs>1</Paragraphs>
  <TotalTime>0</TotalTime>
  <ScaleCrop>false</ScaleCrop>
  <LinksUpToDate>false</LinksUpToDate>
  <CharactersWithSpaces>451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2022-05-18T00:53:49Z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