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1165-2021-QEO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庆阳诚关物业服务集团有限公司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庆阳诚关物业服务集团有限公司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甘肃省庆阳市西峰区岐黄大道21号世纪公馆写字楼5楼</w:t>
            </w:r>
            <w:bookmarkEnd w:id="6"/>
          </w:p>
        </w:tc>
        <w:tc>
          <w:tcPr>
            <w:tcW w:w="1242" w:type="dxa"/>
            <w:vMerge w:val="restart"/>
            <w:vAlign w:val="center"/>
          </w:tcPr>
          <w:p>
            <w:r>
              <w:rPr>
                <w:rFonts w:hint="eastAsia"/>
              </w:rPr>
              <w:t>邮编</w:t>
            </w:r>
          </w:p>
        </w:tc>
        <w:tc>
          <w:tcPr>
            <w:tcW w:w="1771" w:type="dxa"/>
          </w:tcPr>
          <w:p>
            <w:bookmarkStart w:id="7" w:name="注册邮编"/>
            <w:r>
              <w:t>745000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甘肃省庆阳市西峰区岐黄大道21号世纪公馆写字楼5楼</w:t>
            </w:r>
            <w:bookmarkEnd w:id="8"/>
          </w:p>
        </w:tc>
        <w:tc>
          <w:tcPr>
            <w:tcW w:w="1242" w:type="dxa"/>
            <w:vMerge w:val="continue"/>
            <w:vAlign w:val="center"/>
          </w:tcPr>
          <w:p/>
        </w:tc>
        <w:tc>
          <w:tcPr>
            <w:tcW w:w="1771" w:type="dxa"/>
          </w:tcPr>
          <w:p>
            <w:bookmarkStart w:id="9" w:name="办公邮编"/>
            <w:r>
              <w:t>745000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张明科</w:t>
            </w:r>
            <w:bookmarkEnd w:id="10"/>
          </w:p>
        </w:tc>
        <w:tc>
          <w:tcPr>
            <w:tcW w:w="1313" w:type="dxa"/>
            <w:vAlign w:val="center"/>
          </w:tcPr>
          <w:p>
            <w:r>
              <w:rPr>
                <w:rFonts w:hint="eastAsia"/>
              </w:rPr>
              <w:t>电话.</w:t>
            </w:r>
          </w:p>
        </w:tc>
        <w:tc>
          <w:tcPr>
            <w:tcW w:w="2180" w:type="dxa"/>
            <w:vAlign w:val="center"/>
          </w:tcPr>
          <w:p>
            <w:bookmarkStart w:id="11" w:name="联系人电话"/>
            <w:r>
              <w:t>13919318338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徐子君</w:t>
            </w:r>
            <w:bookmarkEnd w:id="13"/>
          </w:p>
        </w:tc>
        <w:tc>
          <w:tcPr>
            <w:tcW w:w="1313" w:type="dxa"/>
            <w:vAlign w:val="center"/>
          </w:tcPr>
          <w:p>
            <w:r>
              <w:rPr>
                <w:rFonts w:hint="eastAsia"/>
              </w:rPr>
              <w:t>管理者代表</w:t>
            </w:r>
          </w:p>
        </w:tc>
        <w:tc>
          <w:tcPr>
            <w:tcW w:w="2180" w:type="dxa"/>
          </w:tcPr>
          <w:p>
            <w:bookmarkStart w:id="14" w:name="管理者代表"/>
            <w:r>
              <w:t>张鹏华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sz w:val="24"/>
              </w:rPr>
              <w:t>市场开发</w:t>
            </w:r>
            <w:r>
              <w:rPr>
                <w:rFonts w:ascii="宋体" w:hAnsi="宋体"/>
                <w:sz w:val="24"/>
              </w:rPr>
              <w:t>—</w:t>
            </w:r>
            <w:r>
              <w:rPr>
                <w:rFonts w:hint="eastAsia" w:ascii="宋体" w:hAnsi="宋体"/>
                <w:sz w:val="24"/>
              </w:rPr>
              <w:t>合同评审--签订合同—组织人员</w:t>
            </w:r>
            <w:r>
              <w:rPr>
                <w:rFonts w:ascii="宋体" w:hAnsi="宋体"/>
                <w:sz w:val="24"/>
              </w:rPr>
              <w:t>—</w:t>
            </w:r>
            <w:r>
              <w:rPr>
                <w:rFonts w:hint="eastAsia" w:ascii="宋体" w:hAnsi="宋体"/>
                <w:sz w:val="24"/>
              </w:rPr>
              <w:t>岗前培训</w:t>
            </w:r>
            <w:r>
              <w:rPr>
                <w:rFonts w:ascii="宋体" w:hAnsi="宋体"/>
                <w:sz w:val="24"/>
              </w:rPr>
              <w:t>—</w:t>
            </w:r>
            <w:r>
              <w:rPr>
                <w:rFonts w:hint="eastAsia" w:ascii="宋体" w:hAnsi="宋体"/>
                <w:sz w:val="24"/>
              </w:rPr>
              <w:t>进场交接</w:t>
            </w:r>
            <w:r>
              <w:rPr>
                <w:rFonts w:ascii="宋体" w:hAnsi="宋体"/>
                <w:sz w:val="24"/>
              </w:rPr>
              <w:t>—</w:t>
            </w:r>
            <w:r>
              <w:rPr>
                <w:rFonts w:hint="eastAsia" w:ascii="宋体" w:hAnsi="宋体"/>
                <w:sz w:val="24"/>
              </w:rPr>
              <w:t>开展服务—过程监督检查—满意度调查</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2022年05月14日 上午至2022年05月14日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val="de-DE"/>
              </w:rPr>
              <w:t>■</w:t>
            </w:r>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sym w:font="Wingdings 2" w:char="0052"/>
            </w:r>
            <w:r>
              <w:rPr>
                <w:rFonts w:hint="eastAsia"/>
              </w:rPr>
              <w:t>初审二阶段</w:t>
            </w:r>
            <w:bookmarkStart w:id="23" w:name="监督勾选Add1"/>
            <w:r>
              <w:rPr>
                <w:rFonts w:hint="eastAsia"/>
              </w:rPr>
              <w:t>□</w:t>
            </w:r>
            <w:bookmarkEnd w:id="23"/>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甘肃省庆阳市西峰区岐黄大道21号世纪公馆写字楼5楼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Q：物业服务</w:t>
            </w:r>
          </w:p>
          <w:p>
            <w:r>
              <w:t>E：物业服务所涉及场所的相关环境管理活动</w:t>
            </w:r>
          </w:p>
          <w:p>
            <w:r>
              <w:t>O：物业服务所涉及场所的相关职业健康安全管理活动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Q：35.15.00</w:t>
            </w:r>
          </w:p>
          <w:p>
            <w:r>
              <w:t>E：35.15.00</w:t>
            </w:r>
          </w:p>
          <w:p>
            <w:r>
              <w:t>O：35.15.00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庆阳诚关物业服务集团有限公司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甘肃省庆阳市西峰区岐黄大道21号世纪公馆写字楼5楼</w:t>
            </w:r>
          </w:p>
        </w:tc>
        <w:tc>
          <w:tcPr>
            <w:tcW w:w="2267" w:type="dxa"/>
          </w:tcPr>
          <w:p>
            <w:pPr>
              <w:rPr>
                <w:lang w:val="de-DE" w:eastAsia="ja-JP"/>
              </w:rPr>
            </w:pPr>
            <w:r>
              <w:rPr>
                <w:rFonts w:hint="eastAsia" w:ascii="宋体" w:hAnsi="宋体" w:cs="宋体"/>
                <w:color w:val="000000"/>
                <w:kern w:val="0"/>
                <w:szCs w:val="21"/>
              </w:rPr>
              <w:t>甘肃省庆阳市西峰区岐黄大道21号世纪公馆写字楼5楼</w:t>
            </w:r>
          </w:p>
        </w:tc>
        <w:tc>
          <w:tcPr>
            <w:tcW w:w="571" w:type="dxa"/>
            <w:vAlign w:val="center"/>
          </w:tcPr>
          <w:p>
            <w:pPr>
              <w:rPr>
                <w:rFonts w:hint="default" w:eastAsia="宋体"/>
                <w:lang w:val="en-US" w:eastAsia="zh-CN"/>
              </w:rPr>
            </w:pPr>
            <w:r>
              <w:rPr>
                <w:rFonts w:hint="eastAsia"/>
                <w:lang w:val="en-US" w:eastAsia="zh-CN"/>
              </w:rPr>
              <w:t>43</w:t>
            </w:r>
          </w:p>
        </w:tc>
        <w:tc>
          <w:tcPr>
            <w:tcW w:w="2803" w:type="dxa"/>
            <w:vAlign w:val="center"/>
          </w:tcPr>
          <w:p>
            <w:pPr>
              <w:rPr>
                <w:lang w:eastAsia="ja-JP"/>
              </w:rPr>
            </w:pPr>
            <w:r>
              <w:rPr>
                <w:rFonts w:ascii="宋体" w:hAnsi="宋体" w:cs="宋体"/>
                <w:color w:val="000000"/>
                <w:kern w:val="0"/>
                <w:szCs w:val="21"/>
              </w:rPr>
              <w:t>物业服务</w:t>
            </w:r>
          </w:p>
        </w:tc>
        <w:tc>
          <w:tcPr>
            <w:tcW w:w="669" w:type="dxa"/>
            <w:vAlign w:val="center"/>
          </w:tcPr>
          <w:p>
            <w:pPr>
              <w:rPr>
                <w:rFonts w:ascii="宋体" w:hAnsi="宋体" w:cs="宋体"/>
                <w:color w:val="000000"/>
                <w:kern w:val="0"/>
                <w:szCs w:val="21"/>
              </w:rPr>
            </w:pPr>
            <w:r>
              <w:rPr>
                <w:rFonts w:ascii="宋体" w:hAnsi="宋体" w:cs="宋体"/>
                <w:color w:val="000000"/>
                <w:kern w:val="0"/>
                <w:szCs w:val="21"/>
              </w:rPr>
              <w:t>GB/T19001-2016</w:t>
            </w:r>
          </w:p>
          <w:p>
            <w:pPr>
              <w:rPr>
                <w:rFonts w:ascii="宋体" w:hAnsi="宋体" w:cs="宋体"/>
                <w:color w:val="000000"/>
                <w:kern w:val="0"/>
                <w:szCs w:val="21"/>
              </w:rPr>
            </w:pPr>
            <w:r>
              <w:rPr>
                <w:rFonts w:ascii="宋体" w:hAnsi="宋体" w:cs="宋体"/>
                <w:color w:val="000000"/>
                <w:kern w:val="0"/>
                <w:szCs w:val="21"/>
              </w:rPr>
              <w:t>GB/T 24001-2016</w:t>
            </w:r>
          </w:p>
          <w:p>
            <w:pPr>
              <w:rPr>
                <w:lang w:eastAsia="ja-JP"/>
              </w:rPr>
            </w:pPr>
            <w:r>
              <w:rPr>
                <w:rFonts w:ascii="宋体" w:hAnsi="宋体" w:cs="宋体"/>
                <w:color w:val="000000"/>
                <w:kern w:val="0"/>
                <w:szCs w:val="21"/>
              </w:rPr>
              <w:t>GB/T45001-2020</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冯力</w:t>
            </w:r>
          </w:p>
        </w:tc>
        <w:tc>
          <w:tcPr>
            <w:tcW w:w="1089" w:type="dxa"/>
            <w:vAlign w:val="center"/>
          </w:tcPr>
          <w:p>
            <w:r>
              <w:t>组员</w:t>
            </w:r>
          </w:p>
        </w:tc>
        <w:tc>
          <w:tcPr>
            <w:tcW w:w="711" w:type="dxa"/>
            <w:vAlign w:val="center"/>
          </w:tcPr>
          <w:p>
            <w:r>
              <w:t>女</w:t>
            </w:r>
          </w:p>
        </w:tc>
        <w:tc>
          <w:tcPr>
            <w:tcW w:w="3870" w:type="dxa"/>
            <w:vAlign w:val="center"/>
          </w:tcPr>
          <w:p>
            <w:r>
              <w:t>2021-N0QMS-1287037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组员</w:t>
            </w:r>
          </w:p>
        </w:tc>
        <w:tc>
          <w:tcPr>
            <w:tcW w:w="711" w:type="dxa"/>
            <w:vAlign w:val="center"/>
          </w:tcPr>
          <w:p>
            <w:r>
              <w:t>男</w:t>
            </w:r>
          </w:p>
        </w:tc>
        <w:tc>
          <w:tcPr>
            <w:tcW w:w="3870" w:type="dxa"/>
            <w:vAlign w:val="center"/>
          </w:tcPr>
          <w:p>
            <w:r>
              <w:t>2020-N1QMS-2211720</w:t>
            </w:r>
          </w:p>
        </w:tc>
        <w:tc>
          <w:tcPr>
            <w:tcW w:w="2179" w:type="dxa"/>
            <w:vAlign w:val="center"/>
          </w:tcPr>
          <w:p>
            <w:r>
              <w:t>Q:35.15.00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验证了提供的整改措施证据，措施有效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400050</wp:posOffset>
                  </wp:positionH>
                  <wp:positionV relativeFrom="paragraph">
                    <wp:posOffset>17780</wp:posOffset>
                  </wp:positionV>
                  <wp:extent cx="425450" cy="327025"/>
                  <wp:effectExtent l="0" t="0" r="6350" b="317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25450" cy="32702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2022.5.14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pStyle w:val="3"/>
              <w:ind w:firstLine="1344" w:firstLineChars="64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科学管理，诚信服务，业主满意；</w:t>
            </w:r>
          </w:p>
          <w:p>
            <w:pPr>
              <w:pStyle w:val="3"/>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环保领先，节能降耗，预防污染；</w:t>
            </w:r>
          </w:p>
          <w:p>
            <w:pPr>
              <w:pStyle w:val="3"/>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以人为本，减少风险，保障健康；</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遵守法纪，全员参与，持续改进。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的要求组织相关部门进行识别；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服务</w:t>
                  </w:r>
                  <w:r>
                    <w:rPr>
                      <w:rFonts w:hint="eastAsia" w:ascii="宋体" w:hAnsi="宋体" w:cs="宋体"/>
                      <w:color w:val="000000"/>
                      <w:kern w:val="0"/>
                      <w:sz w:val="20"/>
                      <w:szCs w:val="20"/>
                    </w:rPr>
                    <w:t>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w:t>
                  </w:r>
                  <w:r>
                    <w:rPr>
                      <w:rFonts w:hint="eastAsia" w:ascii="宋体" w:hAnsi="宋体" w:cs="宋体"/>
                      <w:color w:val="000000"/>
                      <w:kern w:val="0"/>
                      <w:sz w:val="20"/>
                      <w:szCs w:val="20"/>
                      <w:lang w:val="en-US" w:eastAsia="zh-CN"/>
                    </w:rPr>
                    <w:t>物业服务过程</w:t>
                  </w:r>
                  <w:r>
                    <w:rPr>
                      <w:rFonts w:hint="eastAsia" w:ascii="宋体" w:hAnsi="宋体" w:cs="宋体"/>
                      <w:color w:val="000000"/>
                      <w:kern w:val="0"/>
                      <w:sz w:val="20"/>
                      <w:szCs w:val="20"/>
                    </w:rPr>
                    <w:t>；2、不良率指标监控，及时采用纠正预防措施；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根据物业服务流程操作指导书，进行检验</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2、设备建立易损件备品备件清单；</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甘肃市场及对物业服务品质提升需求增大带来机遇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保证生服务能力、提高业务人员水平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新宋体" w:hAnsi="新宋体" w:eastAsia="新宋体"/>
                      <w:color w:val="000000"/>
                    </w:rPr>
                    <w:t>业主满意度</w:t>
                  </w:r>
                  <w:r>
                    <w:rPr>
                      <w:rFonts w:hint="eastAsia" w:ascii="新宋体" w:hAnsi="新宋体" w:eastAsia="新宋体"/>
                      <w:color w:val="000000"/>
                      <w:lang w:val="en-US" w:eastAsia="zh-CN"/>
                    </w:rPr>
                    <w:t>4.5分以</w:t>
                  </w:r>
                  <w:r>
                    <w:rPr>
                      <w:rFonts w:hint="eastAsia" w:ascii="新宋体" w:hAnsi="新宋体" w:eastAsia="新宋体"/>
                      <w:color w:val="000000"/>
                    </w:rPr>
                    <w:t>上</w:t>
                  </w:r>
                </w:p>
              </w:tc>
              <w:tc>
                <w:tcPr>
                  <w:tcW w:w="3136" w:type="dxa"/>
                  <w:shd w:val="clear" w:color="auto" w:fill="auto"/>
                  <w:vAlign w:val="center"/>
                </w:tcPr>
                <w:p>
                  <w:pPr>
                    <w:shd w:val="clear" w:color="auto" w:fill="C7DAF1" w:themeFill="text2" w:themeFillTint="32"/>
                    <w:rPr>
                      <w:lang w:val="en-GB"/>
                    </w:rPr>
                  </w:pPr>
                  <w:r>
                    <w:rPr>
                      <w:rFonts w:hint="eastAsia" w:ascii="宋体" w:hAnsi="宋体"/>
                      <w:szCs w:val="21"/>
                    </w:rPr>
                    <w:t>业主满意度总得分</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市场管理部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widowControl/>
                    <w:suppressLineNumbers w:val="0"/>
                    <w:jc w:val="left"/>
                    <w:rPr>
                      <w:rFonts w:hint="default"/>
                      <w:b w:val="0"/>
                      <w:bCs w:val="0"/>
                      <w:sz w:val="21"/>
                      <w:szCs w:val="21"/>
                      <w:lang w:val="en-US"/>
                    </w:rPr>
                  </w:pPr>
                  <w:r>
                    <w:rPr>
                      <w:rFonts w:hint="eastAsia" w:ascii="宋体" w:hAnsi="宋体" w:eastAsia="宋体" w:cs="宋体"/>
                      <w:b w:val="0"/>
                      <w:bCs w:val="0"/>
                      <w:color w:val="000000"/>
                      <w:kern w:val="0"/>
                      <w:sz w:val="21"/>
                      <w:szCs w:val="21"/>
                      <w:lang w:val="en-US" w:eastAsia="zh-CN" w:bidi="ar"/>
                    </w:rPr>
                    <w:t>顾客投诉处理率达到95%以上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szCs w:val="21"/>
                    </w:rPr>
                    <w:t>及时处理次数/反馈总次数X 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default" w:eastAsia="宋体"/>
                <w:lang w:val="en-US" w:eastAsia="zh-CN"/>
              </w:rPr>
            </w:pPr>
            <w:r>
              <w:rPr>
                <w:rFonts w:hint="eastAsia"/>
                <w:highlight w:val="none"/>
              </w:rPr>
              <w:t>建筑面积平方米；</w:t>
            </w:r>
            <w:r>
              <w:rPr>
                <w:rFonts w:hint="eastAsia"/>
                <w:highlight w:val="none"/>
                <w:lang w:val="en-US" w:eastAsia="zh-CN"/>
              </w:rPr>
              <w:t>150平</w:t>
            </w:r>
            <w:r>
              <w:rPr>
                <w:rFonts w:hint="eastAsia"/>
                <w:lang w:val="en-US" w:eastAsia="zh-CN"/>
              </w:rPr>
              <w:t>方米</w:t>
            </w:r>
          </w:p>
          <w:p>
            <w:pPr>
              <w:shd w:val="clear" w:color="auto" w:fill="C7DAF1" w:themeFill="text2"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企业标准■其他</w:t>
            </w:r>
          </w:p>
          <w:p>
            <w:pPr>
              <w:shd w:val="clear" w:color="auto" w:fill="C7DAF1" w:themeFill="text2" w:themeFillTint="32"/>
            </w:pPr>
            <w:r>
              <w:rPr>
                <w:rFonts w:hint="eastAsia"/>
              </w:rPr>
              <w:t>外部知识: ■顾客提供资料</w:t>
            </w:r>
            <w:r>
              <w:rPr>
                <w:rFonts w:hint="eastAsia" w:ascii="Wingdings" w:hAnsi="Wingdings"/>
              </w:rPr>
              <w:t>¨</w:t>
            </w:r>
            <w:r>
              <w:rPr>
                <w:rFonts w:hint="eastAsia"/>
              </w:rPr>
              <w:t>产品标准■学术交流信息■专业会议信息■其他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rPr>
              <w:t>¨</w:t>
            </w:r>
            <w:r>
              <w:rPr>
                <w:rFonts w:hint="eastAsia"/>
              </w:rPr>
              <w:t>标语</w:t>
            </w:r>
            <w:r>
              <w:rPr>
                <w:rFonts w:hint="eastAsia" w:ascii="Wingdings" w:hAnsi="Wingdings"/>
              </w:rPr>
              <w:t>¨</w:t>
            </w:r>
            <w:r>
              <w:rPr>
                <w:rFonts w:hint="eastAsia"/>
              </w:rPr>
              <w:t>展板■其他</w:t>
            </w:r>
          </w:p>
          <w:p>
            <w:pPr>
              <w:shd w:val="clear" w:color="auto" w:fill="C7DAF1" w:themeFill="text2" w:themeFillTint="32"/>
            </w:pPr>
            <w:r>
              <w:rPr>
                <w:rFonts w:hint="eastAsia"/>
              </w:rPr>
              <w:t>外部沟通方式：■宣传材料</w:t>
            </w:r>
            <w:r>
              <w:rPr>
                <w:rFonts w:hint="eastAsia" w:ascii="Wingdings" w:hAnsi="Wingdings"/>
              </w:rPr>
              <w:t>¨</w:t>
            </w:r>
            <w:r>
              <w:rPr>
                <w:rFonts w:hint="eastAsia"/>
              </w:rPr>
              <w:t>网站■标语</w:t>
            </w:r>
            <w:r>
              <w:rPr>
                <w:rFonts w:hint="eastAsia" w:ascii="Wingdings" w:hAnsi="Wingdings"/>
              </w:rPr>
              <w:t>¨</w:t>
            </w:r>
            <w:r>
              <w:rPr>
                <w:rFonts w:hint="eastAsia"/>
              </w:rPr>
              <w:t>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rPr>
              <w:t>¨</w:t>
            </w:r>
            <w:r>
              <w:rPr>
                <w:rFonts w:hint="eastAsia"/>
              </w:rPr>
              <w:t>检测计划</w:t>
            </w:r>
            <w:r>
              <w:rPr>
                <w:rFonts w:hint="eastAsia" w:ascii="Wingdings" w:hAnsi="Wingdings"/>
              </w:rPr>
              <w:t>¨</w:t>
            </w:r>
            <w:r>
              <w:rPr>
                <w:rFonts w:hint="eastAsia"/>
              </w:rPr>
              <w:t>接收准则■外包控制要求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标签■标牌■区域</w:t>
            </w:r>
            <w:r>
              <w:rPr>
                <w:rFonts w:hint="eastAsia" w:ascii="Wingdings" w:hAnsi="Wingdings"/>
              </w:rPr>
              <w:t>¨</w:t>
            </w:r>
            <w:r>
              <w:rPr>
                <w:rFonts w:hint="eastAsia"/>
              </w:rPr>
              <w:t>容器编号■人员编号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配方■个人信息■其他</w:t>
            </w:r>
          </w:p>
          <w:p>
            <w:pPr>
              <w:shd w:val="clear" w:color="auto" w:fill="C7DAF1" w:themeFill="text2" w:themeFillTint="32"/>
              <w:jc w:val="left"/>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rPr>
              <w:t>¨</w:t>
            </w:r>
            <w:r>
              <w:rPr>
                <w:rFonts w:hint="eastAsia"/>
              </w:rPr>
              <w:t>顾客座谈■市场占有率分析■顾客赞扬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ascii="Times New Roman" w:hAnsi="Times New Roman" w:eastAsia="宋体" w:cs="Times New Roman"/>
                <w:b w:val="0"/>
                <w:bCs w:val="0"/>
                <w:kern w:val="2"/>
                <w:sz w:val="21"/>
                <w:szCs w:val="24"/>
                <w:lang w:val="en-US" w:eastAsia="zh-CN" w:bidi="ar-SA"/>
              </w:rPr>
              <w:t>最高管理者制定了文件化的管理体系方针：科学管理，诚信服务，业主满意；环保领先，节能降耗，预防污染；以人为本，减少风险，保障健康；遵守法纪，全员参与，持续改进。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组织环境及相关方管理过程</w:t>
                  </w:r>
                </w:p>
              </w:tc>
              <w:tc>
                <w:tcPr>
                  <w:tcW w:w="3965" w:type="dxa"/>
                </w:tcPr>
                <w:p>
                  <w:pPr>
                    <w:shd w:val="clear" w:color="auto" w:fill="EBF1DE" w:themeFill="accent3" w:themeFillTint="32"/>
                    <w:rPr>
                      <w:rFonts w:hint="eastAsia"/>
                    </w:rPr>
                  </w:pPr>
                  <w:r>
                    <w:rPr>
                      <w:rFonts w:hint="eastAsia"/>
                    </w:rPr>
                    <w:t>1定期进行监视和评审；</w:t>
                  </w:r>
                </w:p>
                <w:p>
                  <w:pPr>
                    <w:shd w:val="clear" w:color="auto" w:fill="EBF1DE" w:themeFill="accent3" w:themeFillTint="32"/>
                    <w:rPr>
                      <w:rFonts w:hint="eastAsia"/>
                    </w:rPr>
                  </w:pPr>
                  <w:r>
                    <w:rPr>
                      <w:rFonts w:hint="eastAsia"/>
                    </w:rPr>
                    <w:t>2采取对策</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工作环境管理</w:t>
                  </w:r>
                </w:p>
              </w:tc>
              <w:tc>
                <w:tcPr>
                  <w:tcW w:w="3965" w:type="dxa"/>
                </w:tcPr>
                <w:p>
                  <w:pPr>
                    <w:shd w:val="clear" w:color="auto" w:fill="EBF1DE" w:themeFill="accent3" w:themeFillTint="32"/>
                    <w:rPr>
                      <w:rFonts w:hint="eastAsia"/>
                    </w:rPr>
                  </w:pPr>
                  <w:r>
                    <w:rPr>
                      <w:rFonts w:hint="eastAsia"/>
                    </w:rPr>
                    <w:t>1建立维护保养计划，确保工作环境得到维护、保养和检查。</w:t>
                  </w:r>
                </w:p>
                <w:p>
                  <w:pPr>
                    <w:shd w:val="clear" w:color="auto" w:fill="EBF1DE" w:themeFill="accent3" w:themeFillTint="32"/>
                    <w:rPr>
                      <w:rFonts w:hint="eastAsia"/>
                    </w:rPr>
                  </w:pPr>
                  <w:r>
                    <w:rPr>
                      <w:rFonts w:hint="eastAsia"/>
                    </w:rPr>
                    <w:t>基础设施和运行环境控制程序</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固体废弃物分类收集、处置率100%</w:t>
                  </w:r>
                </w:p>
              </w:tc>
              <w:tc>
                <w:tcPr>
                  <w:tcW w:w="3136" w:type="dxa"/>
                  <w:shd w:val="clear" w:color="auto" w:fill="auto"/>
                  <w:vAlign w:val="center"/>
                </w:tcPr>
                <w:p>
                  <w:pPr>
                    <w:shd w:val="clear" w:color="auto" w:fill="EBF1DE" w:themeFill="accent3" w:themeFillTint="32"/>
                    <w:rPr>
                      <w:lang w:val="en-GB"/>
                    </w:rPr>
                  </w:pPr>
                  <w:r>
                    <w:rPr>
                      <w:rFonts w:hint="eastAsia" w:ascii="宋体" w:hAnsi="宋体"/>
                      <w:szCs w:val="21"/>
                    </w:rPr>
                    <w:t>处理次数/收集次数*100%</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w:t>
            </w:r>
            <w:r>
              <w:rPr>
                <w:rFonts w:hint="eastAsia" w:ascii="Wingdings" w:hAnsi="Wingdings"/>
              </w:rPr>
              <w:t>¨</w:t>
            </w:r>
            <w:r>
              <w:rPr>
                <w:rFonts w:hint="eastAsia"/>
              </w:rPr>
              <w:t>自然资源■基础设施</w:t>
            </w:r>
            <w:r>
              <w:rPr>
                <w:rFonts w:hint="eastAsia" w:ascii="Wingdings" w:hAnsi="Wingdings"/>
              </w:rPr>
              <w:t>¨</w:t>
            </w:r>
            <w:r>
              <w:rPr>
                <w:rFonts w:hint="eastAsia"/>
              </w:rPr>
              <w:t>技术■财务资源。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default" w:eastAsia="宋体"/>
                <w:lang w:val="en-US" w:eastAsia="zh-CN"/>
              </w:rPr>
            </w:pPr>
            <w:r>
              <w:rPr>
                <w:rFonts w:hint="eastAsia"/>
              </w:rPr>
              <w:t>建</w:t>
            </w:r>
            <w:r>
              <w:rPr>
                <w:rFonts w:hint="eastAsia"/>
                <w:highlight w:val="none"/>
              </w:rPr>
              <w:t>筑面积平方米；</w:t>
            </w:r>
            <w:r>
              <w:rPr>
                <w:rFonts w:hint="eastAsia"/>
                <w:highlight w:val="none"/>
                <w:lang w:val="en-US" w:eastAsia="zh-CN"/>
              </w:rPr>
              <w:t>150平方米</w:t>
            </w:r>
          </w:p>
          <w:p>
            <w:pPr>
              <w:shd w:val="clear" w:color="auto" w:fill="EBF1DE" w:themeFill="accent3"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内部沟通方式：■文件发放■会议■标语■展板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外部沟通方式：■宣传材料</w:t>
            </w:r>
            <w:r>
              <w:rPr>
                <w:rFonts w:hint="eastAsia" w:ascii="Wingdings" w:hAnsi="Wingdings"/>
              </w:rPr>
              <w:t>¨</w:t>
            </w:r>
            <w:r>
              <w:rPr>
                <w:rFonts w:hint="eastAsia"/>
              </w:rPr>
              <w:t>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外部提供包括：■原材料采购</w:t>
            </w:r>
            <w:r>
              <w:rPr>
                <w:rFonts w:hint="eastAsia" w:ascii="Wingdings" w:hAnsi="Wingdings"/>
              </w:rPr>
              <w:t>¨</w:t>
            </w:r>
            <w:r>
              <w:rPr>
                <w:rFonts w:hint="eastAsia"/>
              </w:rPr>
              <w:t>委托加工</w:t>
            </w:r>
            <w:r>
              <w:rPr>
                <w:rFonts w:hint="eastAsia" w:ascii="Wingdings" w:hAnsi="Wingdings"/>
              </w:rPr>
              <w:t>¨</w:t>
            </w:r>
            <w:r>
              <w:rPr>
                <w:rFonts w:hint="eastAsia"/>
              </w:rPr>
              <w:t>施工■设备维保</w:t>
            </w:r>
            <w:r>
              <w:rPr>
                <w:rFonts w:hint="eastAsia" w:ascii="Wingdings" w:hAnsi="Wingdings"/>
              </w:rPr>
              <w:t>¨</w:t>
            </w:r>
            <w:r>
              <w:rPr>
                <w:rFonts w:hint="eastAsia"/>
              </w:rPr>
              <w:t>运输■其他</w:t>
            </w:r>
          </w:p>
          <w:p>
            <w:pPr>
              <w:shd w:val="clear" w:color="auto" w:fill="EBF1DE" w:themeFill="accent3" w:themeFillTint="32"/>
              <w:jc w:val="left"/>
            </w:pPr>
            <w:r>
              <w:rPr>
                <w:rFonts w:hint="eastAsia"/>
              </w:rPr>
              <w:t>控制方式：■合同约定</w:t>
            </w:r>
            <w:r>
              <w:rPr>
                <w:rFonts w:hint="eastAsia" w:ascii="Wingdings" w:hAnsi="Wingdings"/>
              </w:rPr>
              <w:t>¨</w:t>
            </w:r>
            <w:r>
              <w:rPr>
                <w:rFonts w:hint="eastAsia"/>
              </w:rPr>
              <w:t>危害告知■现场检查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分类收集、处置</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应急预案</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每年进行演练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停水停电■其他</w:t>
            </w:r>
          </w:p>
          <w:p>
            <w:pPr>
              <w:shd w:val="clear" w:color="auto" w:fill="EBF1DE" w:themeFill="accent3" w:themeFillTint="32"/>
            </w:pPr>
            <w:r>
              <w:rPr>
                <w:rFonts w:hint="eastAsia"/>
              </w:rPr>
              <w:t>审核周期内发生过紧急情况：■未发生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b w:val="0"/>
                <w:bCs w:val="0"/>
                <w:kern w:val="2"/>
                <w:sz w:val="21"/>
                <w:szCs w:val="24"/>
                <w:lang w:val="en-US" w:eastAsia="zh-CN" w:bidi="ar-SA"/>
              </w:rPr>
            </w:pPr>
            <w:r>
              <w:rPr>
                <w:rFonts w:hint="eastAsia"/>
              </w:rPr>
              <w:t>最高管理者制定了文件化的职业健康安全管理体系方针：</w:t>
            </w:r>
            <w:r>
              <w:rPr>
                <w:rFonts w:hint="eastAsia" w:ascii="Times New Roman" w:hAnsi="Times New Roman" w:eastAsia="宋体" w:cs="Times New Roman"/>
                <w:b w:val="0"/>
                <w:bCs w:val="0"/>
                <w:kern w:val="2"/>
                <w:sz w:val="21"/>
                <w:szCs w:val="24"/>
                <w:lang w:val="en-US" w:eastAsia="zh-CN" w:bidi="ar-SA"/>
              </w:rPr>
              <w:t>科学管理，诚信服务，业主满意；环保领先，节能降耗，预防污染；以人为本，减少风险，保障健康；遵守法纪，全员参与，持续改进。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r>
              <w:rPr>
                <w:rFonts w:hint="eastAsia"/>
              </w:rPr>
              <w:t>安全的主管部门是——</w:t>
            </w:r>
            <w:r>
              <w:rPr>
                <w:rFonts w:hint="eastAsia"/>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6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张明科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eastAsia="宋体"/>
                      <w:lang w:val="en-US" w:eastAsia="zh-CN"/>
                    </w:rPr>
                    <w:t>组织环境及相关方管理过程</w:t>
                  </w:r>
                </w:p>
              </w:tc>
              <w:tc>
                <w:tcPr>
                  <w:tcW w:w="3965" w:type="dxa"/>
                </w:tcPr>
                <w:p>
                  <w:pPr>
                    <w:rPr>
                      <w:rFonts w:hint="eastAsia" w:eastAsia="宋体"/>
                      <w:lang w:val="en-US" w:eastAsia="zh-CN"/>
                    </w:rPr>
                  </w:pPr>
                  <w:r>
                    <w:rPr>
                      <w:rFonts w:hint="eastAsia" w:eastAsia="宋体"/>
                      <w:lang w:val="en-US" w:eastAsia="zh-CN"/>
                    </w:rPr>
                    <w:t>1定期进行监视和评审；</w:t>
                  </w:r>
                </w:p>
                <w:p>
                  <w:pPr>
                    <w:rPr>
                      <w:rFonts w:hint="eastAsia" w:eastAsia="宋体"/>
                      <w:lang w:val="en-US" w:eastAsia="zh-CN"/>
                    </w:rPr>
                  </w:pPr>
                  <w:r>
                    <w:rPr>
                      <w:rFonts w:hint="eastAsia" w:eastAsia="宋体"/>
                      <w:lang w:val="en-US" w:eastAsia="zh-CN"/>
                    </w:rPr>
                    <w:t>2采取对策</w:t>
                  </w:r>
                </w:p>
              </w:tc>
              <w:tc>
                <w:tcPr>
                  <w:tcW w:w="1717" w:type="dxa"/>
                </w:tcPr>
                <w:p>
                  <w:pPr>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无火灾事故发生、无重大（触电、中暑、交通伤害）安全事故发生</w:t>
                  </w:r>
                </w:p>
              </w:tc>
              <w:tc>
                <w:tcPr>
                  <w:tcW w:w="3136" w:type="dxa"/>
                  <w:shd w:val="clear" w:color="auto" w:fill="auto"/>
                  <w:vAlign w:val="center"/>
                </w:tcPr>
                <w:p>
                  <w:pPr>
                    <w:rPr>
                      <w:rFonts w:hint="eastAsia"/>
                      <w:lang w:val="en-GB"/>
                    </w:rPr>
                  </w:pPr>
                  <w:r>
                    <w:rPr>
                      <w:rFonts w:hint="eastAsia"/>
                    </w:rPr>
                    <w:t>查看有无火灾、安全事故报告</w:t>
                  </w:r>
                </w:p>
              </w:tc>
              <w:tc>
                <w:tcPr>
                  <w:tcW w:w="1350" w:type="dxa"/>
                  <w:shd w:val="clear" w:color="auto" w:fill="auto"/>
                  <w:vAlign w:val="center"/>
                </w:tcPr>
                <w:p>
                  <w:pPr>
                    <w:rPr>
                      <w:rFonts w:hint="eastAsia"/>
                      <w:lang w:val="en-US" w:eastAsia="zh-CN"/>
                    </w:rPr>
                  </w:pPr>
                  <w:r>
                    <w:rPr>
                      <w:rFonts w:hint="eastAsia"/>
                      <w:lang w:val="en-US" w:eastAsia="zh-CN"/>
                    </w:rPr>
                    <w:t>各部门</w:t>
                  </w:r>
                </w:p>
              </w:tc>
              <w:tc>
                <w:tcPr>
                  <w:tcW w:w="1774" w:type="dxa"/>
                  <w:shd w:val="clear" w:color="auto" w:fill="auto"/>
                  <w:vAlign w:val="center"/>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eastAsia="宋体"/>
                <w:highlight w:val="none"/>
                <w:lang w:val="en-US" w:eastAsia="zh-CN"/>
              </w:rPr>
            </w:pPr>
            <w:r>
              <w:rPr>
                <w:rFonts w:hint="eastAsia"/>
                <w:highlight w:val="none"/>
              </w:rPr>
              <w:t>建筑面积平方米；</w:t>
            </w:r>
            <w:r>
              <w:rPr>
                <w:rFonts w:hint="eastAsia"/>
                <w:highlight w:val="none"/>
                <w:lang w:val="en-US" w:eastAsia="zh-CN"/>
              </w:rPr>
              <w:t>150平方米</w:t>
            </w:r>
          </w:p>
          <w:p>
            <w:pPr>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辅导■其他</w:t>
            </w:r>
          </w:p>
          <w:p/>
          <w:p>
            <w:r>
              <w:rPr>
                <w:rFonts w:hint="eastAsia"/>
              </w:rPr>
              <w:t>对国家规定持证上岗的人员资质进行了有效的管理。</w:t>
            </w:r>
          </w:p>
          <w:p>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通过：■会议传达■标语■培训■看板</w:t>
            </w:r>
            <w:r>
              <w:rPr>
                <w:rFonts w:hint="eastAsia" w:ascii="Wingdings" w:hAnsi="Wingdings"/>
              </w:rPr>
              <w:t>¨</w:t>
            </w:r>
            <w:r>
              <w:rPr>
                <w:rFonts w:hint="eastAsia"/>
              </w:rPr>
              <w:t>局域网■其他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内部沟通方式：■文件发放■会议■标语■展板■其他</w:t>
            </w:r>
          </w:p>
          <w:p>
            <w:r>
              <w:rPr>
                <w:rFonts w:hint="eastAsia"/>
              </w:rPr>
              <w:t>外部沟通方式：■宣传材料</w:t>
            </w:r>
            <w:r>
              <w:rPr>
                <w:rFonts w:hint="eastAsia" w:ascii="Wingdings" w:hAnsi="Wingdings"/>
              </w:rPr>
              <w:t>¨</w:t>
            </w:r>
            <w:r>
              <w:rPr>
                <w:rFonts w:hint="eastAsia"/>
              </w:rPr>
              <w:t>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顾客的职业健康安全要求为：■应急预案</w:t>
            </w:r>
            <w:r>
              <w:rPr>
                <w:rFonts w:hint="eastAsia" w:ascii="Wingdings" w:hAnsi="Wingdings"/>
              </w:rPr>
              <w:t>¨</w:t>
            </w:r>
            <w:r>
              <w:rPr>
                <w:rFonts w:hint="eastAsia"/>
              </w:rPr>
              <w:t>MSDS■OHSMS认证证书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控制方式：■合同约定</w:t>
            </w:r>
            <w:r>
              <w:rPr>
                <w:rFonts w:hint="eastAsia" w:ascii="Wingdings" w:hAnsi="Wingdings"/>
              </w:rPr>
              <w:t>¨</w:t>
            </w:r>
            <w:r>
              <w:rPr>
                <w:rFonts w:hint="eastAsia"/>
              </w:rPr>
              <w:t>危害告知■现场检查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危害告知标牌■其他</w:t>
            </w:r>
          </w:p>
          <w:p>
            <w:pPr>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停水停电■其他</w:t>
            </w:r>
          </w:p>
          <w:p>
            <w:r>
              <w:rPr>
                <w:rFonts w:hint="eastAsia"/>
              </w:rPr>
              <w:t>审核周期内发生过紧急情况：■未发生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r>
              <w:rPr>
                <w:rFonts w:hint="eastAsia"/>
                <w:lang w:val="en-US" w:eastAsia="zh-CN"/>
              </w:rPr>
              <w:t>见附件</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46" w:hRule="atLeast"/>
        </w:trPr>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工伤事件■职业病体检</w:t>
            </w:r>
            <w:r>
              <w:rPr>
                <w:rFonts w:hint="eastAsia" w:ascii="Wingdings" w:hAnsi="Wingdings"/>
              </w:rPr>
              <w:t>¨</w:t>
            </w:r>
            <w:r>
              <w:rPr>
                <w:rFonts w:hint="eastAsia"/>
              </w:rPr>
              <w:t>危化品泄露■火灾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bookmarkStart w:id="31" w:name="_GoBack"/>
      <w:bookmarkEnd w:id="31"/>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14AF131A"/>
    <w:rsid w:val="17322609"/>
    <w:rsid w:val="207E74F2"/>
    <w:rsid w:val="251808F9"/>
    <w:rsid w:val="3A461688"/>
    <w:rsid w:val="59854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rPr>
      <w:b/>
      <w:bCs/>
      <w:sz w:val="30"/>
    </w:rPr>
  </w:style>
  <w:style w:type="paragraph" w:customStyle="1" w:styleId="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19999</Words>
  <Characters>20958</Characters>
  <Lines>150</Lines>
  <Paragraphs>42</Paragraphs>
  <TotalTime>1</TotalTime>
  <ScaleCrop>false</ScaleCrop>
  <LinksUpToDate>false</LinksUpToDate>
  <CharactersWithSpaces>21116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2022-05-25T06:36:22Z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