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0008-2020-E-2022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河北恒拓通信设备有限公司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河北恒拓通信设备有限公司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任丘市经济技术开发区</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任丘市麻家坞镇南马庄</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解晶</w:t>
            </w:r>
            <w:bookmarkEnd w:id="10"/>
          </w:p>
        </w:tc>
        <w:tc>
          <w:tcPr>
            <w:tcW w:w="1313" w:type="dxa"/>
            <w:vAlign w:val="center"/>
          </w:tcPr>
          <w:p>
            <w:r>
              <w:rPr>
                <w:rFonts w:hint="eastAsia"/>
              </w:rPr>
              <w:t>电话.</w:t>
            </w:r>
          </w:p>
        </w:tc>
        <w:tc>
          <w:tcPr>
            <w:tcW w:w="2180" w:type="dxa"/>
            <w:vAlign w:val="center"/>
          </w:tcPr>
          <w:p>
            <w:bookmarkStart w:id="11" w:name="联系人电话"/>
            <w:r>
              <w:t>18689004444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解晶</w:t>
            </w:r>
            <w:bookmarkEnd w:id="13"/>
          </w:p>
        </w:tc>
        <w:tc>
          <w:tcPr>
            <w:tcW w:w="1313" w:type="dxa"/>
            <w:vAlign w:val="center"/>
          </w:tcPr>
          <w:p>
            <w:r>
              <w:rPr>
                <w:rFonts w:hint="eastAsia"/>
              </w:rPr>
              <w:t>管理者代表</w:t>
            </w:r>
          </w:p>
        </w:tc>
        <w:tc>
          <w:tcPr>
            <w:tcW w:w="2180" w:type="dxa"/>
          </w:tcPr>
          <w:p>
            <w:bookmarkStart w:id="14" w:name="管理者代表"/>
            <w:r>
              <w:t>解晶</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color w:val="000000"/>
              </w:rPr>
              <w:t>顾客需求</w:t>
            </w:r>
            <w:r>
              <w:rPr>
                <w:rFonts w:hint="eastAsia"/>
                <w:color w:val="000000"/>
                <w:lang w:val="en-US" w:eastAsia="zh-CN"/>
              </w:rPr>
              <w:t>确定</w:t>
            </w:r>
            <w:r>
              <w:rPr>
                <w:rFonts w:hint="eastAsia"/>
                <w:color w:val="000000"/>
              </w:rPr>
              <w:t>-合同评审-签订合同-产品采购-发货</w:t>
            </w:r>
            <w:r>
              <w:rPr>
                <w:rFonts w:hint="eastAsia"/>
                <w:color w:val="000000"/>
                <w:lang w:val="en-US" w:eastAsia="zh-CN"/>
              </w:rPr>
              <w:t>至指定地点</w:t>
            </w:r>
            <w:r>
              <w:rPr>
                <w:rFonts w:hint="eastAsia"/>
                <w:color w:val="000000"/>
              </w:rPr>
              <w:t>-客户验收-售后服务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2022年05月15日 上午至2022年05月15日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3"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4"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任丘市麻家坞镇南马庄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4"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9"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rPr>
                <w:rFonts w:hint="eastAsia"/>
              </w:rPr>
            </w:pPr>
          </w:p>
          <w:p>
            <w:r>
              <w:rPr>
                <w:rFonts w:hint="eastAsia"/>
              </w:rPr>
              <w:t>审核范围</w:t>
            </w:r>
          </w:p>
        </w:tc>
        <w:tc>
          <w:tcPr>
            <w:tcW w:w="5625" w:type="dxa"/>
            <w:gridSpan w:val="3"/>
            <w:vMerge w:val="restart"/>
            <w:vAlign w:val="center"/>
          </w:tcPr>
          <w:p>
            <w:bookmarkStart w:id="29" w:name="审核范围"/>
          </w:p>
          <w:p>
            <w:r>
              <w:t>电力铁附件、电力金具、井圈、井盖、标志牌、塑料管材、钢绞线、线路辅助材料、螺栓、通信抱杆、变压器、绝缘子、钢管、配电箱的销售及其场所所涉及的环境管理活动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sz w:val="21"/>
                <w:szCs w:val="21"/>
              </w:rPr>
              <w:t>201</w:t>
            </w:r>
            <w:r>
              <w:rPr>
                <w:rFonts w:hint="eastAsia"/>
                <w:sz w:val="21"/>
                <w:szCs w:val="21"/>
                <w:lang w:val="en-US" w:eastAsia="zh-CN"/>
              </w:rPr>
              <w:t>9</w:t>
            </w:r>
            <w:r>
              <w:rPr>
                <w:sz w:val="21"/>
                <w:szCs w:val="21"/>
              </w:rPr>
              <w:t>年</w:t>
            </w:r>
            <w:r>
              <w:rPr>
                <w:rFonts w:hint="eastAsia"/>
                <w:sz w:val="21"/>
                <w:szCs w:val="21"/>
                <w:lang w:val="en-US" w:eastAsia="zh-CN"/>
              </w:rPr>
              <w:t>9</w:t>
            </w:r>
            <w:r>
              <w:rPr>
                <w:sz w:val="21"/>
                <w:szCs w:val="21"/>
              </w:rPr>
              <w:t>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31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86"/>
        <w:gridCol w:w="1190"/>
        <w:gridCol w:w="570"/>
        <w:gridCol w:w="3543"/>
        <w:gridCol w:w="1791"/>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tc>
        <w:tc>
          <w:tcPr>
            <w:tcW w:w="1586" w:type="dxa"/>
            <w:shd w:val="clear" w:color="auto" w:fill="F3F3F3"/>
            <w:tcMar>
              <w:left w:w="57" w:type="dxa"/>
              <w:right w:w="57" w:type="dxa"/>
            </w:tcMar>
          </w:tcPr>
          <w:p>
            <w:r>
              <w:rPr>
                <w:rFonts w:hint="eastAsia"/>
              </w:rPr>
              <w:t>组织名称及注册场所地址</w:t>
            </w:r>
          </w:p>
        </w:tc>
        <w:tc>
          <w:tcPr>
            <w:tcW w:w="1190" w:type="dxa"/>
            <w:shd w:val="clear" w:color="auto" w:fill="F3F3F3"/>
          </w:tcPr>
          <w:p>
            <w:r>
              <w:rPr>
                <w:rFonts w:hint="eastAsia"/>
              </w:rPr>
              <w:t>经营场所的地址</w:t>
            </w:r>
          </w:p>
        </w:tc>
        <w:tc>
          <w:tcPr>
            <w:tcW w:w="570" w:type="dxa"/>
            <w:shd w:val="clear" w:color="auto" w:fill="F3F3F3"/>
            <w:tcMar>
              <w:left w:w="57" w:type="dxa"/>
              <w:right w:w="57" w:type="dxa"/>
            </w:tcMar>
          </w:tcPr>
          <w:p>
            <w:r>
              <w:rPr>
                <w:rFonts w:hint="eastAsia"/>
              </w:rPr>
              <w:t>员工人数</w:t>
            </w:r>
          </w:p>
        </w:tc>
        <w:tc>
          <w:tcPr>
            <w:tcW w:w="3543" w:type="dxa"/>
            <w:shd w:val="clear" w:color="auto" w:fill="F3F3F3"/>
            <w:tcMar>
              <w:left w:w="57" w:type="dxa"/>
              <w:right w:w="57" w:type="dxa"/>
            </w:tcMar>
          </w:tcPr>
          <w:p>
            <w:r>
              <w:rPr>
                <w:rFonts w:hint="eastAsia"/>
              </w:rPr>
              <w:t>审核范围（产品和过程）</w:t>
            </w:r>
          </w:p>
        </w:tc>
        <w:tc>
          <w:tcPr>
            <w:tcW w:w="1791" w:type="dxa"/>
            <w:shd w:val="clear" w:color="auto" w:fill="F3F3F3"/>
            <w:tcMar>
              <w:left w:w="57" w:type="dxa"/>
              <w:right w:w="57" w:type="dxa"/>
            </w:tcMar>
          </w:tcPr>
          <w:p>
            <w:r>
              <w:rPr>
                <w:rFonts w:hint="eastAsia"/>
              </w:rPr>
              <w:t>标准</w:t>
            </w:r>
          </w:p>
        </w:tc>
        <w:tc>
          <w:tcPr>
            <w:tcW w:w="565"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1586" w:type="dxa"/>
            <w:vAlign w:val="top"/>
          </w:tcPr>
          <w:p>
            <w:pPr>
              <w:spacing w:before="40" w:after="40"/>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kern w:val="2"/>
                <w:sz w:val="21"/>
                <w:szCs w:val="21"/>
                <w:lang w:val="en-US" w:eastAsia="zh-CN" w:bidi="ar-SA"/>
              </w:rPr>
              <w:t>河北恒拓通信设备有限公司</w:t>
            </w:r>
          </w:p>
          <w:p>
            <w:pPr>
              <w:spacing w:before="40" w:after="40"/>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kern w:val="2"/>
                <w:sz w:val="21"/>
                <w:szCs w:val="21"/>
                <w:lang w:val="en-US" w:eastAsia="zh-CN" w:bidi="ar-SA"/>
              </w:rPr>
              <w:t>任丘市经济技术开发区</w:t>
            </w:r>
          </w:p>
        </w:tc>
        <w:tc>
          <w:tcPr>
            <w:tcW w:w="1190" w:type="dxa"/>
            <w:vAlign w:val="top"/>
          </w:tcPr>
          <w:p>
            <w:pPr>
              <w:spacing w:before="40" w:after="40"/>
              <w:rPr>
                <w:rFonts w:hint="eastAsia"/>
                <w:lang w:val="de-DE" w:eastAsia="zh-CN"/>
              </w:rPr>
            </w:pPr>
            <w:r>
              <w:rPr>
                <w:rFonts w:hint="default" w:ascii="Times New Roman" w:hAnsi="Times New Roman" w:eastAsia="黑体" w:cs="Times New Roman"/>
                <w:kern w:val="2"/>
                <w:sz w:val="21"/>
                <w:szCs w:val="21"/>
                <w:lang w:val="en-US" w:eastAsia="zh-CN" w:bidi="ar-SA"/>
              </w:rPr>
              <w:t>任丘市麻家坞镇南马庄</w:t>
            </w:r>
          </w:p>
        </w:tc>
        <w:tc>
          <w:tcPr>
            <w:tcW w:w="570" w:type="dxa"/>
            <w:vAlign w:val="center"/>
          </w:tcPr>
          <w:p>
            <w:pPr>
              <w:spacing w:before="40" w:after="40"/>
              <w:rPr>
                <w:rFonts w:hint="default"/>
                <w:lang w:val="en-US" w:eastAsia="ja-JP"/>
              </w:rPr>
            </w:pPr>
            <w:r>
              <w:rPr>
                <w:rFonts w:hint="eastAsia"/>
                <w:lang w:val="en-US" w:eastAsia="zh-CN"/>
              </w:rPr>
              <w:t>15</w:t>
            </w:r>
          </w:p>
        </w:tc>
        <w:tc>
          <w:tcPr>
            <w:tcW w:w="3543" w:type="dxa"/>
            <w:vAlign w:val="center"/>
          </w:tcPr>
          <w:p>
            <w:pPr>
              <w:spacing w:before="40" w:after="40"/>
              <w:rPr>
                <w:rFonts w:hint="eastAsia"/>
                <w:lang w:val="en-US" w:eastAsia="zh-CN"/>
              </w:rPr>
            </w:pPr>
            <w:r>
              <w:rPr>
                <w:sz w:val="20"/>
              </w:rPr>
              <w:t>电力铁附件、电力金具、井圈、井盖、标志牌、塑料管材、钢绞线、线路辅助材料、螺栓、通信抱杆、变压器、绝缘子、钢管、配电箱</w:t>
            </w:r>
            <w:r>
              <w:t>的销售</w:t>
            </w:r>
          </w:p>
        </w:tc>
        <w:tc>
          <w:tcPr>
            <w:tcW w:w="1791" w:type="dxa"/>
            <w:vAlign w:val="center"/>
          </w:tcPr>
          <w:p>
            <w:pPr>
              <w:keepNext w:val="0"/>
              <w:keepLines w:val="0"/>
              <w:pageBreakBefore w:val="0"/>
              <w:kinsoku/>
              <w:wordWrap/>
              <w:overflowPunct/>
              <w:topLinePunct w:val="0"/>
              <w:autoSpaceDE/>
              <w:autoSpaceDN/>
              <w:bidi w:val="0"/>
              <w:adjustRightInd/>
              <w:spacing w:line="240" w:lineRule="exact"/>
              <w:rPr>
                <w:rFonts w:hint="default" w:ascii="Times New Roman" w:hAnsi="Times New Roman" w:eastAsia="宋体" w:cs="Times New Roman"/>
                <w:kern w:val="2"/>
                <w:sz w:val="21"/>
                <w:szCs w:val="21"/>
                <w:lang w:val="en-US" w:eastAsia="zh-CN" w:bidi="ar-SA"/>
              </w:rPr>
            </w:pPr>
            <w:r>
              <w:rPr>
                <w:rFonts w:hint="eastAsia" w:ascii="Times New Roman" w:hAnsi="Times New Roman" w:eastAsia="Times New Roman" w:cs="Times New Roman"/>
                <w:kern w:val="2"/>
                <w:sz w:val="21"/>
                <w:szCs w:val="21"/>
                <w:lang w:val="en-GB" w:eastAsia="de-DE" w:bidi="ar-SA"/>
              </w:rPr>
              <w:t>GB/T</w:t>
            </w:r>
            <w:r>
              <w:rPr>
                <w:rFonts w:hint="eastAsia" w:ascii="Times New Roman" w:hAnsi="Times New Roman" w:cs="Times New Roman"/>
                <w:kern w:val="2"/>
                <w:sz w:val="21"/>
                <w:szCs w:val="21"/>
                <w:lang w:val="en-US" w:eastAsia="zh-CN" w:bidi="ar-SA"/>
              </w:rPr>
              <w:t>24</w:t>
            </w:r>
            <w:r>
              <w:rPr>
                <w:rFonts w:hint="eastAsia" w:ascii="Times New Roman" w:hAnsi="Times New Roman" w:eastAsia="Times New Roman" w:cs="Times New Roman"/>
                <w:kern w:val="2"/>
                <w:sz w:val="21"/>
                <w:szCs w:val="21"/>
                <w:lang w:val="en-GB" w:eastAsia="de-DE" w:bidi="ar-SA"/>
              </w:rPr>
              <w:t>001-20</w:t>
            </w:r>
            <w:r>
              <w:rPr>
                <w:rFonts w:hint="eastAsia" w:ascii="Times New Roman" w:hAnsi="Times New Roman" w:cs="Times New Roman"/>
                <w:kern w:val="2"/>
                <w:sz w:val="21"/>
                <w:szCs w:val="21"/>
                <w:lang w:val="en-US" w:eastAsia="zh-CN" w:bidi="ar-SA"/>
              </w:rPr>
              <w:t>16</w:t>
            </w:r>
          </w:p>
        </w:tc>
        <w:tc>
          <w:tcPr>
            <w:tcW w:w="565"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2020-N1EMS-3022240</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92710</wp:posOffset>
                  </wp:positionH>
                  <wp:positionV relativeFrom="paragraph">
                    <wp:posOffset>325120</wp:posOffset>
                  </wp:positionV>
                  <wp:extent cx="1032510" cy="49720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6"/>
                          <a:stretch>
                            <a:fillRect/>
                          </a:stretch>
                        </pic:blipFill>
                        <pic:spPr>
                          <a:xfrm>
                            <a:off x="0" y="0"/>
                            <a:ext cx="1032510" cy="497205"/>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2022年5月15日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lang w:eastAsia="zh-CN"/>
              </w:rPr>
            </w:pPr>
            <w:r>
              <w:rPr>
                <w:rFonts w:hint="eastAsia"/>
              </w:rPr>
              <w:t>科学管理，遵守法规，预防污染，持续改进</w:t>
            </w:r>
            <w:r>
              <w:rPr>
                <w:rFonts w:hint="eastAsia"/>
                <w:lang w:eastAsia="zh-CN"/>
              </w:rPr>
              <w:t>。</w:t>
            </w:r>
          </w:p>
          <w:p>
            <w:pPr>
              <w:shd w:val="clear" w:color="auto" w:fill="EBF1DE" w:themeFill="accent3" w:themeFillTint="32"/>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rPr>
                    <w:t>适用法律法规的识别、收集及宣传不够，部分员工守法意识淡薄</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rPr>
                    <w:t>加强识别、收集，定期更新，重要条款予以培训或纳入制度中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rPr>
                    <w:t>潜在的紧急情况  例如：火灾发生</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rPr>
                    <w:t>制定应急预案，定期培训防火常识，定期防火演练</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lang w:eastAsia="zh-CN"/>
              </w:rPr>
              <w:t>☑</w:t>
            </w:r>
            <w:r>
              <w:rPr>
                <w:rFonts w:hint="eastAsia"/>
              </w:rPr>
              <w:t>火灾</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21"/>
                      <w:szCs w:val="21"/>
                    </w:rPr>
                    <w:t>固体废物100%分类收集；</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配置固废分类装置，对员工进行培训等。</w:t>
                  </w:r>
                </w:p>
              </w:tc>
              <w:tc>
                <w:tcPr>
                  <w:tcW w:w="1350" w:type="dxa"/>
                  <w:shd w:val="clear" w:color="auto" w:fill="auto"/>
                  <w:vAlign w:val="center"/>
                </w:tcPr>
                <w:p>
                  <w:pPr>
                    <w:shd w:val="clear" w:color="auto" w:fill="EBF1DE" w:themeFill="accent3" w:themeFillTint="32"/>
                    <w:rPr>
                      <w:lang w:val="en-GB"/>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21"/>
                      <w:szCs w:val="21"/>
                    </w:rPr>
                    <w:t>杜绝火灾事故发生</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Times New Roman" w:hAnsi="宋体" w:cs="Times New Roman"/>
                      <w:bCs/>
                      <w:szCs w:val="22"/>
                    </w:rPr>
                    <w:t>按照《应急准备与响应预案》及《</w:t>
                  </w:r>
                  <w:r>
                    <w:rPr>
                      <w:rFonts w:hint="eastAsia" w:hAnsi="宋体"/>
                      <w:bCs/>
                    </w:rPr>
                    <w:t>管理制度》控制，配置禁止烟火标志和灭火器。</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300</w:t>
            </w:r>
            <w:r>
              <w:rPr>
                <w:rFonts w:hint="eastAsia"/>
              </w:rPr>
              <w:t>平方米；生产车间个；库房</w:t>
            </w:r>
            <w:r>
              <w:rPr>
                <w:rFonts w:hint="eastAsia"/>
                <w:lang w:val="en-US" w:eastAsia="zh-CN"/>
              </w:rPr>
              <w:t>1</w:t>
            </w:r>
            <w:r>
              <w:rPr>
                <w:rFonts w:hint="eastAsia"/>
              </w:rPr>
              <w:t>个；实验室个；</w:t>
            </w:r>
          </w:p>
          <w:p>
            <w:pPr>
              <w:shd w:val="clear" w:color="auto" w:fill="EBF1DE" w:themeFill="accent3" w:themeFillTint="32"/>
              <w:rPr>
                <w:u w:val="single"/>
              </w:rPr>
            </w:pPr>
            <w:r>
              <w:rPr>
                <w:rFonts w:hint="eastAsia"/>
              </w:rPr>
              <w:t>主要生产设备有：</w:t>
            </w:r>
            <w:r>
              <w:rPr>
                <w:rFonts w:hint="eastAsia"/>
                <w:sz w:val="21"/>
                <w:szCs w:val="21"/>
                <w:lang w:eastAsia="zh-CN"/>
              </w:rPr>
              <w:t>电脑、电话、一体机、</w:t>
            </w:r>
            <w:r>
              <w:rPr>
                <w:rFonts w:hint="eastAsia"/>
                <w:sz w:val="21"/>
                <w:szCs w:val="21"/>
                <w:lang w:val="en-US" w:eastAsia="zh-CN"/>
              </w:rPr>
              <w:t>办公桌椅、</w:t>
            </w:r>
            <w:r>
              <w:rPr>
                <w:rFonts w:hint="eastAsia"/>
                <w:sz w:val="21"/>
                <w:szCs w:val="21"/>
                <w:lang w:eastAsia="zh-CN"/>
              </w:rPr>
              <w:t>汽车</w:t>
            </w:r>
          </w:p>
          <w:p>
            <w:pPr>
              <w:shd w:val="clear" w:color="auto" w:fill="EBF1DE" w:themeFill="accent3" w:themeFillTint="32"/>
              <w:rPr>
                <w:rFonts w:hint="eastAsia" w:eastAsia="宋体"/>
                <w:u w:val="single"/>
                <w:lang w:val="en-US" w:eastAsia="zh-CN"/>
              </w:rPr>
            </w:pPr>
            <w:r>
              <w:rPr>
                <w:rFonts w:hint="eastAsia"/>
              </w:rPr>
              <w:t>主要环保设备有：</w:t>
            </w:r>
            <w:r>
              <w:rPr>
                <w:rFonts w:hint="eastAsia"/>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962"/>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962" w:type="dxa"/>
                </w:tcPr>
                <w:p>
                  <w:pPr>
                    <w:shd w:val="clear" w:color="auto" w:fill="EBF1DE" w:themeFill="accent3" w:themeFillTint="32"/>
                    <w:jc w:val="left"/>
                  </w:pPr>
                  <w:r>
                    <w:rPr>
                      <w:rFonts w:hint="eastAsia"/>
                    </w:rPr>
                    <w:t>控制措施</w:t>
                  </w:r>
                </w:p>
              </w:tc>
              <w:tc>
                <w:tcPr>
                  <w:tcW w:w="2968"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962"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296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962"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296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962"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296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962"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296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962"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296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962" w:type="dxa"/>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配置固废分类装置，对员工进行培训等。</w:t>
                  </w:r>
                </w:p>
              </w:tc>
              <w:tc>
                <w:tcPr>
                  <w:tcW w:w="2968"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962" w:type="dxa"/>
                  <w:vAlign w:val="center"/>
                </w:tcPr>
                <w:p>
                  <w:pPr>
                    <w:rPr>
                      <w:rFonts w:hint="eastAsia" w:ascii="Times New Roman" w:hAnsi="Times New Roman" w:eastAsia="宋体" w:cs="Times New Roman"/>
                      <w:kern w:val="2"/>
                      <w:sz w:val="21"/>
                      <w:szCs w:val="24"/>
                      <w:lang w:val="en-US" w:eastAsia="zh-CN" w:bidi="ar-SA"/>
                    </w:rPr>
                  </w:pPr>
                </w:p>
              </w:tc>
              <w:tc>
                <w:tcPr>
                  <w:tcW w:w="296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962" w:type="dxa"/>
                </w:tcPr>
                <w:p>
                  <w:pPr>
                    <w:shd w:val="clear" w:color="auto" w:fill="EBF1DE" w:themeFill="accent3" w:themeFillTint="32"/>
                    <w:jc w:val="left"/>
                  </w:pPr>
                  <w:r>
                    <w:rPr>
                      <w:rFonts w:hint="eastAsia" w:ascii="Times New Roman" w:hAnsi="宋体" w:cs="Times New Roman"/>
                      <w:bCs/>
                      <w:szCs w:val="22"/>
                    </w:rPr>
                    <w:t>按照《应急准备与响应预案》及《</w:t>
                  </w:r>
                  <w:r>
                    <w:rPr>
                      <w:rFonts w:hint="eastAsia" w:hAnsi="宋体"/>
                      <w:bCs/>
                    </w:rPr>
                    <w:t>管理制度》控制，配置禁止烟火标志和灭火器。</w:t>
                  </w:r>
                </w:p>
              </w:tc>
              <w:tc>
                <w:tcPr>
                  <w:tcW w:w="2968"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962"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2968"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14</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15-16</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29</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491E0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18624</Words>
  <Characters>19292</Characters>
  <Lines>150</Lines>
  <Paragraphs>42</Paragraphs>
  <TotalTime>3</TotalTime>
  <ScaleCrop>false</ScaleCrop>
  <LinksUpToDate>false</LinksUpToDate>
  <CharactersWithSpaces>19413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2022-05-19T07:34:59Z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