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22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76365" cy="9173845"/>
            <wp:effectExtent l="0" t="0" r="635" b="8255"/>
            <wp:docPr id="3" name="图片 3" descr="环境体系(正式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环境体系(正式)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917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2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294"/>
        <w:gridCol w:w="408"/>
        <w:gridCol w:w="272"/>
        <w:gridCol w:w="1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河北恒拓通信设备有限公司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任丘市经济技术开发区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解晶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18689004444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0008-2020-E-2022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：验证组织管理体系的符合性和持续有效性，以确定是否推荐保持认证注册资格。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6" w:name="审核范围"/>
            <w:r>
              <w:rPr>
                <w:sz w:val="20"/>
              </w:rPr>
              <w:t>电力铁附件、电力金具、井圈、井盖、标志牌、塑料管材、钢绞线、线路辅助材料、螺栓、通信抱杆、变压器、绝缘子、钢管、配电箱的销售及其场所所涉及的环境管理活动</w:t>
            </w:r>
            <w:bookmarkEnd w:id="16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29.12.00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2022年05月15日 上午至2022年05月15日 下午</w:t>
            </w:r>
            <w:bookmarkEnd w:id="19"/>
            <w:r>
              <w:rPr>
                <w:rFonts w:hint="eastAsia"/>
                <w:b/>
                <w:sz w:val="20"/>
              </w:rPr>
              <w:t>(共</w:t>
            </w:r>
            <w:bookmarkStart w:id="20" w:name="审核天数"/>
            <w:r>
              <w:rPr>
                <w:rFonts w:hint="eastAsia"/>
                <w:b/>
                <w:sz w:val="20"/>
              </w:rPr>
              <w:t>1.0</w:t>
            </w:r>
            <w:bookmarkEnd w:id="2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4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35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389890</wp:posOffset>
                  </wp:positionV>
                  <wp:extent cx="1032510" cy="497205"/>
                  <wp:effectExtent l="0" t="0" r="0" b="0"/>
                  <wp:wrapNone/>
                  <wp:docPr id="1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1" w:name="审核派遣人"/>
            <w:r>
              <w:rPr>
                <w:sz w:val="21"/>
                <w:szCs w:val="21"/>
              </w:rPr>
              <w:t>李凤娟</w:t>
            </w:r>
            <w:bookmarkEnd w:id="21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2022.5.11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2022.5.11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2022.5.11</w:t>
            </w: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525"/>
        <w:gridCol w:w="6454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2022.5.15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9：00-10：30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管理层：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资质、范围的确认；相关方投诉；上次不符合项的验证；获证后证书使用情况等；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；领导作用和承诺；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</w:t>
            </w:r>
            <w:r>
              <w:rPr>
                <w:rFonts w:hint="eastAsia"/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sz w:val="21"/>
                <w:szCs w:val="21"/>
              </w:rPr>
              <w:t>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及其实现的策划；</w:t>
            </w:r>
            <w:r>
              <w:rPr>
                <w:rFonts w:hint="eastAsia"/>
                <w:sz w:val="21"/>
                <w:szCs w:val="21"/>
              </w:rPr>
              <w:t>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/>
                <w:sz w:val="21"/>
                <w:szCs w:val="21"/>
                <w:lang w:eastAsia="zh-CN"/>
              </w:rPr>
              <w:t>、分析和评价总则；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/4.2/4.3/4.4/5.1/5.2/5.3/6.1/6.2/7.1/9.1.1/9.3/10.1/10.3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10：30-14：00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组织的岗位、职责权限；</w:t>
            </w:r>
            <w:r>
              <w:rPr>
                <w:rFonts w:hint="eastAsia"/>
                <w:sz w:val="21"/>
                <w:szCs w:val="21"/>
                <w:lang w:eastAsia="zh-CN"/>
              </w:rPr>
              <w:t>目标；环境因素；合规义务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能力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意识</w:t>
            </w:r>
            <w:r>
              <w:rPr>
                <w:rFonts w:hint="eastAsia"/>
                <w:sz w:val="21"/>
                <w:szCs w:val="21"/>
                <w:lang w:eastAsia="zh-CN"/>
              </w:rPr>
              <w:t>；沟通；信息交流；</w:t>
            </w:r>
            <w:r>
              <w:rPr>
                <w:rFonts w:hint="eastAsia"/>
                <w:sz w:val="21"/>
                <w:szCs w:val="21"/>
              </w:rPr>
              <w:t>文件化信息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；合规性评价；不符合和纠正措施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涉及条款：5.3/6.1.2/6.1.3/6.2/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8.1/8.2/9.1.2/9.2/10.2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14：00-16：30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  <w:lang w:eastAsia="zh-CN"/>
              </w:rPr>
              <w:t>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5.3/6.1.2/6.2/8.1/8.2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EDE7283"/>
    <w:rsid w:val="72E66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1022</Words>
  <Characters>1342</Characters>
  <Lines>37</Lines>
  <Paragraphs>10</Paragraphs>
  <TotalTime>2</TotalTime>
  <ScaleCrop>false</ScaleCrop>
  <LinksUpToDate>false</LinksUpToDate>
  <CharactersWithSpaces>1371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2022-05-19T01:54:16Z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