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0669-2019-QO-2022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河北恒拓通信设备有限公司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受审核方名称</w:t>
            </w:r>
          </w:p>
        </w:tc>
        <w:tc>
          <w:tcPr>
            <w:tcW w:w="8058" w:type="dxa"/>
            <w:gridSpan w:val="5"/>
            <w:vAlign w:val="top"/>
          </w:tcPr>
          <w:p>
            <w:pPr>
              <w:rPr>
                <w:rFonts w:ascii="Times New Roman" w:hAnsi="Times New Roman" w:eastAsia="宋体" w:cs="Times New Roman"/>
                <w:kern w:val="2"/>
                <w:sz w:val="21"/>
                <w:szCs w:val="24"/>
                <w:lang w:val="en-US" w:eastAsia="zh-CN" w:bidi="ar-SA"/>
              </w:rPr>
            </w:pPr>
            <w:r>
              <w:t>河北恒拓通信设备有限公司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注册地址</w:t>
            </w:r>
          </w:p>
        </w:tc>
        <w:tc>
          <w:tcPr>
            <w:tcW w:w="5045" w:type="dxa"/>
            <w:gridSpan w:val="3"/>
            <w:vAlign w:val="top"/>
          </w:tcPr>
          <w:p>
            <w:pPr>
              <w:rPr>
                <w:rFonts w:ascii="Times New Roman" w:hAnsi="Times New Roman" w:eastAsia="宋体" w:cs="Times New Roman"/>
                <w:kern w:val="2"/>
                <w:sz w:val="21"/>
                <w:szCs w:val="24"/>
                <w:lang w:val="en-US" w:eastAsia="zh-CN" w:bidi="ar-SA"/>
              </w:rPr>
            </w:pPr>
            <w:r>
              <w:t>任丘市经济技术开发区</w:t>
            </w:r>
          </w:p>
        </w:tc>
        <w:tc>
          <w:tcPr>
            <w:tcW w:w="1242" w:type="dxa"/>
            <w:vMerge w:val="restart"/>
            <w:vAlign w:val="center"/>
          </w:tcPr>
          <w:p>
            <w:pPr>
              <w:rPr>
                <w:rFonts w:ascii="Times New Roman" w:hAnsi="Times New Roman" w:eastAsia="宋体" w:cs="Times New Roman"/>
                <w:kern w:val="2"/>
                <w:sz w:val="21"/>
                <w:szCs w:val="24"/>
                <w:lang w:val="en-US" w:eastAsia="zh-CN" w:bidi="ar-SA"/>
              </w:rPr>
            </w:pPr>
            <w:r>
              <w:rPr>
                <w:rFonts w:hint="eastAsia"/>
              </w:rPr>
              <w:t>邮编</w:t>
            </w:r>
          </w:p>
          <w:p/>
        </w:tc>
        <w:tc>
          <w:tcPr>
            <w:tcW w:w="1771" w:type="dxa"/>
            <w:vAlign w:val="top"/>
          </w:tcPr>
          <w:p>
            <w:pPr>
              <w:rPr>
                <w:rFonts w:ascii="Times New Roman" w:hAnsi="Times New Roman" w:eastAsia="宋体" w:cs="Times New Roman"/>
                <w:kern w:val="2"/>
                <w:sz w:val="21"/>
                <w:szCs w:val="24"/>
                <w:lang w:val="en-US" w:eastAsia="zh-CN" w:bidi="ar-SA"/>
              </w:rPr>
            </w:pPr>
            <w: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经营地址</w:t>
            </w:r>
          </w:p>
        </w:tc>
        <w:tc>
          <w:tcPr>
            <w:tcW w:w="5045" w:type="dxa"/>
            <w:gridSpan w:val="3"/>
            <w:vAlign w:val="top"/>
          </w:tcPr>
          <w:p>
            <w:pPr>
              <w:rPr>
                <w:rFonts w:ascii="Times New Roman" w:hAnsi="Times New Roman" w:eastAsia="宋体" w:cs="Times New Roman"/>
                <w:kern w:val="2"/>
                <w:sz w:val="21"/>
                <w:szCs w:val="24"/>
                <w:lang w:val="en-US" w:eastAsia="zh-CN" w:bidi="ar-SA"/>
              </w:rPr>
            </w:pPr>
            <w:r>
              <w:t>任丘市麻家坞镇南马庄</w:t>
            </w:r>
          </w:p>
        </w:tc>
        <w:tc>
          <w:tcPr>
            <w:tcW w:w="1242" w:type="dxa"/>
            <w:vMerge w:val="continue"/>
            <w:vAlign w:val="center"/>
          </w:tcPr>
          <w:p/>
        </w:tc>
        <w:tc>
          <w:tcPr>
            <w:tcW w:w="1771" w:type="dxa"/>
            <w:vAlign w:val="top"/>
          </w:tcPr>
          <w:p>
            <w:pPr>
              <w:rPr>
                <w:rFonts w:ascii="Times New Roman" w:hAnsi="Times New Roman" w:eastAsia="宋体" w:cs="Times New Roman"/>
                <w:kern w:val="2"/>
                <w:sz w:val="21"/>
                <w:szCs w:val="24"/>
                <w:lang w:val="en-US" w:eastAsia="zh-CN" w:bidi="ar-SA"/>
              </w:rPr>
            </w:pPr>
            <w: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联系人</w:t>
            </w:r>
          </w:p>
        </w:tc>
        <w:tc>
          <w:tcPr>
            <w:tcW w:w="1552" w:type="dxa"/>
            <w:vAlign w:val="top"/>
          </w:tcPr>
          <w:p>
            <w:pPr>
              <w:rPr>
                <w:rFonts w:ascii="Times New Roman" w:hAnsi="Times New Roman" w:eastAsia="宋体" w:cs="Times New Roman"/>
                <w:kern w:val="2"/>
                <w:sz w:val="21"/>
                <w:szCs w:val="24"/>
                <w:lang w:val="en-US" w:eastAsia="zh-CN" w:bidi="ar-SA"/>
              </w:rPr>
            </w:pPr>
            <w:r>
              <w:t>解晶</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电话.</w:t>
            </w:r>
          </w:p>
        </w:tc>
        <w:tc>
          <w:tcPr>
            <w:tcW w:w="2180" w:type="dxa"/>
            <w:vAlign w:val="center"/>
          </w:tcPr>
          <w:p>
            <w:pPr>
              <w:rPr>
                <w:rFonts w:ascii="Times New Roman" w:hAnsi="Times New Roman" w:eastAsia="宋体" w:cs="Times New Roman"/>
                <w:kern w:val="2"/>
                <w:sz w:val="21"/>
                <w:szCs w:val="24"/>
                <w:lang w:val="en-US" w:eastAsia="zh-CN" w:bidi="ar-SA"/>
              </w:rPr>
            </w:pPr>
            <w:r>
              <w:t>18689004444</w:t>
            </w:r>
          </w:p>
        </w:tc>
        <w:tc>
          <w:tcPr>
            <w:tcW w:w="1242" w:type="dxa"/>
            <w:vAlign w:val="center"/>
          </w:tcPr>
          <w:p>
            <w:pPr>
              <w:rPr>
                <w:rFonts w:ascii="Times New Roman" w:hAnsi="Times New Roman" w:eastAsia="宋体" w:cs="Times New Roman"/>
                <w:kern w:val="2"/>
                <w:sz w:val="21"/>
                <w:szCs w:val="24"/>
                <w:lang w:val="en-US" w:eastAsia="zh-CN" w:bidi="ar-SA"/>
              </w:rPr>
            </w:pPr>
            <w:r>
              <w:rPr>
                <w:rFonts w:hint="eastAsia"/>
              </w:rPr>
              <w:t>传真</w:t>
            </w:r>
          </w:p>
        </w:tc>
        <w:tc>
          <w:tcPr>
            <w:tcW w:w="1771" w:type="dxa"/>
            <w:vAlign w:val="top"/>
          </w:tcPr>
          <w:p>
            <w:pPr>
              <w:rPr>
                <w:rFonts w:ascii="Times New Roman" w:hAnsi="Times New Roman" w:eastAsia="宋体" w:cs="Times New Roman"/>
                <w:kern w:val="2"/>
                <w:sz w:val="21"/>
                <w:szCs w:val="24"/>
                <w:lang w:val="en-US" w:eastAsia="zh-CN" w:bidi="ar-SA"/>
              </w:rPr>
            </w:pPr>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法人代表</w:t>
            </w:r>
          </w:p>
        </w:tc>
        <w:tc>
          <w:tcPr>
            <w:tcW w:w="1552" w:type="dxa"/>
            <w:vAlign w:val="top"/>
          </w:tcPr>
          <w:p>
            <w:pPr>
              <w:rPr>
                <w:rFonts w:ascii="Times New Roman" w:hAnsi="Times New Roman" w:eastAsia="宋体" w:cs="Times New Roman"/>
                <w:kern w:val="2"/>
                <w:sz w:val="21"/>
                <w:szCs w:val="24"/>
                <w:lang w:val="en-US" w:eastAsia="zh-CN" w:bidi="ar-SA"/>
              </w:rPr>
            </w:pPr>
            <w:r>
              <w:t>解晶</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管理者代表</w:t>
            </w:r>
          </w:p>
        </w:tc>
        <w:tc>
          <w:tcPr>
            <w:tcW w:w="2180" w:type="dxa"/>
            <w:vAlign w:val="top"/>
          </w:tcPr>
          <w:p>
            <w:pPr>
              <w:rPr>
                <w:rFonts w:ascii="Times New Roman" w:hAnsi="Times New Roman" w:eastAsia="宋体" w:cs="Times New Roman"/>
                <w:kern w:val="2"/>
                <w:sz w:val="21"/>
                <w:szCs w:val="24"/>
                <w:lang w:val="en-US" w:eastAsia="zh-CN" w:bidi="ar-SA"/>
              </w:rPr>
            </w:pPr>
            <w:r>
              <w:t>解晶</w:t>
            </w:r>
          </w:p>
        </w:tc>
        <w:tc>
          <w:tcPr>
            <w:tcW w:w="1242" w:type="dxa"/>
            <w:vAlign w:val="top"/>
          </w:tcPr>
          <w:p>
            <w:pPr>
              <w:rPr>
                <w:rFonts w:ascii="Times New Roman" w:hAnsi="Times New Roman" w:eastAsia="宋体" w:cs="Times New Roman"/>
                <w:kern w:val="2"/>
                <w:sz w:val="21"/>
                <w:szCs w:val="24"/>
                <w:lang w:val="en-US" w:eastAsia="zh-CN" w:bidi="ar-SA"/>
              </w:rPr>
            </w:pPr>
            <w:r>
              <w:rPr>
                <w:rFonts w:hint="eastAsia"/>
              </w:rPr>
              <w:t>邮箱</w:t>
            </w:r>
          </w:p>
        </w:tc>
        <w:tc>
          <w:tcPr>
            <w:tcW w:w="1771"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塑料管材</w:t>
            </w:r>
            <w:r>
              <w:rPr>
                <w:rFonts w:hint="eastAsia" w:ascii="Times New Roman" w:hAnsi="Times New Roman" w:eastAsia="宋体" w:cs="Times New Roman"/>
                <w:sz w:val="21"/>
                <w:szCs w:val="21"/>
                <w:lang w:val="en-US" w:eastAsia="zh-CN"/>
              </w:rPr>
              <w:t>：配料—搅拌—加热—挤出成型—牵引—切割；</w:t>
            </w:r>
            <w:r>
              <w:rPr>
                <w:rFonts w:hint="eastAsia" w:ascii="Times New Roman" w:hAnsi="Times New Roman" w:eastAsia="宋体" w:cs="Times New Roman"/>
                <w:sz w:val="21"/>
                <w:szCs w:val="21"/>
                <w:lang w:val="en-US" w:eastAsia="zh-CN"/>
              </w:rPr>
              <w:br w:type="textWrapping"/>
            </w:r>
            <w:r>
              <w:rPr>
                <w:rFonts w:hint="eastAsia" w:ascii="Times New Roman" w:hAnsi="Times New Roman" w:eastAsia="宋体" w:cs="Times New Roman"/>
                <w:sz w:val="21"/>
                <w:szCs w:val="21"/>
                <w:lang w:val="en-US" w:eastAsia="zh-CN"/>
              </w:rPr>
              <w:t>电力金具</w:t>
            </w:r>
            <w:r>
              <w:rPr>
                <w:rFonts w:hint="eastAsia" w:ascii="Times New Roman" w:hAnsi="Times New Roman" w:eastAsia="宋体" w:cs="Times New Roman"/>
                <w:sz w:val="21"/>
                <w:szCs w:val="21"/>
                <w:lang w:val="en-US" w:eastAsia="zh-CN"/>
              </w:rPr>
              <w:t>：下料—冲压—表面处理（外包）—装配；</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钢绞线</w:t>
            </w:r>
            <w:r>
              <w:rPr>
                <w:rFonts w:hint="eastAsia" w:ascii="Times New Roman" w:hAnsi="Times New Roman" w:eastAsia="宋体" w:cs="Times New Roman"/>
                <w:sz w:val="21"/>
                <w:szCs w:val="21"/>
                <w:lang w:val="en-US" w:eastAsia="zh-CN"/>
              </w:rPr>
              <w:t>：打盘—绞合—成型；</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电力铁附件</w:t>
            </w:r>
            <w:r>
              <w:rPr>
                <w:rFonts w:hint="eastAsia" w:ascii="Times New Roman" w:hAnsi="Times New Roman" w:eastAsia="宋体" w:cs="Times New Roman"/>
                <w:sz w:val="21"/>
                <w:szCs w:val="21"/>
                <w:lang w:val="en-US" w:eastAsia="zh-CN"/>
              </w:rPr>
              <w:t>：下料—冲压—（焊接）—表面处理（外包）—装配；</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标志牌</w:t>
            </w:r>
            <w:r>
              <w:rPr>
                <w:rFonts w:hint="eastAsia" w:ascii="Times New Roman" w:hAnsi="Times New Roman" w:eastAsia="宋体" w:cs="Times New Roman"/>
                <w:sz w:val="21"/>
                <w:szCs w:val="21"/>
                <w:lang w:val="en-US" w:eastAsia="zh-CN"/>
              </w:rPr>
              <w:t>：下料—冲压—贴膜</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井圈、井盖：称重备料—搅拌—骨架焊接—压制成型—出模—检验</w:t>
            </w:r>
          </w:p>
          <w:p>
            <w:r>
              <w:rPr>
                <w:rFonts w:hint="eastAsia" w:ascii="Times New Roman" w:hAnsi="Times New Roman" w:eastAsia="宋体" w:cs="Times New Roman"/>
                <w:sz w:val="21"/>
                <w:szCs w:val="21"/>
                <w:lang w:val="en-US" w:eastAsia="zh-CN"/>
              </w:rPr>
              <w:t>销售：业务洽谈—合同评审—合同签订—产品采购—产品验证—交付</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6" w:name="审核日期"/>
            <w:r>
              <w:rPr>
                <w:rFonts w:hint="eastAsia"/>
              </w:rPr>
              <w:t>2022年05月13日 上午至2022年05月14日 下午</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13" w:hRule="exact"/>
        </w:trPr>
        <w:tc>
          <w:tcPr>
            <w:tcW w:w="1632" w:type="dxa"/>
            <w:gridSpan w:val="2"/>
          </w:tcPr>
          <w:p>
            <w:r>
              <w:rPr>
                <w:rFonts w:hint="eastAsia"/>
              </w:rPr>
              <w:t>审核目的</w:t>
            </w:r>
          </w:p>
        </w:tc>
        <w:tc>
          <w:tcPr>
            <w:tcW w:w="7831" w:type="dxa"/>
            <w:gridSpan w:val="3"/>
            <w:tcMar>
              <w:left w:w="113" w:type="dxa"/>
            </w:tcMar>
          </w:tcPr>
          <w:p>
            <w:bookmarkStart w:id="7" w:name="初审"/>
            <w:r>
              <w:rPr>
                <w:rFonts w:hint="eastAsia"/>
              </w:rPr>
              <w:t>□</w:t>
            </w:r>
            <w:bookmarkEnd w:id="7"/>
            <w:r>
              <w:rPr>
                <w:rFonts w:hint="eastAsia"/>
              </w:rPr>
              <w:t>初审二阶段：评价组织管理体系建立、实施运行的符合性及有效性，以确定是否推荐认证注册。</w:t>
            </w:r>
          </w:p>
          <w:p>
            <w:bookmarkStart w:id="8" w:name="再认证勾选Add1"/>
            <w:bookmarkStart w:id="9" w:name="监督勾选"/>
            <w:r>
              <w:rPr>
                <w:rFonts w:hint="eastAsia"/>
              </w:rPr>
              <w:t>■</w:t>
            </w:r>
            <w:bookmarkEnd w:id="8"/>
            <w:bookmarkEnd w:id="9"/>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bookmarkStart w:id="10" w:name="扩项勾选"/>
            <w:r>
              <w:rPr>
                <w:rFonts w:hint="eastAsia"/>
              </w:rPr>
              <w:t>□</w:t>
            </w:r>
            <w:bookmarkEnd w:id="10"/>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1" w:name="Q勾选Add1"/>
            <w:r>
              <w:rPr>
                <w:rFonts w:hint="eastAsia"/>
                <w:lang w:val="de-DE"/>
              </w:rPr>
              <w:t>■</w:t>
            </w:r>
            <w:bookmarkEnd w:id="11"/>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2" w:name="QJ勾选Add1"/>
            <w:r>
              <w:rPr>
                <w:rFonts w:hint="eastAsia"/>
                <w:lang w:val="de-DE"/>
              </w:rPr>
              <w:t>□</w:t>
            </w:r>
            <w:bookmarkEnd w:id="12"/>
            <w:r>
              <w:rPr>
                <w:rFonts w:hint="eastAsia"/>
                <w:lang w:val="de-DE"/>
              </w:rPr>
              <w:t>GB/T 50430-2017</w:t>
            </w:r>
          </w:p>
          <w:p>
            <w:pPr>
              <w:rPr>
                <w:lang w:val="de-DE"/>
              </w:rPr>
            </w:pPr>
            <w:bookmarkStart w:id="13" w:name="E勾选Add1"/>
            <w:r>
              <w:rPr>
                <w:rFonts w:hint="eastAsia"/>
                <w:lang w:val="de-DE"/>
              </w:rPr>
              <w:t>□</w:t>
            </w:r>
            <w:bookmarkEnd w:id="13"/>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4" w:name="S勾选Add1"/>
            <w:r>
              <w:rPr>
                <w:rFonts w:hint="eastAsia"/>
                <w:lang w:val="de-DE"/>
              </w:rPr>
              <w:t>■</w:t>
            </w:r>
            <w:bookmarkEnd w:id="14"/>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5" w:name="二阶段勾选"/>
            <w:r>
              <w:rPr>
                <w:rFonts w:hint="eastAsia"/>
              </w:rPr>
              <w:t>□</w:t>
            </w:r>
            <w:bookmarkEnd w:id="15"/>
            <w:r>
              <w:rPr>
                <w:rFonts w:hint="eastAsia"/>
              </w:rPr>
              <w:t>初审二阶段</w:t>
            </w:r>
            <w:bookmarkStart w:id="16" w:name="再认证勾选"/>
            <w:r>
              <w:rPr>
                <w:rFonts w:hint="eastAsia"/>
              </w:rPr>
              <w:t>■</w:t>
            </w:r>
            <w:bookmarkEnd w:id="16"/>
            <w:r>
              <w:rPr>
                <w:rFonts w:hint="eastAsia"/>
              </w:rPr>
              <w:t>监督第</w:t>
            </w:r>
            <w:bookmarkStart w:id="17" w:name="监督次数"/>
            <w:bookmarkEnd w:id="17"/>
            <w:r>
              <w:rPr>
                <w:rFonts w:hint="eastAsia"/>
                <w:lang w:val="en-US" w:eastAsia="zh-CN"/>
              </w:rPr>
              <w:t>2</w:t>
            </w:r>
            <w:r>
              <w:rPr>
                <w:rFonts w:hint="eastAsia"/>
              </w:rPr>
              <w:t>次监督审核</w:t>
            </w:r>
            <w:bookmarkStart w:id="18" w:name="监督勾选Add1"/>
            <w:r>
              <w:rPr>
                <w:rFonts w:hint="eastAsia"/>
              </w:rPr>
              <w:t>□</w:t>
            </w:r>
            <w:bookmarkEnd w:id="18"/>
            <w:r>
              <w:rPr>
                <w:rFonts w:hint="eastAsia"/>
              </w:rPr>
              <w:t>再认证</w:t>
            </w:r>
            <w:bookmarkStart w:id="19" w:name="扩项勾选Add1"/>
            <w:r>
              <w:rPr>
                <w:rFonts w:hint="eastAsia"/>
              </w:rPr>
              <w:t>□</w:t>
            </w:r>
            <w:bookmarkEnd w:id="19"/>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1"/>
                <w:szCs w:val="21"/>
              </w:rPr>
              <w:t>任丘市麻家坞镇南马庄村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w:t>
            </w:r>
            <w:r>
              <w:rPr>
                <w:rFonts w:hint="eastAsia" w:ascii="宋体"/>
                <w:b/>
                <w:color w:val="0000FF"/>
                <w:szCs w:val="21"/>
                <w:lang w:eastAsia="zh-CN"/>
              </w:rPr>
              <w:t>□</w:t>
            </w:r>
            <w:r>
              <w:rPr>
                <w:rFonts w:hint="eastAsia" w:ascii="宋体"/>
                <w:b/>
                <w:color w:val="0000FF"/>
                <w:szCs w:val="21"/>
              </w:rPr>
              <w:t>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sz w:val="20"/>
              </w:rPr>
            </w:pPr>
            <w:bookmarkStart w:id="20" w:name="审核范围"/>
            <w:r>
              <w:rPr>
                <w:sz w:val="20"/>
              </w:rPr>
              <w:t>Q：电力铁附件、电力金具、井圈、井盖、标志牌、塑料管材、钢绞线的生产及线路辅助材料、螺栓、通信抱杆、变压器、绝缘子、钢管、配电箱的销售</w:t>
            </w:r>
          </w:p>
          <w:p>
            <w:r>
              <w:rPr>
                <w:sz w:val="20"/>
              </w:rPr>
              <w:t>O：电力铁附件、电力金具、井圈、井盖、标志牌、塑料管材、钢绞线的生产及线路辅助材料、螺栓、通信抱杆、变压器、绝缘子、钢管、配电箱的销售</w:t>
            </w:r>
            <w:bookmarkEnd w:id="20"/>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623" w:type="dxa"/>
            <w:vMerge w:val="continue"/>
            <w:vAlign w:val="center"/>
          </w:tcPr>
          <w:p/>
        </w:tc>
        <w:tc>
          <w:tcPr>
            <w:tcW w:w="5625" w:type="dxa"/>
            <w:gridSpan w:val="3"/>
            <w:vMerge w:val="continue"/>
            <w:vAlign w:val="center"/>
          </w:tcPr>
          <w:p/>
        </w:tc>
        <w:tc>
          <w:tcPr>
            <w:tcW w:w="3215" w:type="dxa"/>
            <w:vAlign w:val="center"/>
          </w:tcPr>
          <w:p>
            <w:pPr>
              <w:jc w:val="left"/>
              <w:rPr>
                <w:sz w:val="20"/>
              </w:rPr>
            </w:pPr>
            <w:bookmarkStart w:id="21" w:name="专业代码"/>
            <w:r>
              <w:rPr>
                <w:sz w:val="20"/>
              </w:rPr>
              <w:t>Q14.02.01;17.11.03;17.12.03;17.12.05;29.12.00</w:t>
            </w:r>
          </w:p>
          <w:p>
            <w:r>
              <w:rPr>
                <w:sz w:val="20"/>
              </w:rPr>
              <w:t>O14.02.01;17.11.03;17.12.03;17.12.05;29.12.00</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12</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1</w:t>
            </w:r>
            <w:r>
              <w:rPr>
                <w:rFonts w:hint="eastAsia"/>
              </w:rPr>
              <w:t>月</w:t>
            </w:r>
            <w:r>
              <w:rPr>
                <w:rFonts w:hint="eastAsia"/>
                <w:lang w:val="en-US" w:eastAsia="zh-CN"/>
              </w:rPr>
              <w:t>2</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617"/>
        <w:gridCol w:w="1136"/>
        <w:gridCol w:w="727"/>
        <w:gridCol w:w="3273"/>
        <w:gridCol w:w="182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0"/>
              <w:spacing w:before="0" w:after="0"/>
              <w:rPr>
                <w:rFonts w:eastAsia="黑体" w:cs="Arial"/>
                <w:bCs/>
                <w:sz w:val="21"/>
                <w:szCs w:val="21"/>
                <w:lang w:val="en-US" w:eastAsia="zh-CN"/>
              </w:rPr>
            </w:pPr>
            <w:r>
              <w:rPr>
                <w:rFonts w:eastAsia="黑体" w:cs="Arial"/>
                <w:sz w:val="21"/>
                <w:szCs w:val="21"/>
                <w:lang w:eastAsia="zh-CN"/>
              </w:rPr>
              <w:t>场所编号</w:t>
            </w:r>
          </w:p>
        </w:tc>
        <w:tc>
          <w:tcPr>
            <w:tcW w:w="1617"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136"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经营场所的地址</w:t>
            </w:r>
          </w:p>
        </w:tc>
        <w:tc>
          <w:tcPr>
            <w:tcW w:w="727"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员工人数</w:t>
            </w:r>
          </w:p>
        </w:tc>
        <w:tc>
          <w:tcPr>
            <w:tcW w:w="3273" w:type="dxa"/>
            <w:shd w:val="clear" w:color="auto" w:fill="F3F3F3"/>
            <w:tcMar>
              <w:left w:w="57" w:type="dxa"/>
              <w:right w:w="57" w:type="dxa"/>
            </w:tcMar>
          </w:tcPr>
          <w:p>
            <w:pPr>
              <w:pStyle w:val="20"/>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p>
        </w:tc>
        <w:tc>
          <w:tcPr>
            <w:tcW w:w="1824"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617" w:type="dxa"/>
          </w:tcPr>
          <w:p>
            <w:pPr>
              <w:spacing w:before="40" w:after="40"/>
              <w:rPr>
                <w:rFonts w:eastAsia="黑体"/>
                <w:szCs w:val="21"/>
                <w:lang w:val="de-DE" w:eastAsia="ja-JP"/>
              </w:rPr>
            </w:pPr>
            <w:r>
              <w:rPr>
                <w:rFonts w:hint="eastAsia" w:eastAsia="黑体"/>
                <w:szCs w:val="21"/>
                <w:lang w:val="de-DE" w:eastAsia="ja-JP"/>
              </w:rPr>
              <w:t>河北恒拓通信设备有限公司</w:t>
            </w:r>
            <w:r>
              <w:rPr>
                <w:rFonts w:hint="eastAsia" w:eastAsia="黑体"/>
                <w:szCs w:val="21"/>
                <w:lang w:val="en-US" w:eastAsia="zh-CN"/>
              </w:rPr>
              <w:t>/</w:t>
            </w:r>
            <w:r>
              <w:rPr>
                <w:rFonts w:hint="eastAsia" w:eastAsia="黑体"/>
                <w:szCs w:val="21"/>
                <w:lang w:val="de-DE" w:eastAsia="ja-JP"/>
              </w:rPr>
              <w:t>任丘市经济技术开发区</w:t>
            </w:r>
          </w:p>
        </w:tc>
        <w:tc>
          <w:tcPr>
            <w:tcW w:w="1136" w:type="dxa"/>
          </w:tcPr>
          <w:p>
            <w:pPr>
              <w:spacing w:before="40" w:after="40"/>
              <w:rPr>
                <w:rFonts w:eastAsia="黑体"/>
                <w:szCs w:val="21"/>
                <w:lang w:val="de-DE" w:eastAsia="ja-JP"/>
              </w:rPr>
            </w:pPr>
            <w:r>
              <w:rPr>
                <w:rFonts w:hint="eastAsia" w:eastAsia="黑体"/>
                <w:szCs w:val="21"/>
                <w:lang w:val="de-DE" w:eastAsia="ja-JP"/>
              </w:rPr>
              <w:t>任丘市麻家坞镇南马庄</w:t>
            </w:r>
          </w:p>
        </w:tc>
        <w:tc>
          <w:tcPr>
            <w:tcW w:w="727"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3273" w:type="dxa"/>
            <w:vAlign w:val="center"/>
          </w:tcPr>
          <w:p>
            <w:pPr>
              <w:pStyle w:val="21"/>
              <w:rPr>
                <w:rFonts w:hint="eastAsia" w:eastAsia="黑体" w:cs="Arial"/>
                <w:sz w:val="21"/>
                <w:szCs w:val="21"/>
                <w:lang w:val="en-US" w:eastAsia="zh-CN"/>
              </w:rPr>
            </w:pPr>
            <w:r>
              <w:rPr>
                <w:sz w:val="20"/>
              </w:rPr>
              <w:t>电力铁附件、电力金具、井圈、井盖、标志牌、塑料管材、钢绞线的生产及线路辅助材料、螺栓、通信抱杆、变压器、绝缘子、钢管、配电箱的销售</w:t>
            </w:r>
          </w:p>
        </w:tc>
        <w:tc>
          <w:tcPr>
            <w:tcW w:w="1824"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eastAsia="黑体"/>
                <w:szCs w:val="21"/>
                <w:lang w:eastAsia="ja-JP"/>
              </w:rPr>
            </w:pPr>
            <w:r>
              <w:rPr>
                <w:rFonts w:hint="eastAsia" w:ascii="宋体" w:hAnsi="宋体"/>
                <w:b/>
                <w:color w:val="000000"/>
                <w:szCs w:val="21"/>
                <w:lang w:val="de-DE"/>
              </w:rPr>
              <w:t>GB/T45001</w:t>
            </w:r>
            <w:r>
              <w:rPr>
                <w:rFonts w:hint="eastAsia" w:ascii="宋体" w:hAnsi="宋体"/>
                <w:b/>
                <w:color w:val="000000"/>
                <w:szCs w:val="21"/>
                <w:lang w:val="en-US" w:eastAsia="zh-CN"/>
              </w:rPr>
              <w:t>-2020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521"/>
        <w:gridCol w:w="3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2521" w:type="dxa"/>
            <w:vAlign w:val="center"/>
          </w:tcPr>
          <w:p>
            <w:r>
              <w:rPr>
                <w:rFonts w:hint="eastAsia"/>
              </w:rPr>
              <w:t>审核员注册证书号</w:t>
            </w:r>
          </w:p>
        </w:tc>
        <w:tc>
          <w:tcPr>
            <w:tcW w:w="3528"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吉洁</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2521" w:type="dxa"/>
            <w:vAlign w:val="center"/>
          </w:tcPr>
          <w:p>
            <w:r>
              <w:t>2019-N1QMS-3022240</w:t>
            </w:r>
          </w:p>
          <w:p>
            <w:pPr>
              <w:rPr>
                <w:rFonts w:ascii="Times New Roman" w:hAnsi="Times New Roman" w:eastAsia="宋体" w:cs="Times New Roman"/>
                <w:kern w:val="2"/>
                <w:sz w:val="21"/>
                <w:szCs w:val="24"/>
                <w:lang w:val="en-US" w:eastAsia="zh-CN" w:bidi="ar-SA"/>
              </w:rPr>
            </w:pPr>
            <w:r>
              <w:t>2020-N1OHSMS-3022240</w:t>
            </w:r>
          </w:p>
        </w:tc>
        <w:tc>
          <w:tcPr>
            <w:tcW w:w="3528" w:type="dxa"/>
            <w:vAlign w:val="center"/>
          </w:tcPr>
          <w:p>
            <w:r>
              <w:t>Q:14.02.01,17.11.03,17.12.03,17.12.05,29.12.00</w:t>
            </w:r>
          </w:p>
          <w:p>
            <w:pPr>
              <w:rPr>
                <w:rFonts w:ascii="Times New Roman" w:hAnsi="Times New Roman" w:eastAsia="宋体" w:cs="Times New Roman"/>
                <w:kern w:val="2"/>
                <w:sz w:val="21"/>
                <w:szCs w:val="24"/>
                <w:lang w:val="en-US" w:eastAsia="zh-CN" w:bidi="ar-SA"/>
              </w:rPr>
            </w:pPr>
            <w:r>
              <w:t>O:14.02.01,17.11.03,17.12.03,17.12.05,29.12.00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2521" w:type="dxa"/>
            <w:vAlign w:val="center"/>
          </w:tcPr>
          <w:p>
            <w:r>
              <w:rPr>
                <w:rFonts w:hint="eastAsia"/>
              </w:rPr>
              <w:t>工作单位</w:t>
            </w:r>
          </w:p>
        </w:tc>
        <w:tc>
          <w:tcPr>
            <w:tcW w:w="3528"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2521" w:type="dxa"/>
            <w:vAlign w:val="center"/>
          </w:tcPr>
          <w:p/>
        </w:tc>
        <w:tc>
          <w:tcPr>
            <w:tcW w:w="3528"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eastAsia" w:eastAsia="宋体"/>
                <w:lang w:val="en-US" w:eastAsia="zh-CN"/>
              </w:rPr>
            </w:pPr>
            <w:r>
              <w:rPr>
                <w:rFonts w:hint="eastAsia"/>
                <w:lang w:val="en-US" w:eastAsia="zh-CN"/>
              </w:rPr>
              <w:t>无</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上次审核未开具不符合项。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shd w:val="clear" w:color="auto" w:fill="auto"/>
          </w:tcPr>
          <w:p>
            <w:bookmarkStart w:id="22" w:name="Q勾选Add2"/>
            <w:r>
              <w:rPr>
                <w:rFonts w:hint="eastAsia"/>
              </w:rPr>
              <w:t>■</w:t>
            </w:r>
            <w:bookmarkEnd w:id="2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23" w:name="E勾选Add2"/>
            <w:r>
              <w:rPr>
                <w:rFonts w:hint="eastAsia"/>
              </w:rPr>
              <w:t>□</w:t>
            </w:r>
            <w:bookmarkEnd w:id="2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24" w:name="S勾选Add2"/>
            <w:r>
              <w:rPr>
                <w:rFonts w:hint="eastAsia"/>
              </w:rPr>
              <w:t>■</w:t>
            </w:r>
            <w:bookmarkEnd w:id="2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shd w:val="clear" w:color="auto" w:fill="auto"/>
          </w:tcPr>
          <w:p>
            <w:r>
              <w:rPr>
                <w:rFonts w:hint="eastAsia"/>
                <w:lang w:eastAsia="zh-CN"/>
              </w:rPr>
              <w:t>□</w:t>
            </w:r>
            <w:r>
              <w:rPr>
                <w:rFonts w:hint="eastAsia"/>
              </w:rPr>
              <w:t>推荐认证注册(□初审</w:t>
            </w:r>
            <w:r>
              <w:rPr>
                <w:rFonts w:hint="eastAsia"/>
                <w:lang w:eastAsia="zh-CN"/>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2"/>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121285</wp:posOffset>
                  </wp:positionH>
                  <wp:positionV relativeFrom="paragraph">
                    <wp:posOffset>354330</wp:posOffset>
                  </wp:positionV>
                  <wp:extent cx="933450" cy="44958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33450" cy="449580"/>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2022年5月14日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eastAsia="微软雅黑"/>
          <w:sz w:val="20"/>
          <w:szCs w:val="20"/>
        </w:rPr>
      </w:pPr>
      <w:r>
        <w:rPr>
          <w:rFonts w:hint="eastAsia"/>
        </w:rPr>
        <w:t xml:space="preserve">5. 对子证书/证书附件要求的组织，除在末次会议上确定注册范围外，还须附上子证书/证书附件的文字表达。(可另附页)  </w:t>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w:t>
            </w:r>
            <w:r>
              <w:rPr>
                <w:rFonts w:hint="eastAsia"/>
                <w:lang w:eastAsia="zh-CN"/>
              </w:rPr>
              <w:t>☑</w:t>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质量为本、规范生产、安全第一、保障健康、遵纪守法、持续改进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rPr>
                <w:rFonts w:hint="eastAsia" w:eastAsia="宋体"/>
                <w:b/>
                <w:bCs/>
                <w:lang w:val="en-US" w:eastAsia="zh-CN"/>
              </w:rPr>
            </w:pPr>
            <w:r>
              <w:rPr>
                <w:rFonts w:hint="eastAsia"/>
              </w:rPr>
              <w:t>QMS的主管部门是——</w:t>
            </w:r>
            <w:r>
              <w:rPr>
                <w:rFonts w:hint="eastAsia"/>
                <w:lang w:val="en-US" w:eastAsia="zh-CN"/>
              </w:rPr>
              <w:t>生产技术部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9"/>
              <w:gridCol w:w="33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shd w:val="clear" w:color="auto" w:fill="C7DAF1" w:themeFill="text2" w:themeFillTint="32"/>
                  </w:pPr>
                  <w:r>
                    <w:rPr>
                      <w:rFonts w:hint="eastAsia"/>
                    </w:rPr>
                    <w:t>主要的风险或机遇描述</w:t>
                  </w:r>
                </w:p>
              </w:tc>
              <w:tc>
                <w:tcPr>
                  <w:tcW w:w="3306"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整体经济环境不佳；资源：公司现有环境、人员、设备管理不善；市场：客户行业具有固定性消费，新客户开发困难等</w:t>
                  </w:r>
                </w:p>
              </w:tc>
              <w:tc>
                <w:tcPr>
                  <w:tcW w:w="3306"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整体经济环境不佳；资源：公司现有环境、人员、设备管理不善；市场：客户行业具有固定性消费，新客户开发困难</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原公司人员配置和岗位设置不合理产品质量不达标；全员参与质量管理制度落实等</w:t>
                  </w:r>
                </w:p>
              </w:tc>
              <w:tc>
                <w:tcPr>
                  <w:tcW w:w="3306"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对人员和部门进行了调整；公司制定年度培训计划，按照标准要求全员参加质量管理，所有人员上岗前均应进行培训</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设备产能不足。设备能力不足。设备经常损坏，影响服务进度。</w:t>
                  </w:r>
                </w:p>
              </w:tc>
              <w:tc>
                <w:tcPr>
                  <w:tcW w:w="3306"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设备的保养及备件储备。建立完整的设备故障应急预案，以确保服务过程的持续流畅</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7"/>
              <w:gridCol w:w="291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910"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shd w:val="clear" w:color="auto" w:fill="auto"/>
                  <w:vAlign w:val="top"/>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产品一次生产检验合格率不低于98%；</w:t>
                  </w:r>
                </w:p>
              </w:tc>
              <w:tc>
                <w:tcPr>
                  <w:tcW w:w="2910" w:type="dxa"/>
                  <w:shd w:val="clear" w:color="auto" w:fill="auto"/>
                  <w:vAlign w:val="top"/>
                </w:tcPr>
                <w:p>
                  <w:pPr>
                    <w:rPr>
                      <w:rFonts w:hint="eastAsia"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US" w:eastAsia="zh-CN"/>
                    </w:rPr>
                    <w:t>一次合格数量/总生产产品数量*100%</w:t>
                  </w:r>
                </w:p>
              </w:tc>
              <w:tc>
                <w:tcPr>
                  <w:tcW w:w="1350" w:type="dxa"/>
                  <w:shd w:val="clear" w:color="auto" w:fill="auto"/>
                  <w:vAlign w:val="center"/>
                </w:tcPr>
                <w:p>
                  <w:pP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生产技术部</w:t>
                  </w:r>
                </w:p>
              </w:tc>
              <w:tc>
                <w:tcPr>
                  <w:tcW w:w="1774" w:type="dxa"/>
                  <w:shd w:val="clear" w:color="auto" w:fill="auto"/>
                  <w:vAlign w:val="top"/>
                </w:tcPr>
                <w:p>
                  <w:pPr>
                    <w:rPr>
                      <w:rFonts w:hint="eastAsia"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shd w:val="clear" w:color="auto" w:fill="auto"/>
                  <w:vAlign w:val="top"/>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顾客满意度≥90%</w:t>
                  </w:r>
                </w:p>
              </w:tc>
              <w:tc>
                <w:tcPr>
                  <w:tcW w:w="2910" w:type="dxa"/>
                  <w:shd w:val="clear" w:color="auto" w:fill="auto"/>
                  <w:vAlign w:val="top"/>
                </w:tcPr>
                <w:p>
                  <w:pPr>
                    <w:rPr>
                      <w:rFonts w:hint="eastAsia"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US" w:eastAsia="zh-CN"/>
                    </w:rPr>
                    <w:t>满意度测试分数/测试总分数*100%</w:t>
                  </w:r>
                </w:p>
              </w:tc>
              <w:tc>
                <w:tcPr>
                  <w:tcW w:w="1350" w:type="dxa"/>
                  <w:shd w:val="clear" w:color="auto" w:fill="auto"/>
                  <w:vAlign w:val="center"/>
                </w:tcPr>
                <w:p>
                  <w:pP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供销部</w:t>
                  </w:r>
                </w:p>
              </w:tc>
              <w:tc>
                <w:tcPr>
                  <w:tcW w:w="1774" w:type="dxa"/>
                  <w:shd w:val="clear" w:color="auto" w:fill="auto"/>
                  <w:vAlign w:val="top"/>
                </w:tcPr>
                <w:p>
                  <w:pPr>
                    <w:rPr>
                      <w:rFonts w:hint="eastAsia"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US" w:eastAsia="zh-CN"/>
                    </w:rPr>
                    <w:t>98%</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500</w:t>
            </w:r>
            <w:r>
              <w:rPr>
                <w:rFonts w:hint="eastAsia"/>
              </w:rPr>
              <w:t>平方米；生产车间</w:t>
            </w:r>
            <w:r>
              <w:rPr>
                <w:rFonts w:hint="eastAsia"/>
                <w:lang w:val="en-US" w:eastAsia="zh-CN"/>
              </w:rPr>
              <w:t>2</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主要设备有：</w:t>
            </w:r>
            <w:r>
              <w:rPr>
                <w:rFonts w:hint="eastAsia" w:ascii="Times New Roman" w:hAnsi="Times New Roman" w:eastAsia="宋体" w:cs="Times New Roman"/>
                <w:sz w:val="21"/>
                <w:szCs w:val="21"/>
                <w:lang w:val="en-US" w:eastAsia="zh-CN"/>
              </w:rPr>
              <w:t>管材生产线、冲床、切割机、液压机</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eastAsia"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rPr>
                <w:rFonts w:hint="eastAsia"/>
              </w:rPr>
            </w:pPr>
            <w:r>
              <w:rPr>
                <w:rFonts w:hint="eastAsia"/>
              </w:rPr>
              <w:t>认证范围内每种产品/服务流程的关键过程及控制参数：</w:t>
            </w:r>
          </w:p>
          <w:p>
            <w:pPr>
              <w:pStyle w:val="12"/>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7"/>
              <w:gridCol w:w="1440"/>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7" w:type="dxa"/>
                </w:tcPr>
                <w:p>
                  <w:pPr>
                    <w:shd w:val="clear" w:color="auto" w:fill="C7DAF1" w:themeFill="text2" w:themeFillTint="32"/>
                    <w:jc w:val="left"/>
                  </w:pPr>
                  <w:r>
                    <w:rPr>
                      <w:rFonts w:hint="eastAsia"/>
                    </w:rPr>
                    <w:t>产品/服务名称</w:t>
                  </w:r>
                </w:p>
              </w:tc>
              <w:tc>
                <w:tcPr>
                  <w:tcW w:w="1440"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7" w:type="dxa"/>
                </w:tcPr>
                <w:p>
                  <w:pPr>
                    <w:shd w:val="clear" w:color="auto" w:fill="C7DAF1" w:themeFill="text2" w:themeFillTint="32"/>
                    <w:jc w:val="left"/>
                    <w:rPr>
                      <w:rFonts w:hint="default" w:eastAsia="宋体"/>
                      <w:lang w:val="en-US" w:eastAsia="zh-CN"/>
                    </w:rPr>
                  </w:pPr>
                  <w:r>
                    <w:rPr>
                      <w:sz w:val="20"/>
                    </w:rPr>
                    <w:t>电力铁附件、电力金具、井圈、井盖、标志牌、塑料管材、钢绞线</w:t>
                  </w:r>
                </w:p>
              </w:tc>
              <w:tc>
                <w:tcPr>
                  <w:tcW w:w="1440" w:type="dxa"/>
                </w:tcPr>
                <w:p>
                  <w:pPr>
                    <w:shd w:val="clear" w:color="auto" w:fill="C7DAF1" w:themeFill="text2" w:themeFillTint="32"/>
                    <w:jc w:val="left"/>
                    <w:rPr>
                      <w:rFonts w:hint="default" w:eastAsia="宋体"/>
                      <w:lang w:val="en-US" w:eastAsia="zh-CN"/>
                    </w:rPr>
                  </w:pPr>
                  <w:r>
                    <w:rPr>
                      <w:rFonts w:hint="eastAsia" w:eastAsia="宋体"/>
                      <w:lang w:val="en-US" w:eastAsia="zh-CN"/>
                    </w:rPr>
                    <w:t>配料、下料</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配比、尺寸</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Times New Roman" w:hAnsi="Times New Roman" w:eastAsia="宋体" w:cs="Times New Roman"/>
                <w:sz w:val="21"/>
                <w:szCs w:val="21"/>
                <w:lang w:val="en-US" w:eastAsia="zh-CN"/>
              </w:rPr>
              <w:t>焊接、挤出、压制</w:t>
            </w:r>
            <w:r>
              <w:rPr>
                <w:rFonts w:hint="eastAsia" w:ascii="Times New Roman" w:hAnsi="Times New Roman" w:cs="Times New Roman"/>
                <w:sz w:val="21"/>
                <w:szCs w:val="21"/>
                <w:lang w:val="en-US" w:eastAsia="zh-CN"/>
              </w:rPr>
              <w:t>、销售</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5-6</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rPr>
                <w:rFonts w:hint="eastAsia"/>
              </w:rPr>
            </w:pPr>
            <w:r>
              <w:rPr>
                <w:rFonts w:hint="eastAsia"/>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rPr>
                <w:rFonts w:hint="eastAsia"/>
              </w:rPr>
            </w:pPr>
          </w:p>
          <w:p>
            <w:pPr>
              <w:shd w:val="clear" w:color="auto" w:fill="C7DAF1" w:themeFill="text2" w:themeFillTint="32"/>
            </w:pPr>
            <w:r>
              <w:rPr>
                <w:rFonts w:hint="eastAsia"/>
              </w:rPr>
              <w:t>若是多班次操作：（按照组织的实际情况选择）</w:t>
            </w:r>
          </w:p>
          <w:p>
            <w:pPr>
              <w:shd w:val="clear" w:color="auto" w:fill="C7DAF1" w:themeFill="text2" w:themeFillTint="32"/>
              <w:rPr>
                <w:rFonts w:hint="eastAsia" w:ascii="Times New Roman" w:hAnsi="Times New Roman" w:eastAsia="宋体" w:cs="Times New Roman"/>
              </w:rPr>
            </w:pPr>
            <w:r>
              <w:rPr>
                <w:rFonts w:hint="eastAsia"/>
                <w:lang w:eastAsia="zh-CN"/>
              </w:rPr>
              <w:t>□</w:t>
            </w:r>
            <w:r>
              <w:rPr>
                <w:rFonts w:hint="eastAsia" w:ascii="Times New Roman" w:hAnsi="Times New Roman" w:eastAsia="宋体" w:cs="Times New Roman"/>
              </w:rPr>
              <w:t>对所有班次的现场操作已审核。</w:t>
            </w:r>
          </w:p>
          <w:p>
            <w:pPr>
              <w:shd w:val="clear" w:color="auto" w:fill="C7DAF1" w:themeFill="text2" w:themeFillTint="32"/>
              <w:rPr>
                <w:rFonts w:hint="eastAsia" w:ascii="Times New Roman" w:hAnsi="Times New Roman" w:eastAsia="宋体" w:cs="Times New Roman"/>
              </w:rPr>
            </w:pPr>
            <w:r>
              <w:rPr>
                <w:rFonts w:hint="eastAsia"/>
                <w:lang w:eastAsia="zh-CN"/>
              </w:rPr>
              <w:t>□</w:t>
            </w:r>
            <w:r>
              <w:rPr>
                <w:rFonts w:hint="eastAsia" w:ascii="Times New Roman" w:hAnsi="Times New Roman" w:eastAsia="宋体" w:cs="Times New Roman"/>
              </w:rPr>
              <w:t>未对所有班次的现场都进行审核，只审核了日班的现场操作，并且有代表性地审核了所有班次的运行记录。</w:t>
            </w:r>
          </w:p>
          <w:p>
            <w:pPr>
              <w:pStyle w:val="1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30</w:t>
            </w:r>
            <w:r>
              <w:rPr>
                <w:rFonts w:hint="eastAsia"/>
              </w:rPr>
              <w:t>日对组织的质量管理体系进行了评审，以确保其持续的适宜性、充分性和有效性；管理评审输入、输出均按要求提供。并对提出的改进措施进行了落实。</w:t>
            </w:r>
          </w:p>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pStyle w:val="1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w:t>
            </w:r>
            <w:r>
              <w:rPr>
                <w:rFonts w:hint="eastAsia"/>
                <w:lang w:eastAsia="zh-CN"/>
              </w:rPr>
              <w:t>☑</w:t>
            </w:r>
            <w:r>
              <w:rPr>
                <w:rFonts w:hint="eastAsia"/>
              </w:rPr>
              <w:t>职业危害管理</w:t>
            </w:r>
            <w:r>
              <w:rPr>
                <w:rFonts w:hint="eastAsia"/>
                <w:lang w:eastAsia="zh-CN"/>
              </w:rPr>
              <w:t>☑</w:t>
            </w:r>
            <w:r>
              <w:rPr>
                <w:rFonts w:hint="eastAsia"/>
              </w:rPr>
              <w:t>消防控制□危化品管理</w:t>
            </w:r>
            <w:r>
              <w:rPr>
                <w:rFonts w:hint="eastAsia"/>
                <w:lang w:eastAsia="zh-CN"/>
              </w:rPr>
              <w:t>□</w:t>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危险废物处置□消防检测□生产/服务过程□安全监测</w:t>
            </w:r>
            <w:r>
              <w:rPr>
                <w:rFonts w:hint="eastAsia"/>
                <w:lang w:eastAsia="zh-CN"/>
              </w:rPr>
              <w:t>☑</w:t>
            </w:r>
            <w:r>
              <w:rPr>
                <w:rFonts w:hint="eastAsia"/>
              </w:rPr>
              <w:t>产品运输</w:t>
            </w:r>
            <w:r>
              <w:rPr>
                <w:rFonts w:hint="eastAsia"/>
                <w:lang w:eastAsia="zh-CN"/>
              </w:rPr>
              <w:t>□</w:t>
            </w:r>
            <w:r>
              <w:rPr>
                <w:rFonts w:hint="eastAsia"/>
              </w:rPr>
              <w:t>设备维修</w:t>
            </w:r>
          </w:p>
          <w:p>
            <w:pPr>
              <w:spacing w:before="40" w:after="40"/>
            </w:pPr>
            <w:r>
              <w:rPr>
                <w:rFonts w:hint="eastAsia"/>
              </w:rPr>
              <w:t>□人员培训</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lang w:eastAsia="zh-CN"/>
              </w:rPr>
            </w:pPr>
            <w:r>
              <w:rPr>
                <w:rFonts w:hint="eastAsia" w:ascii="Times New Roman" w:hAnsi="Times New Roman" w:eastAsia="宋体" w:cs="Times New Roman"/>
                <w:sz w:val="21"/>
                <w:szCs w:val="21"/>
                <w:lang w:val="en-US" w:eastAsia="zh-CN"/>
              </w:rPr>
              <w:t>质量为本、规范生产、安全第一、保障健康、遵纪守法、持续改进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pPr>
              <w:rPr>
                <w:rFonts w:hint="eastAsia"/>
              </w:rPr>
            </w:pPr>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生产技术部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cs="Times New Roman"/>
                <w:b/>
                <w:bCs/>
                <w:sz w:val="22"/>
                <w:szCs w:val="28"/>
                <w:lang w:val="en-US" w:eastAsia="zh-CN"/>
              </w:rPr>
              <w:t>马心田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9"/>
              <w:gridCol w:w="44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tcPr>
                <w:p>
                  <w:r>
                    <w:rPr>
                      <w:rFonts w:hint="eastAsia"/>
                    </w:rPr>
                    <w:t>主要的风险或机遇描述</w:t>
                  </w:r>
                </w:p>
              </w:tc>
              <w:tc>
                <w:tcPr>
                  <w:tcW w:w="4406"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tcPr>
                <w:p>
                  <w:pPr>
                    <w:rPr>
                      <w:rFonts w:hint="default" w:eastAsia="宋体"/>
                      <w:sz w:val="18"/>
                      <w:szCs w:val="18"/>
                      <w:lang w:val="en-US" w:eastAsia="zh-CN"/>
                    </w:rPr>
                  </w:pPr>
                  <w:r>
                    <w:rPr>
                      <w:rFonts w:hint="eastAsia"/>
                      <w:sz w:val="18"/>
                      <w:szCs w:val="18"/>
                      <w:lang w:val="en-US" w:eastAsia="zh-CN"/>
                    </w:rPr>
                    <w:t>疫情爆发带来的不安定</w:t>
                  </w:r>
                </w:p>
              </w:tc>
              <w:tc>
                <w:tcPr>
                  <w:tcW w:w="4406" w:type="dxa"/>
                </w:tcPr>
                <w:p>
                  <w:pPr>
                    <w:rPr>
                      <w:sz w:val="18"/>
                      <w:szCs w:val="18"/>
                    </w:rPr>
                  </w:pPr>
                  <w:r>
                    <w:rPr>
                      <w:rFonts w:hint="eastAsia" w:ascii="楷体" w:hAnsi="楷体" w:eastAsia="楷体" w:cs="楷体"/>
                      <w:sz w:val="21"/>
                      <w:szCs w:val="21"/>
                      <w:lang w:val="en-US" w:eastAsia="zh-CN"/>
                    </w:rPr>
                    <w:t>制定疫情应对措施，配备防疫用品，进出厂区测量体温、定期消杀、外地人员或去过风险地区人员的报备</w:t>
                  </w:r>
                </w:p>
              </w:tc>
              <w:tc>
                <w:tcPr>
                  <w:tcW w:w="1717" w:type="dxa"/>
                </w:tcPr>
                <w:p>
                  <w:pPr>
                    <w:rPr>
                      <w:rFonts w:hint="eastAsia" w:eastAsia="宋体"/>
                      <w:sz w:val="18"/>
                      <w:szCs w:val="18"/>
                      <w:lang w:val="en-US" w:eastAsia="zh-CN"/>
                    </w:rPr>
                  </w:pPr>
                  <w:r>
                    <w:rPr>
                      <w:rFonts w:hint="eastAsia"/>
                      <w:sz w:val="18"/>
                      <w:szCs w:val="18"/>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w:t>
            </w:r>
            <w:r>
              <w:rPr>
                <w:rFonts w:hint="eastAsia"/>
                <w:lang w:eastAsia="zh-CN"/>
              </w:rPr>
              <w:t>☑</w:t>
            </w:r>
            <w:r>
              <w:rPr>
                <w:rFonts w:hint="eastAsia"/>
              </w:rPr>
              <w:t>噪声</w:t>
            </w:r>
            <w:r>
              <w:rPr>
                <w:rFonts w:hint="eastAsia"/>
                <w:lang w:eastAsia="zh-CN"/>
              </w:rPr>
              <w:t>☑</w:t>
            </w:r>
            <w:r>
              <w:rPr>
                <w:rFonts w:hint="eastAsia"/>
                <w:lang w:val="en-US" w:eastAsia="zh-CN"/>
              </w:rPr>
              <w:t>废气</w:t>
            </w:r>
            <w:r>
              <w:rPr>
                <w:rFonts w:hint="eastAsia"/>
              </w:rPr>
              <w:t>□危险作业□高低温□危化品泄露□压力容器爆炸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w:t>
            </w:r>
            <w:r>
              <w:rPr>
                <w:rFonts w:hint="eastAsia"/>
                <w:lang w:eastAsia="zh-CN"/>
              </w:rPr>
              <w:t>☑</w:t>
            </w:r>
            <w:r>
              <w:rPr>
                <w:rFonts w:hint="eastAsia"/>
              </w:rPr>
              <w:t>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rPr>
            </w:pP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rPr>
                  </w:pPr>
                  <w:r>
                    <w:rPr>
                      <w:rFonts w:hint="eastAsia"/>
                    </w:rPr>
                    <w:t>工伤频率小于1‰</w:t>
                  </w:r>
                </w:p>
                <w:p>
                  <w:pPr>
                    <w:rPr>
                      <w:rFonts w:hint="eastAsia"/>
                    </w:rPr>
                  </w:pPr>
                  <w:r>
                    <w:rPr>
                      <w:rFonts w:hint="eastAsia"/>
                    </w:rPr>
                    <w:t>无重伤及死亡事故</w:t>
                  </w:r>
                </w:p>
                <w:p>
                  <w:r>
                    <w:rPr>
                      <w:rFonts w:hint="eastAsia"/>
                    </w:rPr>
                    <w:t>火灾发生率为零</w:t>
                  </w:r>
                </w:p>
              </w:tc>
              <w:tc>
                <w:tcPr>
                  <w:tcW w:w="3136" w:type="dxa"/>
                  <w:shd w:val="clear" w:color="auto" w:fill="auto"/>
                  <w:vAlign w:val="center"/>
                </w:tcPr>
                <w:p>
                  <w:pPr>
                    <w:rPr>
                      <w:lang w:val="en-GB"/>
                    </w:rPr>
                  </w:pPr>
                  <w:r>
                    <w:rPr>
                      <w:rFonts w:hint="eastAsia" w:ascii="Times New Roman" w:hAnsi="Times New Roman" w:cs="Times New Roman"/>
                      <w:sz w:val="18"/>
                      <w:szCs w:val="18"/>
                      <w:lang w:val="en-US" w:eastAsia="zh-CN"/>
                    </w:rPr>
                    <w:t>对人员进行培训，办公场所设置禁烟警示标识；及时更换失效的消防器材；对火灾进行应急预案演练；定期检查，及时排除火灾隐患</w:t>
                  </w:r>
                </w:p>
              </w:tc>
              <w:tc>
                <w:tcPr>
                  <w:tcW w:w="1350" w:type="dxa"/>
                  <w:shd w:val="clear" w:color="auto" w:fill="auto"/>
                  <w:vAlign w:val="center"/>
                </w:tcPr>
                <w:p>
                  <w:pPr>
                    <w:rPr>
                      <w:rFonts w:hint="eastAsia" w:eastAsia="宋体"/>
                      <w:lang w:val="en-US" w:eastAsia="zh-CN"/>
                    </w:rPr>
                  </w:pPr>
                  <w:r>
                    <w:rPr>
                      <w:rFonts w:hint="eastAsia"/>
                      <w:lang w:val="en-US" w:eastAsia="zh-CN"/>
                    </w:rPr>
                    <w:t>生产技术部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500</w:t>
            </w:r>
            <w:r>
              <w:rPr>
                <w:rFonts w:hint="eastAsia"/>
              </w:rPr>
              <w:t>平方米；生产车间</w:t>
            </w:r>
            <w:r>
              <w:rPr>
                <w:rFonts w:hint="eastAsia"/>
                <w:lang w:val="en-US" w:eastAsia="zh-CN"/>
              </w:rPr>
              <w:t>2</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rPr>
                <w:rFonts w:hint="default" w:eastAsia="楷体"/>
                <w:u w:val="single"/>
                <w:lang w:val="en-US" w:eastAsia="zh-CN"/>
              </w:rPr>
            </w:pPr>
            <w:r>
              <w:rPr>
                <w:rFonts w:hint="eastAsia"/>
              </w:rPr>
              <w:t>主要设备有：</w:t>
            </w:r>
            <w:r>
              <w:rPr>
                <w:rFonts w:hint="eastAsia" w:ascii="Times New Roman" w:hAnsi="Times New Roman" w:eastAsia="宋体" w:cs="Times New Roman"/>
                <w:sz w:val="21"/>
                <w:szCs w:val="21"/>
                <w:lang w:val="en-US" w:eastAsia="zh-CN"/>
              </w:rPr>
              <w:t>管材生产线、注塑机、冲床、切割机、液压机</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lang w:eastAsia="zh-CN"/>
              </w:rPr>
              <w:t>☑</w:t>
            </w:r>
            <w:r>
              <w:rPr>
                <w:rFonts w:hint="eastAsia"/>
              </w:rPr>
              <w:t>会议传达</w:t>
            </w:r>
            <w:r>
              <w:rPr>
                <w:rFonts w:hint="eastAsia"/>
                <w:lang w:eastAsia="zh-CN"/>
              </w:rPr>
              <w:t>☑</w:t>
            </w:r>
            <w:r>
              <w:rPr>
                <w:rFonts w:hint="eastAsia"/>
              </w:rPr>
              <w:t>标语</w:t>
            </w:r>
            <w:r>
              <w:rPr>
                <w:rFonts w:hint="eastAsia"/>
                <w:lang w:eastAsia="zh-CN"/>
              </w:rPr>
              <w:t>☑</w:t>
            </w:r>
            <w:r>
              <w:rPr>
                <w:rFonts w:hint="eastAsia"/>
              </w:rPr>
              <w:t>培训</w:t>
            </w:r>
            <w:r>
              <w:rPr>
                <w:rFonts w:hint="eastAsia"/>
                <w:lang w:eastAsia="zh-CN"/>
              </w:rPr>
              <w:t>☑</w:t>
            </w:r>
            <w:r>
              <w:rPr>
                <w:rFonts w:hint="eastAsia"/>
              </w:rPr>
              <w:t>看板</w:t>
            </w:r>
            <w:r>
              <w:rPr>
                <w:rFonts w:hint="eastAsia"/>
                <w:lang w:eastAsia="zh-CN"/>
              </w:rPr>
              <w:t>□</w:t>
            </w:r>
            <w:r>
              <w:rPr>
                <w:rFonts w:hint="eastAsia"/>
              </w:rPr>
              <w:t>局域网</w:t>
            </w:r>
            <w:r>
              <w:rPr>
                <w:rFonts w:hint="eastAsia"/>
                <w:lang w:eastAsia="zh-CN"/>
              </w:rPr>
              <w:t>□</w:t>
            </w:r>
            <w:r>
              <w:rPr>
                <w:rFonts w:hint="eastAsia"/>
              </w:rPr>
              <w:t>其他</w:t>
            </w:r>
          </w:p>
          <w:p/>
          <w:p>
            <w:r>
              <w:rPr>
                <w:rFonts w:hint="eastAsia"/>
              </w:rPr>
              <w:t>实施了员工三级安全教育：</w:t>
            </w:r>
            <w:r>
              <w:rPr>
                <w:rFonts w:hint="eastAsia"/>
                <w:lang w:eastAsia="zh-CN"/>
              </w:rPr>
              <w:t>☑</w:t>
            </w:r>
            <w:r>
              <w:rPr>
                <w:rFonts w:hint="eastAsia"/>
              </w:rPr>
              <w:t>入职</w:t>
            </w:r>
            <w:r>
              <w:rPr>
                <w:rFonts w:hint="eastAsia"/>
                <w:lang w:eastAsia="zh-CN"/>
              </w:rPr>
              <w:t>☑</w:t>
            </w:r>
            <w:r>
              <w:rPr>
                <w:rFonts w:hint="eastAsia"/>
              </w:rPr>
              <w:t>换岗</w:t>
            </w:r>
            <w:r>
              <w:rPr>
                <w:rFonts w:hint="eastAsia"/>
                <w:lang w:eastAsia="zh-CN"/>
              </w:rPr>
              <w:t>□</w:t>
            </w:r>
            <w:r>
              <w:rPr>
                <w:rFonts w:hint="eastAsia"/>
              </w:rPr>
              <w:t>离职</w:t>
            </w:r>
          </w:p>
          <w:p>
            <w:pPr>
              <w:rPr>
                <w:rFonts w:hint="eastAsia"/>
              </w:rPr>
            </w:pPr>
            <w:r>
              <w:rPr>
                <w:rFonts w:hint="eastAsia"/>
              </w:rPr>
              <w:t>实施了员工职业危害告知：</w:t>
            </w:r>
            <w:r>
              <w:rPr>
                <w:rFonts w:hint="eastAsia"/>
                <w:lang w:eastAsia="zh-CN"/>
              </w:rPr>
              <w:t>☑</w:t>
            </w:r>
            <w:r>
              <w:rPr>
                <w:rFonts w:hint="eastAsia"/>
              </w:rPr>
              <w:t>入职</w:t>
            </w:r>
            <w:r>
              <w:rPr>
                <w:rFonts w:hint="eastAsia"/>
                <w:lang w:eastAsia="zh-CN"/>
              </w:rPr>
              <w:t>☑</w:t>
            </w:r>
            <w:r>
              <w:rPr>
                <w:rFonts w:hint="eastAsia"/>
              </w:rPr>
              <w:t>换岗</w:t>
            </w:r>
            <w:r>
              <w:rPr>
                <w:rFonts w:hint="eastAsia"/>
                <w:lang w:eastAsia="zh-CN"/>
              </w:rPr>
              <w:t>□</w:t>
            </w:r>
            <w:r>
              <w:rPr>
                <w:rFonts w:hint="eastAsia"/>
              </w:rPr>
              <w:t>停职1年以上</w:t>
            </w:r>
          </w:p>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rPr>
                    <w:t>机械伤害</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安全装置□挂牌上锁管理</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废气</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除尘装置□穿戴劳保用品（防尘面罩）</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rPr>
                    <w:t>噪声</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空间隔离</w:t>
                  </w:r>
                  <w:r>
                    <w:rPr>
                      <w:rFonts w:hint="eastAsia"/>
                      <w:lang w:eastAsia="zh-CN"/>
                    </w:rPr>
                    <w:t>☑</w:t>
                  </w:r>
                  <w:r>
                    <w:rPr>
                      <w:rFonts w:hint="eastAsia"/>
                    </w:rPr>
                    <w:t>穿戴劳保用品</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管理方案、应急预案</w:t>
                  </w:r>
                </w:p>
              </w:tc>
              <w:tc>
                <w:tcPr>
                  <w:tcW w:w="2205" w:type="dxa"/>
                </w:tcPr>
                <w:p>
                  <w:pPr>
                    <w:jc w:val="left"/>
                    <w:rPr>
                      <w:rFonts w:hint="default" w:eastAsia="宋体"/>
                      <w:lang w:val="en-US" w:eastAsia="zh-CN"/>
                    </w:rPr>
                  </w:pPr>
                  <w:r>
                    <w:rPr>
                      <w:rFonts w:hint="eastAsia"/>
                      <w:lang w:val="en-US" w:eastAsia="zh-CN"/>
                    </w:rPr>
                    <w:t>符合要求</w:t>
                  </w: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lang w:val="en-US" w:eastAsia="zh-CN"/>
              </w:rPr>
              <w:t>提供叉车检测报告，见附件</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14</w:t>
            </w:r>
            <w:r>
              <w:rPr>
                <w:rFonts w:hint="eastAsia"/>
              </w:rPr>
              <w:t>日进行了</w:t>
            </w:r>
            <w:r>
              <w:rPr>
                <w:rFonts w:hint="eastAsia"/>
                <w:lang w:val="en-US" w:eastAsia="zh-CN"/>
              </w:rPr>
              <w:t>火灾事故</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20</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5-6</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30</w:t>
            </w:r>
            <w:bookmarkStart w:id="25" w:name="_GoBack"/>
            <w:bookmarkEnd w:id="25"/>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54175C92"/>
    <w:rsid w:val="78E92E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正文 首行缩进:  2 字符"/>
    <w:basedOn w:val="1"/>
    <w:qFormat/>
    <w:uiPriority w:val="0"/>
    <w:pPr>
      <w:ind w:firstLine="200" w:firstLineChars="200"/>
    </w:pPr>
    <w:rPr>
      <w:rFonts w:cs="宋体"/>
      <w:sz w:val="24"/>
      <w:szCs w:val="2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14867</Words>
  <Characters>15898</Characters>
  <Lines>150</Lines>
  <Paragraphs>42</Paragraphs>
  <TotalTime>4</TotalTime>
  <ScaleCrop>false</ScaleCrop>
  <LinksUpToDate>false</LinksUpToDate>
  <CharactersWithSpaces>15994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2022-05-19T09:24:17Z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