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bookmarkStart w:id="26" w:name="_GoBack"/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543040" cy="9267190"/>
            <wp:effectExtent l="0" t="0" r="10160" b="3810"/>
            <wp:docPr id="3" name="图片 3" descr="质量安全(正式)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质量安全(正式)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43040" cy="926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6"/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578"/>
        <w:gridCol w:w="772"/>
        <w:gridCol w:w="841"/>
        <w:gridCol w:w="107"/>
        <w:gridCol w:w="884"/>
        <w:gridCol w:w="836"/>
        <w:gridCol w:w="637"/>
        <w:gridCol w:w="1083"/>
        <w:gridCol w:w="708"/>
        <w:gridCol w:w="191"/>
        <w:gridCol w:w="354"/>
        <w:gridCol w:w="467"/>
        <w:gridCol w:w="341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河北恒拓通信设备有限公司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任丘市经济技术开发区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任丘市麻家坞镇南马庄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182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解晶</w:t>
            </w:r>
            <w:bookmarkEnd w:id="3"/>
          </w:p>
        </w:tc>
        <w:tc>
          <w:tcPr>
            <w:tcW w:w="147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8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18689004444</w:t>
            </w:r>
            <w:bookmarkEnd w:id="4"/>
          </w:p>
        </w:tc>
        <w:tc>
          <w:tcPr>
            <w:tcW w:w="254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182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0669-2019-QO-2022</w:t>
            </w:r>
            <w:bookmarkEnd w:id="5"/>
          </w:p>
        </w:tc>
        <w:tc>
          <w:tcPr>
            <w:tcW w:w="147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24" w:type="dxa"/>
            <w:gridSpan w:val="7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6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6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7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7"/>
            <w:r>
              <w:rPr>
                <w:spacing w:val="-2"/>
                <w:sz w:val="20"/>
              </w:rPr>
              <w:t>EMS</w:t>
            </w:r>
            <w:bookmarkStart w:id="8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9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0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1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3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3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4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4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4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5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>监督审核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：验证组织管理体系的符合性和持续有效性，以确定是否推荐保持认证注册资格。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446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16" w:name="审核范围"/>
            <w:r>
              <w:rPr>
                <w:sz w:val="20"/>
              </w:rPr>
              <w:t>Q：电力铁附件、电力金具、井圈、井盖、标志牌、塑料管材、钢绞线的生产及线路辅助材料、螺栓、通信抱杆、变压器、绝缘子、钢管、配电箱的销售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O：电力铁附件、电力金具、井圈、井盖、标志牌、塑料管材、钢绞线的生产及线路辅助材料、螺栓、通信抱杆、变压器、绝缘子、钢管、配电箱的销售</w:t>
            </w:r>
            <w:bookmarkEnd w:id="16"/>
          </w:p>
        </w:tc>
        <w:tc>
          <w:tcPr>
            <w:tcW w:w="54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188" w:type="dxa"/>
            <w:gridSpan w:val="3"/>
            <w:vAlign w:val="center"/>
          </w:tcPr>
          <w:p>
            <w:pPr>
              <w:jc w:val="left"/>
              <w:rPr>
                <w:sz w:val="20"/>
              </w:rPr>
            </w:pPr>
            <w:bookmarkStart w:id="17" w:name="专业代码"/>
            <w:r>
              <w:rPr>
                <w:sz w:val="20"/>
              </w:rPr>
              <w:t>Q：14.02.01;17.11.03;17.12.03;17.12.05;29.12.00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O：14.02.01;17.11.03;17.12.03;17.12.05;29.12.00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8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19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0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1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2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A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23" w:name="审核日期"/>
            <w:r>
              <w:rPr>
                <w:rFonts w:hint="eastAsia"/>
                <w:b/>
                <w:sz w:val="20"/>
              </w:rPr>
              <w:t>2022年05月13日 上午至2022年05月14日 下午</w:t>
            </w:r>
            <w:bookmarkEnd w:id="23"/>
            <w:r>
              <w:rPr>
                <w:rFonts w:hint="eastAsia"/>
                <w:b/>
                <w:sz w:val="20"/>
              </w:rPr>
              <w:t>(共</w:t>
            </w:r>
            <w:bookmarkStart w:id="24" w:name="审核天数"/>
            <w:r>
              <w:rPr>
                <w:rFonts w:hint="eastAsia"/>
                <w:b/>
                <w:sz w:val="20"/>
              </w:rPr>
              <w:t>2.0</w:t>
            </w:r>
            <w:bookmarkEnd w:id="2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46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3144" w:type="dxa"/>
            <w:gridSpan w:val="6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吉洁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46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2019-N1QMS-3022240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2020-N1OHSMS-3022240</w:t>
            </w:r>
          </w:p>
        </w:tc>
        <w:tc>
          <w:tcPr>
            <w:tcW w:w="3144" w:type="dxa"/>
            <w:gridSpan w:val="6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Q:14.02.01,17.11.03,17.12.03,17.12.05,29.12.00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O:14.02.01,17.11.03,17.12.03,17.12.05,29.12.00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18633812642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989330</wp:posOffset>
                  </wp:positionH>
                  <wp:positionV relativeFrom="paragraph">
                    <wp:posOffset>405130</wp:posOffset>
                  </wp:positionV>
                  <wp:extent cx="1032510" cy="497205"/>
                  <wp:effectExtent l="0" t="0" r="0" b="0"/>
                  <wp:wrapNone/>
                  <wp:docPr id="1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510" cy="49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0"/>
              </w:rPr>
              <w:t>审核组长</w:t>
            </w:r>
            <w:r>
              <w:rPr>
                <w:rFonts w:hint="eastAsia"/>
                <w:sz w:val="20"/>
                <w:lang w:val="en-US" w:eastAsia="zh-CN"/>
              </w:rPr>
              <w:t>签字</w:t>
            </w:r>
          </w:p>
        </w:tc>
        <w:tc>
          <w:tcPr>
            <w:tcW w:w="1720" w:type="dxa"/>
            <w:gridSpan w:val="3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李凤娟</w:t>
            </w:r>
            <w:bookmarkEnd w:id="25"/>
          </w:p>
        </w:tc>
        <w:tc>
          <w:tcPr>
            <w:tcW w:w="1720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20" w:type="dxa"/>
            <w:gridSpan w:val="3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2022.5.11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2022.5.11</w:t>
            </w:r>
          </w:p>
        </w:tc>
        <w:tc>
          <w:tcPr>
            <w:tcW w:w="1720" w:type="dxa"/>
            <w:gridSpan w:val="4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2022.5.11</w:t>
            </w:r>
          </w:p>
        </w:tc>
      </w:tr>
    </w:tbl>
    <w:p/>
    <w:p/>
    <w:p>
      <w:pPr>
        <w:pStyle w:val="2"/>
      </w:pPr>
    </w:p>
    <w:p>
      <w:pPr>
        <w:pStyle w:val="2"/>
      </w:pPr>
    </w:p>
    <w:tbl>
      <w:tblPr>
        <w:tblStyle w:val="6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409"/>
        <w:gridCol w:w="6373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4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2022.5.13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9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危险源辨识；合规性评价；监视和测量总则；管理评审；总则；持续改进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资质、范围的确认；相关方投诉；上次不符合项的验证；获证后证书使用情况等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QO</w:t>
            </w:r>
            <w:r>
              <w:rPr>
                <w:rFonts w:hint="eastAsia"/>
                <w:sz w:val="21"/>
                <w:szCs w:val="21"/>
              </w:rPr>
              <w:t>4.1/4.2/4.3/4.4/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5.1/5.2/5.3/6.1/6.2/7.1/9.1.1/9.3/10.1/10.3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6.3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6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办公室：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组织的岗位、职责权限；目标、指标管理方案；危险源识别评价；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组织的知识；人员；能力、培训、意识；沟通；员工的参与和协商；文件化信息；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运行策划和控制；应急准备和响应；法律法规要求；绩效的监视和测量；合规性评价；不合格及纠正措施；内部审核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涉及条款：QO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5.3/6.2/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7.2/7.3/7.4/7.5/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9.1/9.2/10.2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Q7.1.2/7.1.6；O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6.1.2/6.1.3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8.1/8.2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/5.4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4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2022.5.14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生产技术</w:t>
            </w:r>
            <w:r>
              <w:rPr>
                <w:rFonts w:hint="eastAsia"/>
                <w:sz w:val="21"/>
                <w:szCs w:val="21"/>
              </w:rPr>
              <w:t>部：组织的岗位、职责权限；目标；基础设施；监视和测量资源；运行环境；运行的策划和控制；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/>
                <w:sz w:val="21"/>
                <w:szCs w:val="21"/>
              </w:rPr>
              <w:t>生产和服务提供的控制；变更的控制；产品和服务的放行；不合格输出的控制；危险源辨识、风险评价和控制措施的确定；应急准备和响应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Q5.3/6.2/7.1.3/7.1.4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8.3/</w:t>
            </w:r>
            <w:r>
              <w:rPr>
                <w:rFonts w:hint="eastAsia"/>
                <w:sz w:val="21"/>
                <w:szCs w:val="21"/>
              </w:rPr>
              <w:t>8.5.1/8.5.6/8.6/8.7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6.1.2/6.2/8.1/8.2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0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供销部：</w:t>
            </w:r>
            <w:r>
              <w:rPr>
                <w:rFonts w:hint="eastAsia"/>
                <w:sz w:val="21"/>
                <w:szCs w:val="21"/>
              </w:rPr>
              <w:t>组织的岗位、职责权限；目标、指标管理方案；危险源识别评价；运行的策划和控制；产品和服务要求；外部提供的过程、产品和服务的控制；生产和服务提供的控制；产品和服务的放行；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eastAsia"/>
                <w:sz w:val="21"/>
                <w:szCs w:val="21"/>
              </w:rPr>
              <w:t>运行的策划和控制；应急准备和响应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Q5.3/6.2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/8.1/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8.5.1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8.6/</w:t>
            </w:r>
            <w:r>
              <w:rPr>
                <w:rFonts w:hint="eastAsia"/>
                <w:sz w:val="21"/>
                <w:szCs w:val="21"/>
              </w:rPr>
              <w:t>9.1.2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5.3/6.1.2/6.2/8.1/8.2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11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 w:val="0"/>
                <w:bCs w:val="0"/>
                <w:sz w:val="21"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5AC578C1"/>
    <w:rsid w:val="716840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1326</Words>
  <Characters>2066</Characters>
  <Lines>37</Lines>
  <Paragraphs>10</Paragraphs>
  <TotalTime>0</TotalTime>
  <ScaleCrop>false</ScaleCrop>
  <LinksUpToDate>false</LinksUpToDate>
  <CharactersWithSpaces>2100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2022-05-19T07:42:24Z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2052-11.1.0.11636</vt:lpwstr>
  </property>
</Properties>
</file>