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2151"/>
        <w:gridCol w:w="935"/>
        <w:gridCol w:w="14"/>
        <w:gridCol w:w="717"/>
        <w:gridCol w:w="97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59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8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受审核部门：采购部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负责人：郑宗添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陪同人员：蔡丽美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9" w:type="dxa"/>
            <w:gridSpan w:val="2"/>
            <w:vMerge w:val="continue"/>
            <w:vAlign w:val="center"/>
          </w:tcPr>
          <w:p/>
        </w:tc>
        <w:tc>
          <w:tcPr>
            <w:tcW w:w="935" w:type="dxa"/>
            <w:vMerge w:val="continue"/>
            <w:vAlign w:val="center"/>
          </w:tcPr>
          <w:p/>
        </w:tc>
        <w:tc>
          <w:tcPr>
            <w:tcW w:w="10481" w:type="dxa"/>
            <w:gridSpan w:val="3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审核员：肖新龙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审核日期：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2-09-26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59" w:type="dxa"/>
            <w:gridSpan w:val="2"/>
            <w:vMerge w:val="continue"/>
            <w:vAlign w:val="center"/>
          </w:tcPr>
          <w:p/>
        </w:tc>
        <w:tc>
          <w:tcPr>
            <w:tcW w:w="935" w:type="dxa"/>
            <w:vMerge w:val="continue"/>
            <w:vAlign w:val="center"/>
          </w:tcPr>
          <w:p/>
        </w:tc>
        <w:tc>
          <w:tcPr>
            <w:tcW w:w="1048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审核条款：FSMS:5.3/6.2/</w:t>
            </w:r>
            <w:r>
              <w:rPr>
                <w:sz w:val="24"/>
                <w:szCs w:val="24"/>
              </w:rPr>
              <w:t>7.1.6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8.5.4.5/</w:t>
            </w:r>
            <w:r>
              <w:rPr>
                <w:rFonts w:hint="eastAsia"/>
                <w:sz w:val="24"/>
                <w:szCs w:val="24"/>
              </w:rPr>
              <w:t>8.7/8.8/8.9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部门职责</w:t>
            </w:r>
          </w:p>
        </w:tc>
        <w:tc>
          <w:tcPr>
            <w:tcW w:w="935" w:type="dxa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 5.</w:t>
            </w:r>
            <w:r>
              <w:rPr>
                <w:color w:val="000000"/>
                <w:szCs w:val="21"/>
              </w:rPr>
              <w:t>3</w:t>
            </w:r>
          </w:p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《管理手册》第5.</w:t>
            </w:r>
            <w:r>
              <w:t>3</w:t>
            </w:r>
            <w:r>
              <w:rPr>
                <w:rFonts w:hint="eastAsia"/>
              </w:rPr>
              <w:t>条款</w:t>
            </w:r>
          </w:p>
        </w:tc>
        <w:tc>
          <w:tcPr>
            <w:tcW w:w="1134" w:type="dxa"/>
            <w:vMerge w:val="restart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pPr>
              <w:spacing w:line="360" w:lineRule="auto"/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主要负责采购管理、不合格品管理、产品验证等工作，同时参与内审、管评、确认验证等工作。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询问本部门负责人，表示审核周期内职责未发生变化。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</w:t>
            </w:r>
          </w:p>
          <w:p/>
        </w:tc>
        <w:tc>
          <w:tcPr>
            <w:tcW w:w="935" w:type="dxa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 xml:space="preserve"> 6.2</w:t>
            </w:r>
          </w:p>
          <w:p>
            <w:pPr>
              <w:rPr>
                <w:color w:val="000000"/>
                <w:szCs w:val="21"/>
              </w:rPr>
            </w:pPr>
          </w:p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》、《分解目标》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在手册中规定，执行“以客户为关注焦点”的服务宗旨，全面贯彻食品安全方针，实现食品安全目标。</w:t>
            </w:r>
          </w:p>
          <w:tbl>
            <w:tblPr>
              <w:tblStyle w:val="9"/>
              <w:tblW w:w="82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65"/>
              <w:gridCol w:w="3065"/>
              <w:gridCol w:w="20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5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考核目标</w:t>
                  </w:r>
                </w:p>
              </w:tc>
              <w:tc>
                <w:tcPr>
                  <w:tcW w:w="3065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统</w:t>
                  </w:r>
                  <w:r>
                    <w:rPr>
                      <w:color w:val="000000"/>
                      <w:szCs w:val="21"/>
                    </w:rPr>
                    <w:t>计方法</w:t>
                  </w:r>
                </w:p>
              </w:tc>
              <w:tc>
                <w:tcPr>
                  <w:tcW w:w="2089" w:type="dxa"/>
                </w:tcPr>
                <w:p>
                  <w:pPr>
                    <w:ind w:firstLine="210" w:firstLineChars="100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结</w:t>
                  </w:r>
                  <w:r>
                    <w:rPr>
                      <w:color w:val="000000"/>
                      <w:szCs w:val="21"/>
                    </w:rPr>
                    <w:t>果</w:t>
                  </w:r>
                </w:p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（202</w:t>
                  </w: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2.01-2022.08</w:t>
                  </w:r>
                  <w:r>
                    <w:rPr>
                      <w:color w:val="000000"/>
                      <w:szCs w:val="21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供应商评价率100%</w:t>
                  </w:r>
                </w:p>
              </w:tc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供应商评价数量/供应商总数量×100%</w:t>
                  </w:r>
                </w:p>
              </w:tc>
              <w:tc>
                <w:tcPr>
                  <w:tcW w:w="2089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进货检验合格率≥ 98%</w:t>
                  </w:r>
                </w:p>
              </w:tc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当月进料验合格批数/当月进料总批数×100%</w:t>
                  </w:r>
                </w:p>
              </w:tc>
              <w:tc>
                <w:tcPr>
                  <w:tcW w:w="2089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08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065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089" w:type="dxa"/>
                </w:tcPr>
                <w:p/>
              </w:tc>
            </w:tr>
          </w:tbl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目标已实现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抽查2021年度目标已完成。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目标没有实现的，在内部及时进行原因分析并采取了改进措施。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外部提供产品或服务的控制</w:t>
            </w:r>
          </w:p>
          <w:p/>
        </w:tc>
        <w:tc>
          <w:tcPr>
            <w:tcW w:w="935" w:type="dxa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F0FE"/>
            </w:r>
            <w:r>
              <w:rPr>
                <w:rFonts w:hint="eastAsia"/>
              </w:rPr>
              <w:t>手册7.1.6条款、</w:t>
            </w:r>
            <w:r>
              <w:rPr/>
              <w:sym w:font="Wingdings" w:char="F0FE"/>
            </w:r>
            <w:r>
              <w:rPr>
                <w:rFonts w:hint="eastAsia"/>
              </w:rPr>
              <w:t xml:space="preserve">《采购控制程序》 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外部提供的过程、产品和服务包括：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原材料采购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产品的设计和开发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产品检测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某加工工序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部分产品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工装订制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设备维修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运输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售后服务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不合格品处置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顾客满意调查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</w:t>
            </w:r>
          </w:p>
          <w:p/>
          <w:p>
            <w:r>
              <w:rPr>
                <w:rFonts w:hint="eastAsia"/>
              </w:rPr>
              <w:t>从《合格供方名单》中抽取下列证据：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新外部供方的初始评价和选择要求——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pStyle w:val="2"/>
              <w:ind w:left="0" w:firstLine="0" w:firstLineChars="0"/>
            </w:pPr>
          </w:p>
          <w:p>
            <w:pPr>
              <w:rPr>
                <w:szCs w:val="20"/>
              </w:rPr>
            </w:pPr>
            <w:r>
              <w:rPr>
                <w:rFonts w:hint="eastAsia"/>
              </w:rPr>
              <w:t>抽查外部供方的评价记录名称：</w:t>
            </w:r>
            <w:r>
              <w:rPr>
                <w:rFonts w:hint="eastAsia"/>
                <w:u w:val="single"/>
              </w:rPr>
              <w:t>《 合格供方及业绩评价表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厦门春秋果蔬商贸有限公司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pPr>
                    <w:pStyle w:val="2"/>
                    <w:ind w:left="0" w:firstLine="0" w:firstLineChars="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果蔬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5" w:hRule="atLeast"/>
              </w:trPr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91350206798066462X  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《食品经营许可证书》编号：</w:t>
                  </w:r>
                  <w:r>
                    <w:rPr>
                      <w:rFonts w:hint="eastAsia"/>
                      <w:u w:val="single"/>
                    </w:rPr>
                    <w:t xml:space="preserve">JY13502060283863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其他：——</w:t>
                  </w:r>
                </w:p>
                <w:p>
                  <w:pPr>
                    <w:ind w:firstLine="420" w:firstLineChars="20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</w:rPr>
                    <w:t>抽查果蔬类农残检测报告：检测单位：厦门春秋果蔬商贸有限公司：日期：202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2-07-23日至2022-07-21日</w:t>
                  </w:r>
                  <w:r>
                    <w:rPr>
                      <w:rFonts w:hint="eastAsia"/>
                      <w:u w:val="single"/>
                    </w:rPr>
                    <w:t>；结论：无异常</w:t>
                  </w:r>
                  <w:r>
                    <w:rPr>
                      <w:rFonts w:hint="eastAsia"/>
                      <w:u w:val="single"/>
                      <w:lang w:eastAsia="zh-CN"/>
                    </w:rPr>
                    <w:t>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满足合格供方要求（</w:t>
                  </w:r>
                  <w:r>
                    <w:rPr>
                      <w:rFonts w:hint="eastAsia"/>
                      <w:lang w:val="en-US" w:eastAsia="zh-CN"/>
                    </w:rPr>
                    <w:t>95</w:t>
                  </w:r>
                  <w:r>
                    <w:rPr>
                      <w:rFonts w:hint="eastAsia"/>
                    </w:rPr>
                    <w:t xml:space="preserve">分）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>
            <w:pPr>
              <w:pStyle w:val="2"/>
              <w:ind w:left="0" w:firstLine="0" w:firstLineChars="0"/>
            </w:pPr>
          </w:p>
          <w:p>
            <w:pPr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同时抽取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调味品（蚝油、酱油等） </w:t>
            </w:r>
            <w:r>
              <w:rPr>
                <w:rFonts w:hint="eastAsia"/>
                <w:highlight w:val="none"/>
              </w:rPr>
              <w:t xml:space="preserve">的供方 </w:t>
            </w:r>
            <w:r>
              <w:rPr>
                <w:rFonts w:hint="eastAsia"/>
                <w:highlight w:val="none"/>
                <w:u w:val="single"/>
              </w:rPr>
              <w:t>福州台江区福味泉电子商务有限公司</w:t>
            </w:r>
            <w:r>
              <w:rPr>
                <w:rFonts w:hint="eastAsia"/>
                <w:highlight w:val="none"/>
              </w:rPr>
              <w:t>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水产类（如：鱿鱼、白鲳鱼、草鱼等）</w:t>
            </w:r>
            <w:r>
              <w:rPr>
                <w:rFonts w:hint="eastAsia"/>
                <w:highlight w:val="none"/>
              </w:rPr>
              <w:t xml:space="preserve">的供方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厦门方缘科技食品有限公司</w:t>
            </w:r>
            <w:r>
              <w:rPr>
                <w:rFonts w:hint="eastAsia"/>
                <w:highlight w:val="none"/>
                <w:u w:val="single"/>
              </w:rPr>
              <w:t>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大米、植物油等粮油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永辉超市股份有限公司</w:t>
            </w:r>
            <w:r>
              <w:rPr>
                <w:rFonts w:hint="eastAsia"/>
                <w:u w:val="single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冷冻肉类品（冷冻鸡肉、冷冻鱼丸）</w:t>
            </w:r>
            <w:r>
              <w:rPr>
                <w:rFonts w:hint="eastAsia"/>
                <w:u w:val="single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厦门鑫铭鑫食品有限公司；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猪肉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厦门银祥肉业有限公司；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与上述结论一致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有效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失效</w:t>
            </w:r>
          </w:p>
          <w:p>
            <w:pPr>
              <w:pStyle w:val="2"/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84消毒液、酒精从正规超市购买。</w:t>
            </w:r>
          </w:p>
          <w:p/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观察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在生产现场和库房确认是否有从非合格供方处采购的材料。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sym w:font="Wingdings" w:char="00FE"/>
            </w:r>
            <w:r>
              <w:rPr>
                <w:rFonts w:hint="eastAsia"/>
                <w:u w:val="single"/>
              </w:rPr>
              <w:t xml:space="preserve">没有   </w:t>
            </w:r>
            <w:r>
              <w:rPr>
                <w:rFonts w:hint="eastAsia"/>
                <w:u w:val="single"/>
              </w:rPr>
              <w:sym w:font="Wingdings" w:char="00A8"/>
            </w:r>
            <w:r>
              <w:rPr>
                <w:rFonts w:hint="eastAsia"/>
                <w:u w:val="single"/>
              </w:rPr>
              <w:t xml:space="preserve">有，说明： </w:t>
            </w:r>
            <w:r>
              <w:rPr>
                <w:rFonts w:hint="eastAsia"/>
              </w:rPr>
              <w:t xml:space="preserve">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  <w:lang w:val="en-US" w:eastAsia="zh-CN"/>
              </w:rPr>
              <w:t>冷藏库中存放有：少量鲜肉，冷藏库温度3.3℃；冷冻库中存放有少量冻肉：温度：-18.0℃。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9" w:type="dxa"/>
            <w:gridSpan w:val="2"/>
            <w:vMerge w:val="restart"/>
          </w:tcPr>
          <w:p>
            <w:r>
              <w:rPr>
                <w:rFonts w:hint="eastAsia"/>
              </w:rPr>
              <w:t>监视和测量设备</w:t>
            </w:r>
          </w:p>
        </w:tc>
        <w:tc>
          <w:tcPr>
            <w:tcW w:w="935" w:type="dxa"/>
            <w:vMerge w:val="restart"/>
          </w:tcPr>
          <w:p>
            <w:r>
              <w:rPr>
                <w:rFonts w:hint="eastAsia"/>
              </w:rPr>
              <w:t>F8.7</w:t>
            </w:r>
          </w:p>
          <w:p/>
        </w:tc>
        <w:tc>
          <w:tcPr>
            <w:tcW w:w="731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2"/>
              </w:rPr>
              <w:t>监视和测量设备控制程序》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手册第8.7条款</w:t>
            </w:r>
          </w:p>
        </w:tc>
        <w:tc>
          <w:tcPr>
            <w:tcW w:w="1134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符合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不符合</w:t>
            </w: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符合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不符合</w:t>
            </w: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  <w:rPr>
                <w:color w:val="FF0000"/>
              </w:rPr>
            </w:pPr>
          </w:p>
          <w:p>
            <w:pPr>
              <w:pStyle w:val="2"/>
              <w:ind w:left="0" w:firstLine="0" w:firstLineChars="0"/>
            </w:pPr>
          </w:p>
          <w:p>
            <w:pPr>
              <w:pStyle w:val="2"/>
              <w:ind w:left="0" w:firstLine="0" w:firstLineChars="0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159" w:type="dxa"/>
            <w:gridSpan w:val="2"/>
            <w:vMerge w:val="continue"/>
          </w:tcPr>
          <w:p/>
        </w:tc>
        <w:tc>
          <w:tcPr>
            <w:tcW w:w="935" w:type="dxa"/>
            <w:vMerge w:val="continue"/>
          </w:tcPr>
          <w:p/>
        </w:tc>
        <w:tc>
          <w:tcPr>
            <w:tcW w:w="731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了解用于食品安全检测的监视和测量资源种类：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计量器具 ：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压力表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温度计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酸度计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干燥箱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水分测定仪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电子称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分光光度计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气相色谱仪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液相色谱仪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恒温培养箱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农残检测仪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监视设备 ：不涉及</w:t>
            </w:r>
          </w:p>
          <w:p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定期验证的计划，频次：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r>
              <w:rPr>
                <w:rFonts w:hint="eastAsia"/>
              </w:rPr>
              <w:t>查看《计量器具台账》，抽查外部检定或校准情况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2"/>
              <w:gridCol w:w="2991"/>
              <w:gridCol w:w="1387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2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991" w:type="dxa"/>
                </w:tcPr>
                <w:p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1387" w:type="dxa"/>
                </w:tcPr>
                <w:p>
                  <w:r>
                    <w:rPr>
                      <w:rFonts w:hint="eastAsia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2" w:type="dxa"/>
                </w:tcPr>
                <w:p>
                  <w:r>
                    <w:rPr>
                      <w:rFonts w:hint="eastAsia"/>
                    </w:rPr>
                    <w:t>电子秤</w:t>
                  </w:r>
                </w:p>
              </w:tc>
              <w:tc>
                <w:tcPr>
                  <w:tcW w:w="2991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ZD202111020157</w:t>
                  </w:r>
                </w:p>
              </w:tc>
              <w:tc>
                <w:tcPr>
                  <w:tcW w:w="138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2022-11-01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分拣区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2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中心</w:t>
                  </w:r>
                  <w:r>
                    <w:rPr>
                      <w:rFonts w:hint="eastAsia"/>
                    </w:rPr>
                    <w:t>温度计</w:t>
                  </w:r>
                </w:p>
              </w:tc>
              <w:tc>
                <w:tcPr>
                  <w:tcW w:w="2991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ZD202111020158</w:t>
                  </w:r>
                </w:p>
              </w:tc>
              <w:tc>
                <w:tcPr>
                  <w:tcW w:w="1387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2022-11-01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分拣区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2" w:type="dxa"/>
                </w:tcPr>
                <w:p/>
              </w:tc>
              <w:tc>
                <w:tcPr>
                  <w:tcW w:w="2991" w:type="dxa"/>
                </w:tcPr>
                <w:p/>
              </w:tc>
              <w:tc>
                <w:tcPr>
                  <w:tcW w:w="1387" w:type="dxa"/>
                </w:tcPr>
                <w:p/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</w:tr>
          </w:tbl>
          <w:p>
            <w:pPr>
              <w:pStyle w:val="2"/>
            </w:pPr>
          </w:p>
          <w:p>
            <w:pPr>
              <w:pStyle w:val="2"/>
            </w:pPr>
          </w:p>
          <w:p>
            <w:r>
              <w:rPr>
                <w:rFonts w:hint="eastAsia"/>
              </w:rPr>
              <w:t>抽查内部校准情况；抽查《内部校准计划》  《校准规程》  《校准记录》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430"/>
              <w:gridCol w:w="2444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430" w:type="dxa"/>
                </w:tcPr>
                <w:p>
                  <w:r>
                    <w:rPr>
                      <w:rFonts w:hint="eastAsia"/>
                    </w:rPr>
                    <w:t>校准日期</w:t>
                  </w:r>
                </w:p>
              </w:tc>
              <w:tc>
                <w:tcPr>
                  <w:tcW w:w="2444" w:type="dxa"/>
                </w:tcPr>
                <w:p>
                  <w:r>
                    <w:rPr>
                      <w:rFonts w:hint="eastAsia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冷藏库冷冻库温度显示表</w:t>
                  </w:r>
                </w:p>
              </w:tc>
              <w:tc>
                <w:tcPr>
                  <w:tcW w:w="243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2022.09.20</w:t>
                  </w:r>
                </w:p>
              </w:tc>
              <w:tc>
                <w:tcPr>
                  <w:tcW w:w="244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2023-09-20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分拣区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仓库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430" w:type="dxa"/>
                </w:tcPr>
                <w:p/>
              </w:tc>
              <w:tc>
                <w:tcPr>
                  <w:tcW w:w="2444" w:type="dxa"/>
                </w:tcPr>
                <w:p/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仓库</w:t>
                  </w:r>
                </w:p>
              </w:tc>
            </w:tr>
          </w:tbl>
          <w:p>
            <w:pPr>
              <w:pStyle w:val="2"/>
            </w:pPr>
          </w:p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标准溶液控制：（不适用）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/>
          <w:p>
            <w:r>
              <w:t>在FSMS中</w:t>
            </w:r>
            <w:r>
              <w:rPr>
                <w:rFonts w:hint="eastAsia"/>
              </w:rPr>
              <w:t>是否使用</w:t>
            </w:r>
            <w:r>
              <w:t>用于监视和测量的软件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否</w:t>
            </w:r>
          </w:p>
          <w:p>
            <w:r>
              <w:t>在使用前应由组织、软件供应商或第三方进行验证。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</w:p>
          <w:p>
            <w:r>
              <w:t>组织应保持验证活动的文件化信息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是否</w:t>
            </w:r>
            <w:r>
              <w:t>及时更新软件。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</w:p>
          <w:p>
            <w:r>
              <w:rPr>
                <w:rFonts w:hint="eastAsia"/>
              </w:rPr>
              <w:t>当</w:t>
            </w:r>
            <w:r>
              <w:t>发生变更</w:t>
            </w:r>
            <w:r>
              <w:rPr>
                <w:rFonts w:hint="eastAsia"/>
              </w:rPr>
              <w:t>时，</w:t>
            </w:r>
            <w:r>
              <w:t>包括对商用现成软件的软件配置/修改，应在实施前对其进行授权、记录和验证。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86" w:hRule="atLeast"/>
        </w:trPr>
        <w:tc>
          <w:tcPr>
            <w:tcW w:w="2151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与 PRP、危害控制计划有关的验证</w:t>
            </w:r>
            <w:r>
              <w:rPr>
                <w:rFonts w:hint="eastAsia"/>
              </w:rPr>
              <w:br w:type="textWrapping"/>
            </w:r>
          </w:p>
          <w:p/>
        </w:tc>
        <w:tc>
          <w:tcPr>
            <w:tcW w:w="935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F8.8.1</w:t>
            </w:r>
          </w:p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《验证</w:t>
            </w:r>
            <w:r>
              <w:rPr>
                <w:rFonts w:hint="eastAsia"/>
                <w:lang w:val="en-US" w:eastAsia="zh-CN"/>
              </w:rPr>
              <w:t>控制</w:t>
            </w:r>
            <w:r>
              <w:rPr>
                <w:rFonts w:hint="eastAsia"/>
              </w:rPr>
              <w:t>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17" w:hRule="atLeast"/>
        </w:trPr>
        <w:tc>
          <w:tcPr>
            <w:tcW w:w="2151" w:type="dxa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组织建立、实施和保持验证活动，见“食品安全小组审核记录”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5"/>
              <w:gridCol w:w="1700"/>
              <w:gridCol w:w="2299"/>
              <w:gridCol w:w="1240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95" w:type="dxa"/>
                </w:tcPr>
                <w:p>
                  <w:r>
                    <w:rPr>
                      <w:rFonts w:hint="eastAsia"/>
                    </w:rPr>
                    <w:t>目的</w:t>
                  </w:r>
                </w:p>
              </w:tc>
              <w:tc>
                <w:tcPr>
                  <w:tcW w:w="1700" w:type="dxa"/>
                </w:tcPr>
                <w:p>
                  <w:r>
                    <w:rPr>
                      <w:rFonts w:hint="eastAsia"/>
                    </w:rPr>
                    <w:t>方法</w:t>
                  </w:r>
                </w:p>
              </w:tc>
              <w:tc>
                <w:tcPr>
                  <w:tcW w:w="2299" w:type="dxa"/>
                </w:tcPr>
                <w:p>
                  <w:r>
                    <w:rPr>
                      <w:rFonts w:hint="eastAsia"/>
                    </w:rPr>
                    <w:t>频次</w:t>
                  </w:r>
                </w:p>
              </w:tc>
              <w:tc>
                <w:tcPr>
                  <w:tcW w:w="1240" w:type="dxa"/>
                </w:tcPr>
                <w:p>
                  <w:r>
                    <w:rPr>
                      <w:rFonts w:hint="eastAsia"/>
                    </w:rPr>
                    <w:t>职责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5" w:type="dxa"/>
                </w:tcPr>
                <w:p>
                  <w:r>
                    <w:rPr>
                      <w:rFonts w:hint="eastAsia"/>
                    </w:rPr>
                    <w:t>PRP已实施且有效</w:t>
                  </w:r>
                </w:p>
              </w:tc>
              <w:tc>
                <w:tcPr>
                  <w:tcW w:w="170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/>
              </w:tc>
              <w:tc>
                <w:tcPr>
                  <w:tcW w:w="1240" w:type="dxa"/>
                </w:tcPr>
                <w:p/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控制有效  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95" w:type="dxa"/>
                </w:tcPr>
                <w:p>
                  <w:r>
                    <w:rPr>
                      <w:rFonts w:hint="eastAsia"/>
                    </w:rPr>
                    <w:t>危害控制计划实施有效</w:t>
                  </w:r>
                </w:p>
              </w:tc>
              <w:tc>
                <w:tcPr>
                  <w:tcW w:w="170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/>
              </w:tc>
              <w:tc>
                <w:tcPr>
                  <w:tcW w:w="1240" w:type="dxa"/>
                </w:tcPr>
                <w:p/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控制有效  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5" w:type="dxa"/>
                </w:tcPr>
                <w:p>
                  <w:r>
                    <w:rPr>
                      <w:rFonts w:hint="eastAsia"/>
                    </w:rPr>
                    <w:t>危害水平在确定的可接受水平之内</w:t>
                  </w:r>
                </w:p>
              </w:tc>
              <w:tc>
                <w:tcPr>
                  <w:tcW w:w="170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/>
              </w:tc>
              <w:tc>
                <w:tcPr>
                  <w:tcW w:w="1240" w:type="dxa"/>
                </w:tcPr>
                <w:p/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控制有效  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5" w:type="dxa"/>
                </w:tcPr>
                <w:p>
                  <w:r>
                    <w:rPr>
                      <w:rFonts w:hint="eastAsia"/>
                    </w:rPr>
                    <w:t>危害分析输入的更新</w:t>
                  </w:r>
                </w:p>
              </w:tc>
              <w:tc>
                <w:tcPr>
                  <w:tcW w:w="170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/>
              </w:tc>
              <w:tc>
                <w:tcPr>
                  <w:tcW w:w="1240" w:type="dxa"/>
                </w:tcPr>
                <w:p/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控制有效  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5" w:type="dxa"/>
                </w:tcPr>
                <w:p>
                  <w:r>
                    <w:rPr>
                      <w:rFonts w:hint="eastAsia"/>
                    </w:rPr>
                    <w:t>组织确定的其他措施得以实施且有效</w:t>
                  </w:r>
                </w:p>
              </w:tc>
              <w:tc>
                <w:tcPr>
                  <w:tcW w:w="170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/>
              </w:tc>
              <w:tc>
                <w:tcPr>
                  <w:tcW w:w="1240" w:type="dxa"/>
                </w:tcPr>
                <w:p/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控制有效  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控制无效</w:t>
                  </w:r>
                </w:p>
              </w:tc>
            </w:tr>
          </w:tbl>
          <w:p/>
          <w:p>
            <w:r>
              <w:rPr>
                <w:rFonts w:hint="eastAsia"/>
              </w:rPr>
              <w:t>组织应确保验证活动不是由负责同一活动监控的人员进行的。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r>
              <w:rPr>
                <w:rFonts w:hint="eastAsia"/>
              </w:rPr>
              <w:t xml:space="preserve">见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《验证报告》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《检验报告》</w:t>
            </w:r>
          </w:p>
          <w:p>
            <w:r>
              <w:rPr>
                <w:rFonts w:hint="eastAsia"/>
              </w:rPr>
              <w:t>抽取作业环境（人员、空气、工器具、接触面等）检验相关记录名称：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>不涉及  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</w:rPr>
                    <w:t>关键特性要求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□合格 □不合格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>
            <w:r>
              <w:rPr>
                <w:rFonts w:hint="eastAsia"/>
              </w:rPr>
              <w:t>主要以清洁消毒为主，见配送部审核记录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抽取生产用水、蒸汽、冰检验相关记录名称：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不涉及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2319"/>
              <w:gridCol w:w="906"/>
              <w:gridCol w:w="1952"/>
              <w:gridCol w:w="997"/>
              <w:gridCol w:w="2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319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906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952" w:type="dxa"/>
                </w:tcPr>
                <w:p>
                  <w:r>
                    <w:rPr>
                      <w:rFonts w:hint="eastAsia"/>
                    </w:rPr>
                    <w:t>关键特性要求</w:t>
                  </w:r>
                </w:p>
              </w:tc>
              <w:tc>
                <w:tcPr>
                  <w:tcW w:w="997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102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2319" w:type="dxa"/>
                </w:tcPr>
                <w:p/>
              </w:tc>
              <w:tc>
                <w:tcPr>
                  <w:tcW w:w="906" w:type="dxa"/>
                </w:tcPr>
                <w:p/>
              </w:tc>
              <w:tc>
                <w:tcPr>
                  <w:tcW w:w="1952" w:type="dxa"/>
                </w:tcPr>
                <w:p/>
              </w:tc>
              <w:tc>
                <w:tcPr>
                  <w:tcW w:w="997" w:type="dxa"/>
                </w:tcPr>
                <w:p/>
              </w:tc>
              <w:tc>
                <w:tcPr>
                  <w:tcW w:w="2102" w:type="dxa"/>
                </w:tcPr>
                <w:p>
                  <w:r>
                    <w:rPr>
                      <w:rFonts w:hint="eastAsia"/>
                    </w:rPr>
                    <w:t>□合格 □不合格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2319" w:type="dxa"/>
                </w:tcPr>
                <w:p/>
              </w:tc>
              <w:tc>
                <w:tcPr>
                  <w:tcW w:w="906" w:type="dxa"/>
                </w:tcPr>
                <w:p/>
              </w:tc>
              <w:tc>
                <w:tcPr>
                  <w:tcW w:w="1952" w:type="dxa"/>
                </w:tcPr>
                <w:p/>
              </w:tc>
              <w:tc>
                <w:tcPr>
                  <w:tcW w:w="997" w:type="dxa"/>
                </w:tcPr>
                <w:p/>
              </w:tc>
              <w:tc>
                <w:tcPr>
                  <w:tcW w:w="2102" w:type="dxa"/>
                </w:tcPr>
                <w:p>
                  <w:r>
                    <w:rPr>
                      <w:rFonts w:hint="eastAsia"/>
                    </w:rPr>
                    <w:t>□合格 □不合格</w:t>
                  </w:r>
                </w:p>
              </w:tc>
            </w:tr>
          </w:tbl>
          <w:p>
            <w:pPr>
              <w:ind w:firstLine="420" w:firstLineChars="200"/>
              <w:rPr>
                <w:u w:val="single"/>
              </w:rPr>
            </w:pPr>
            <w:r>
              <w:rPr>
                <w:rFonts w:hint="eastAsia"/>
                <w:u w:val="single"/>
              </w:rPr>
              <w:t>水主要用于清洁消毒用；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当体系验证是基于终产品的测试，且测试的样品不符合食品安全危害的可接受水平时，受影响批次的产品应按照潜在不安全产品处置。未发现不安全产品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24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组织有进行PRP、OPRP、HACCP计划的验证，见“食品安全小组审核记录”；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因组织的经营特点，产品的食品安全特性验证主要通过对供方控制，采取索证以及产品合格证明文件的方式进行控制，见“7.1.6条款审核记录”，</w:t>
            </w:r>
          </w:p>
          <w:p/>
          <w:p>
            <w:pPr>
              <w:pStyle w:val="2"/>
              <w:ind w:left="0" w:firstLine="422"/>
            </w:pPr>
            <w:r>
              <w:rPr>
                <w:rFonts w:hint="eastAsia"/>
                <w:b/>
                <w:bCs/>
                <w:szCs w:val="21"/>
                <w:u w:val="single"/>
              </w:rPr>
              <w:t>提供有产品到货检验表，主要检查是否从合格供方采购，进货验收主要以感官检验为主，如蔬菜类是否有腐烂变质、表皮皮损；肉类新鲜程度；预包装类包装规格是否符合要求，抽查2021-09送货验收单，结论：无异常。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86" w:hRule="atLeast"/>
        </w:trPr>
        <w:tc>
          <w:tcPr>
            <w:tcW w:w="2151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验证活动结果的分析</w:t>
            </w:r>
          </w:p>
        </w:tc>
        <w:tc>
          <w:tcPr>
            <w:tcW w:w="935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F8.8.2</w:t>
            </w:r>
          </w:p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《验证和确认控制程序》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szCs w:val="22"/>
              </w:rPr>
              <w:t>《</w:t>
            </w:r>
            <w:r>
              <w:rPr>
                <w:rFonts w:hint="eastAsia"/>
              </w:rPr>
              <w:t>验证</w:t>
            </w:r>
            <w:r>
              <w:rPr>
                <w:rFonts w:hint="eastAsia"/>
                <w:lang w:val="en-US" w:eastAsia="zh-CN"/>
              </w:rPr>
              <w:t>控制</w:t>
            </w:r>
            <w:r>
              <w:rPr>
                <w:rFonts w:hint="eastAsia"/>
              </w:rPr>
              <w:t>程序</w:t>
            </w:r>
            <w:r>
              <w:rPr>
                <w:rFonts w:hint="eastAsia"/>
                <w:szCs w:val="22"/>
              </w:rPr>
              <w:t>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996" w:hRule="atLeast"/>
        </w:trPr>
        <w:tc>
          <w:tcPr>
            <w:tcW w:w="2151" w:type="dxa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食品安全小组对验证结果进行分析，并将其作为食品安全管理体系绩效评估的输入</w:t>
            </w:r>
          </w:p>
          <w:p>
            <w:pPr>
              <w:adjustRightInd w:val="0"/>
              <w:snapToGrid w:val="0"/>
              <w:spacing w:line="240" w:lineRule="atLeast"/>
            </w:pPr>
          </w:p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  <w:u w:val="single"/>
              </w:rPr>
              <w:t>《验证结果分析报告》，202</w:t>
            </w:r>
            <w:r>
              <w:rPr>
                <w:rFonts w:hint="eastAsia"/>
                <w:u w:val="single"/>
                <w:lang w:val="en-US" w:eastAsia="zh-CN"/>
              </w:rPr>
              <w:t>2-08-10</w:t>
            </w:r>
            <w:r>
              <w:rPr>
                <w:rFonts w:hint="eastAsia"/>
                <w:u w:val="single"/>
              </w:rPr>
              <w:t>，</w:t>
            </w:r>
            <w:r>
              <w:rPr>
                <w:rFonts w:hint="eastAsia"/>
              </w:rPr>
              <w:t>结论：控制有效。</w:t>
            </w:r>
          </w:p>
          <w:p>
            <w:pPr>
              <w:pStyle w:val="2"/>
              <w:ind w:left="0" w:firstLine="0" w:firstLineChars="0"/>
            </w:pP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不合格产品和过程的控制</w:t>
            </w:r>
          </w:p>
          <w:p/>
        </w:tc>
        <w:tc>
          <w:tcPr>
            <w:tcW w:w="94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F8.9.1</w:t>
            </w:r>
          </w:p>
          <w:p/>
        </w:tc>
        <w:tc>
          <w:tcPr>
            <w:tcW w:w="717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2"/>
              </w:rPr>
              <w:t>不合格控制程序》</w:t>
            </w:r>
            <w:r>
              <w:rPr>
                <w:rFonts w:hint="eastAsia"/>
              </w:rPr>
              <w:t>、</w:t>
            </w:r>
            <w:r>
              <w:rPr/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2"/>
              </w:rPr>
              <w:t>纠正和预防措施控制程序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49" w:type="dxa"/>
            <w:gridSpan w:val="2"/>
            <w:vMerge w:val="continue"/>
            <w:shd w:val="clear" w:color="auto" w:fill="auto"/>
          </w:tcPr>
          <w:p/>
        </w:tc>
        <w:tc>
          <w:tcPr>
            <w:tcW w:w="717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进行评估OPRP和CCPs监测的数据，如有问题：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发起纠正的指定人员</w:t>
            </w:r>
            <w:r>
              <w:rPr>
                <w:rFonts w:hint="eastAsia"/>
                <w:u w:val="single"/>
              </w:rPr>
              <w:t xml:space="preserve">    食品安全小组组长  </w:t>
            </w:r>
          </w:p>
          <w:p>
            <w:r>
              <w:rPr>
                <w:rFonts w:hint="eastAsia"/>
              </w:rPr>
              <w:t>发起纠正措施的指定人员</w:t>
            </w:r>
            <w:r>
              <w:rPr>
                <w:rFonts w:hint="eastAsia"/>
                <w:u w:val="single"/>
              </w:rPr>
              <w:t xml:space="preserve">   食品安全小组组长   </w:t>
            </w:r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纠正</w:t>
            </w:r>
          </w:p>
        </w:tc>
        <w:tc>
          <w:tcPr>
            <w:tcW w:w="949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F8.9.2</w:t>
            </w:r>
          </w:p>
        </w:tc>
        <w:tc>
          <w:tcPr>
            <w:tcW w:w="717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2"/>
              </w:rPr>
              <w:t>不合格控制程序》</w:t>
            </w:r>
            <w:r>
              <w:rPr>
                <w:rFonts w:hint="eastAsia"/>
              </w:rPr>
              <w:t>、</w:t>
            </w:r>
            <w:r>
              <w:rPr/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2"/>
              </w:rPr>
              <w:t>纠正和预防措施控制程序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审核周期内未发生偏离OPRP，或者OPRP失控的控制。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640"/>
              <w:gridCol w:w="1713"/>
              <w:gridCol w:w="1687"/>
              <w:gridCol w:w="1400"/>
              <w:gridCol w:w="15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t>不合格的性质</w:t>
                  </w:r>
                </w:p>
              </w:tc>
              <w:tc>
                <w:tcPr>
                  <w:tcW w:w="1713" w:type="dxa"/>
                </w:tcPr>
                <w:p>
                  <w:r>
                    <w:rPr>
                      <w:rFonts w:hint="eastAsia"/>
                    </w:rPr>
                    <w:t>不合格描述</w:t>
                  </w:r>
                </w:p>
              </w:tc>
              <w:tc>
                <w:tcPr>
                  <w:tcW w:w="1687" w:type="dxa"/>
                </w:tcPr>
                <w:p>
                  <w:r>
                    <w:rPr>
                      <w:rFonts w:hint="eastAsia"/>
                    </w:rPr>
                    <w:t>不合格的原因</w:t>
                  </w:r>
                </w:p>
              </w:tc>
              <w:tc>
                <w:tcPr>
                  <w:tcW w:w="1400" w:type="dxa"/>
                </w:tcPr>
                <w:p>
                  <w:r>
                    <w:rPr>
                      <w:rFonts w:hint="eastAsia"/>
                    </w:rPr>
                    <w:t>不合格的后果</w:t>
                  </w:r>
                </w:p>
              </w:tc>
              <w:tc>
                <w:tcPr>
                  <w:tcW w:w="1538" w:type="dxa"/>
                </w:tcPr>
                <w:p>
                  <w:r>
                    <w:rPr>
                      <w:rFonts w:hint="eastAsia"/>
                    </w:rPr>
                    <w:t>纠正方法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713" w:type="dxa"/>
                </w:tcPr>
                <w:p/>
              </w:tc>
              <w:tc>
                <w:tcPr>
                  <w:tcW w:w="1687" w:type="dxa"/>
                </w:tcPr>
                <w:p/>
              </w:tc>
              <w:tc>
                <w:tcPr>
                  <w:tcW w:w="1400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713" w:type="dxa"/>
                </w:tcPr>
                <w:p/>
              </w:tc>
              <w:tc>
                <w:tcPr>
                  <w:tcW w:w="1687" w:type="dxa"/>
                </w:tcPr>
                <w:p/>
              </w:tc>
              <w:tc>
                <w:tcPr>
                  <w:tcW w:w="1400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</w:tbl>
          <w:p>
            <w:r>
              <w:rPr>
                <w:rFonts w:hint="eastAsia"/>
                <w:u w:val="single"/>
              </w:rPr>
              <w:t>见《不合格报告/记录》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纠正措施</w:t>
            </w:r>
          </w:p>
        </w:tc>
        <w:tc>
          <w:tcPr>
            <w:tcW w:w="935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F8.9.3</w:t>
            </w:r>
          </w:p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《纠正和预防措施控制程序》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不符合的来源：</w:t>
            </w:r>
          </w:p>
          <w:p>
            <w:pPr>
              <w:rPr>
                <w:szCs w:val="22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超出操作限值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超出关键限值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szCs w:val="22"/>
              </w:rPr>
              <w:t xml:space="preserve">未发生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审核周期内未发生</w:t>
            </w:r>
            <w:r>
              <w:rPr>
                <w:rFonts w:hint="eastAsia"/>
                <w:u w:val="single"/>
              </w:rPr>
              <w:t xml:space="preserve">  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</w:tbl>
          <w:p/>
          <w:p/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t>潜在不安全产品的处置</w:t>
            </w:r>
          </w:p>
        </w:tc>
        <w:tc>
          <w:tcPr>
            <w:tcW w:w="935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F8.9.4 </w:t>
            </w:r>
          </w:p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《不合格控制程序》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组织采取措施防止潜在的不安全产品进入食物链，对于放行的产品应保证：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相关的食品安全危害降低到规定的可接受水平；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相关的食品安全危害将在进入食品链之前降低到可接受的水平；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尽管不符合，但产品仍能满足规定的相关食品安全危害的可接受水平。</w:t>
            </w:r>
          </w:p>
          <w:p/>
          <w:p>
            <w:r>
              <w:rPr>
                <w:rFonts w:hint="eastAsia"/>
              </w:rPr>
              <w:t>组织将已识别为潜在不安全的产品保留在其控制之中，直到产品经过评估并确定处置方法为止。</w:t>
            </w:r>
          </w:p>
          <w:p>
            <w:r>
              <w:rPr>
                <w:rFonts w:hint="eastAsia"/>
              </w:rPr>
              <w:t>如果随后确定离开组织控制的产品不安全，组织通知相关相关方并启动撤回/召回。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近一年是否有来自相关方的投诉，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有发生，说明：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>
            <w:r>
              <w:rPr>
                <w:rFonts w:hint="eastAsia"/>
              </w:rPr>
              <w:t xml:space="preserve">处置潜在不安全产品的授权人——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szCs w:val="22"/>
                <w:u w:val="single"/>
              </w:rPr>
              <w:t xml:space="preserve">   食品安全小组组长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。</w:t>
            </w:r>
          </w:p>
          <w:p/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2159" w:type="dxa"/>
            <w:gridSpan w:val="2"/>
            <w:vMerge w:val="restart"/>
          </w:tcPr>
          <w:p>
            <w:r>
              <w:t>放行的评价</w:t>
            </w:r>
          </w:p>
        </w:tc>
        <w:tc>
          <w:tcPr>
            <w:tcW w:w="935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F8.9.4.2</w:t>
            </w:r>
          </w:p>
          <w:p>
            <w:r>
              <w:rPr>
                <w:rFonts w:hint="eastAsia"/>
                <w:lang w:val="en-US" w:eastAsia="zh-CN"/>
              </w:rPr>
              <w:t>F8.5.4.5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31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手册8.9条、《产品检验控制程序》或《服务放行控制程序》  执行标准（接收准则）：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原辅料、食品包装材料验收要求：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2919"/>
              <w:gridCol w:w="2988"/>
              <w:gridCol w:w="18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放行类型</w:t>
                  </w:r>
                </w:p>
              </w:tc>
              <w:tc>
                <w:tcPr>
                  <w:tcW w:w="291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抽样要求</w:t>
                  </w:r>
                </w:p>
              </w:tc>
              <w:tc>
                <w:tcPr>
                  <w:tcW w:w="298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验收要求或规范文件名称</w:t>
                  </w:r>
                </w:p>
              </w:tc>
              <w:tc>
                <w:tcPr>
                  <w:tcW w:w="1802" w:type="dxa"/>
                </w:tcPr>
                <w:p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原辅料</w:t>
                  </w:r>
                </w:p>
              </w:tc>
              <w:tc>
                <w:tcPr>
                  <w:tcW w:w="291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100%感官检验、索证，查看上市凭证</w:t>
                  </w:r>
                </w:p>
              </w:tc>
              <w:tc>
                <w:tcPr>
                  <w:tcW w:w="298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感观正常、外包装完好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索证</w:t>
                  </w:r>
                </w:p>
              </w:tc>
              <w:tc>
                <w:tcPr>
                  <w:tcW w:w="1802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19" w:type="dxa"/>
                </w:tcPr>
                <w:p>
                  <w:pPr>
                    <w:rPr>
                      <w:color w:val="000000" w:themeColor="text1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88" w:type="dxa"/>
                </w:tcPr>
                <w:p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1802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1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88" w:type="dxa"/>
                </w:tcPr>
                <w:p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1802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/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必要时制定食品添加剂控制措施：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否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不涉及</w:t>
            </w:r>
          </w:p>
        </w:tc>
        <w:tc>
          <w:tcPr>
            <w:tcW w:w="1134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>符合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59" w:type="dxa"/>
            <w:gridSpan w:val="2"/>
            <w:vMerge w:val="continue"/>
          </w:tcPr>
          <w:p/>
        </w:tc>
        <w:tc>
          <w:tcPr>
            <w:tcW w:w="935" w:type="dxa"/>
            <w:vMerge w:val="continue"/>
          </w:tcPr>
          <w:p/>
        </w:tc>
        <w:tc>
          <w:tcPr>
            <w:tcW w:w="731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放行包括：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服务放行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原材料进货检验表</w:t>
            </w:r>
            <w:r>
              <w:rPr>
                <w:rFonts w:hint="eastAsia"/>
                <w:u w:val="single"/>
              </w:rPr>
              <w:t xml:space="preserve">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7"/>
              <w:gridCol w:w="1669"/>
              <w:gridCol w:w="1175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69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1175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90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2022-04-11</w:t>
                  </w:r>
                </w:p>
              </w:tc>
              <w:tc>
                <w:tcPr>
                  <w:tcW w:w="166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大米</w:t>
                  </w:r>
                </w:p>
              </w:tc>
              <w:tc>
                <w:tcPr>
                  <w:tcW w:w="1175" w:type="dxa"/>
                </w:tcPr>
                <w:p>
                  <w:r>
                    <w:rPr>
                      <w:rFonts w:hint="eastAsia"/>
                    </w:rPr>
                    <w:t>100%感官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合格供方、外观完好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2022-03-12</w:t>
                  </w:r>
                </w:p>
              </w:tc>
              <w:tc>
                <w:tcPr>
                  <w:tcW w:w="166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盛洲食物油</w:t>
                  </w: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100%感官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合格供方、外观完好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2022-05-16</w:t>
                  </w:r>
                </w:p>
              </w:tc>
              <w:tc>
                <w:tcPr>
                  <w:tcW w:w="166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调味料-海天蚝油</w:t>
                  </w: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100%感官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合格供方、外观完好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2022-06-12</w:t>
                  </w:r>
                </w:p>
              </w:tc>
              <w:tc>
                <w:tcPr>
                  <w:tcW w:w="1669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冻大骨</w:t>
                  </w: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100%感官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合格供方、外观完好、检疫合格证明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2022-06-14</w:t>
                  </w:r>
                </w:p>
              </w:tc>
              <w:tc>
                <w:tcPr>
                  <w:tcW w:w="1669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鲳鱼</w:t>
                  </w: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100%感官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合格供方、外观完好、检验报告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完好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7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669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hint="default"/>
                <w:color w:val="FF0000"/>
                <w:lang w:val="en-US"/>
              </w:rPr>
            </w:pPr>
            <w:bookmarkStart w:id="0" w:name="_GoBack"/>
            <w:r>
              <w:rPr>
                <w:rFonts w:hint="eastAsia"/>
                <w:color w:val="FF0000"/>
                <w:lang w:val="en-US" w:eastAsia="zh-CN"/>
              </w:rPr>
              <w:t>另抽查2022-08-31批次进货验收的蔬菜，未提供公司每批进行农残检测的证据，不符合《HACCP计划》OPRP1的行动准则的要求。</w:t>
            </w:r>
          </w:p>
          <w:bookmarkEnd w:id="0"/>
          <w:p>
            <w:pPr>
              <w:rPr>
                <w:u w:val="single"/>
              </w:rPr>
            </w:pPr>
            <w:r>
              <w:rPr>
                <w:rFonts w:hint="eastAsia"/>
              </w:rPr>
              <w:t>抽取半成品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《现场感官检验为主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845"/>
              <w:gridCol w:w="1139"/>
              <w:gridCol w:w="1856"/>
              <w:gridCol w:w="1390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845" w:type="dxa"/>
                </w:tcPr>
                <w:p>
                  <w:r>
                    <w:rPr>
                      <w:rFonts w:hint="eastAsia"/>
                    </w:rPr>
                    <w:t>半成品名称/批次</w:t>
                  </w:r>
                </w:p>
              </w:tc>
              <w:tc>
                <w:tcPr>
                  <w:tcW w:w="1139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856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390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845" w:type="dxa"/>
                </w:tcPr>
                <w:p/>
              </w:tc>
              <w:tc>
                <w:tcPr>
                  <w:tcW w:w="1139" w:type="dxa"/>
                </w:tcPr>
                <w:p/>
              </w:tc>
              <w:tc>
                <w:tcPr>
                  <w:tcW w:w="1856" w:type="dxa"/>
                </w:tcPr>
                <w:p/>
              </w:tc>
              <w:tc>
                <w:tcPr>
                  <w:tcW w:w="1390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845" w:type="dxa"/>
                </w:tcPr>
                <w:p/>
              </w:tc>
              <w:tc>
                <w:tcPr>
                  <w:tcW w:w="1139" w:type="dxa"/>
                </w:tcPr>
                <w:p/>
              </w:tc>
              <w:tc>
                <w:tcPr>
                  <w:tcW w:w="1856" w:type="dxa"/>
                </w:tcPr>
                <w:p/>
              </w:tc>
              <w:tc>
                <w:tcPr>
                  <w:tcW w:w="1390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抽取成品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 xml:space="preserve">《    </w:t>
            </w:r>
            <w:r>
              <w:rPr>
                <w:rFonts w:hint="eastAsia"/>
                <w:u w:val="single"/>
                <w:lang w:val="en-US" w:eastAsia="zh-CN"/>
              </w:rPr>
              <w:t>同原材料检验，按照客户订单进行分拣配送，以客户接受为主，主要体现在送货单上，随机抽取：</w:t>
            </w:r>
            <w:r>
              <w:rPr>
                <w:rFonts w:hint="eastAsia"/>
                <w:u w:val="single"/>
              </w:rPr>
              <w:t xml:space="preserve">   》</w:t>
            </w:r>
          </w:p>
          <w:tbl>
            <w:tblPr>
              <w:tblStyle w:val="9"/>
              <w:tblW w:w="92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939"/>
              <w:gridCol w:w="2105"/>
              <w:gridCol w:w="1566"/>
              <w:gridCol w:w="22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939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291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2021-12-03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蔬菜类（小白菜、南瓜、生菜、大葱等）；水产品（鱿鱼、巴沙鱼、秋刀鱼、白鲨鱼、虾等）、冻鸡腿等</w:t>
                  </w:r>
                </w:p>
              </w:tc>
              <w:tc>
                <w:tcPr>
                  <w:tcW w:w="93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蔬菜类：外观无腐烂变质客户；水产类：新鲜、，从合格供方采购；禽肉类：检疫合格证明等，客户签收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符合，客户签收，未见异常</w:t>
                  </w:r>
                </w:p>
              </w:tc>
              <w:tc>
                <w:tcPr>
                  <w:tcW w:w="229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93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2291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2022-03-01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海南文昌鸡、东山羊肉、肋排等</w:t>
                  </w:r>
                </w:p>
              </w:tc>
              <w:tc>
                <w:tcPr>
                  <w:tcW w:w="939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数量、外观完好、客户是否签收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5.3kg，5kg，2kg，外观完好，客户签收：张***</w:t>
                  </w:r>
                </w:p>
              </w:tc>
              <w:tc>
                <w:tcPr>
                  <w:tcW w:w="2291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2022-03-05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冰大鸭胗，猪肉沫、精品五花肉、三黄鸡、东山羊肉等</w:t>
                  </w:r>
                </w:p>
              </w:tc>
              <w:tc>
                <w:tcPr>
                  <w:tcW w:w="93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数量、外观完好、客户是否签收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5kg，1kg，9kg，14.6kg，6kg外观完好，客户签收：张***</w:t>
                  </w:r>
                </w:p>
              </w:tc>
              <w:tc>
                <w:tcPr>
                  <w:tcW w:w="2291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2022-09-03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美极鲜、椒盐、东古白醋、料酒、老抽王等</w:t>
                  </w:r>
                </w:p>
              </w:tc>
              <w:tc>
                <w:tcPr>
                  <w:tcW w:w="93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验证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外包装完好，客户签收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符合，客户签收，未见异常</w:t>
                  </w:r>
                </w:p>
              </w:tc>
              <w:tc>
                <w:tcPr>
                  <w:tcW w:w="229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2022-08-31</w:t>
                  </w: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冻水饺、冻鱼豆腐、玉米汤料、上等蚝油、椒盐、番茄沙司等</w:t>
                  </w:r>
                </w:p>
              </w:tc>
              <w:tc>
                <w:tcPr>
                  <w:tcW w:w="93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验证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外包装完好，客户签收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符合，客户签收，未见异常</w:t>
                  </w:r>
                </w:p>
              </w:tc>
              <w:tc>
                <w:tcPr>
                  <w:tcW w:w="229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2022-09-24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龙骨、黑牛百叶、羊腿、牛腩、牛尾、梅肉</w:t>
                  </w:r>
                </w:p>
              </w:tc>
              <w:tc>
                <w:tcPr>
                  <w:tcW w:w="93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验证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有检验检疫证明、客户签收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符合，客户签收，未见异常</w:t>
                  </w:r>
                </w:p>
              </w:tc>
              <w:tc>
                <w:tcPr>
                  <w:tcW w:w="229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另抽查2021-12-18、20221-12-25、2021-12-30批次的送货单，主要是鲜畜禽肉类，客户签收，未见异常；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抽查2022-08月批次的送货单，主要包括冻冻前猪脚、瘦肉丝、去皮三层肉、鸡蛋、鲜大肠、冻排骨、冻前猪脚等，有客户签收，未见异常；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highlight w:val="yellow"/>
              </w:rPr>
            </w:pPr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>《  ——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未发生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/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59" w:type="dxa"/>
            <w:gridSpan w:val="2"/>
            <w:vMerge w:val="continue"/>
          </w:tcPr>
          <w:p/>
        </w:tc>
        <w:tc>
          <w:tcPr>
            <w:tcW w:w="935" w:type="dxa"/>
            <w:vMerge w:val="continue"/>
          </w:tcPr>
          <w:p/>
        </w:tc>
        <w:tc>
          <w:tcPr>
            <w:tcW w:w="731" w:type="dxa"/>
            <w:gridSpan w:val="2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750" w:type="dxa"/>
          </w:tcPr>
          <w:p>
            <w:r>
              <w:rPr>
                <w:rFonts w:hint="eastAsia"/>
              </w:rPr>
              <w:t xml:space="preserve">成品/服务放行的人员对相关知识的理解和能力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由于成品/服务放行的监视设备满足要求且完好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由于成品/服务放行的测量设备满足要求且完好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不合格品的处理</w:t>
            </w:r>
          </w:p>
        </w:tc>
        <w:tc>
          <w:tcPr>
            <w:tcW w:w="935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F8.9.4.3</w:t>
            </w:r>
          </w:p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《不合格产品控制程序》</w:t>
            </w:r>
          </w:p>
          <w:p/>
        </w:tc>
        <w:tc>
          <w:tcPr>
            <w:tcW w:w="1134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不合格品报告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"/>
              <w:gridCol w:w="1660"/>
              <w:gridCol w:w="1762"/>
              <w:gridCol w:w="2438"/>
              <w:gridCol w:w="17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2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6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1762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38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1751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2021-11-05</w:t>
                  </w: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鸡腿</w:t>
                  </w:r>
                </w:p>
              </w:tc>
              <w:tc>
                <w:tcPr>
                  <w:tcW w:w="1762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鸡腿太小</w:t>
                  </w:r>
                </w:p>
              </w:tc>
              <w:tc>
                <w:tcPr>
                  <w:tcW w:w="2438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1751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2021-07-25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蔬菜：玉米</w:t>
                  </w:r>
                </w:p>
              </w:tc>
              <w:tc>
                <w:tcPr>
                  <w:tcW w:w="176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太老了</w:t>
                  </w:r>
                </w:p>
              </w:tc>
              <w:tc>
                <w:tcPr>
                  <w:tcW w:w="2438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2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2022-02-28</w:t>
                  </w:r>
                </w:p>
              </w:tc>
              <w:tc>
                <w:tcPr>
                  <w:tcW w:w="1660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蔬菜：绿豆芽</w:t>
                  </w:r>
                </w:p>
              </w:tc>
              <w:tc>
                <w:tcPr>
                  <w:tcW w:w="1762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绿豆芽头部烂了</w:t>
                  </w:r>
                </w:p>
              </w:tc>
              <w:tc>
                <w:tcPr>
                  <w:tcW w:w="243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175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</w:tr>
          </w:tbl>
          <w:p/>
          <w:p>
            <w:r>
              <w:rPr>
                <w:rFonts w:hint="eastAsia"/>
              </w:rPr>
              <w:t>抽取不合格半成品处置相关记录名称：</w:t>
            </w:r>
            <w:r>
              <w:rPr>
                <w:rFonts w:hint="eastAsia"/>
                <w:u w:val="single"/>
              </w:rPr>
              <w:t>《     不涉及  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3"/>
              <w:gridCol w:w="1364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63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6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未发生</w:t>
                  </w:r>
                </w:p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63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 xml:space="preserve">《    </w:t>
            </w:r>
            <w:r>
              <w:rPr>
                <w:rFonts w:hint="eastAsia"/>
                <w:u w:val="single"/>
                <w:lang w:val="en-US" w:eastAsia="zh-CN"/>
              </w:rPr>
              <w:t>同原材料</w:t>
            </w:r>
            <w:r>
              <w:rPr>
                <w:rFonts w:hint="eastAsia"/>
                <w:u w:val="single"/>
              </w:rPr>
              <w:t xml:space="preserve">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审核周期内</w:t>
            </w:r>
            <w:r>
              <w:rPr>
                <w:rFonts w:hint="eastAsia"/>
                <w:u w:val="single"/>
              </w:rPr>
              <w:t>，未发生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</w:tbl>
          <w:p>
            <w:r>
              <w:rPr>
                <w:rFonts w:hint="eastAsia"/>
              </w:rPr>
              <w:t>经</w:t>
            </w:r>
            <w:r>
              <w:rPr>
                <w:rFonts w:hint="eastAsia"/>
                <w:lang w:val="en-US" w:eastAsia="zh-CN"/>
              </w:rPr>
              <w:t>询问</w:t>
            </w:r>
            <w:r>
              <w:rPr>
                <w:rFonts w:hint="eastAsia"/>
              </w:rPr>
              <w:t>未发生撤回召回情况，参加公司组织的撤回召回应急演练，见</w:t>
            </w:r>
            <w:r>
              <w:rPr>
                <w:rFonts w:hint="eastAsia"/>
                <w:lang w:val="en-US" w:eastAsia="zh-CN"/>
              </w:rPr>
              <w:t>销售部</w:t>
            </w:r>
            <w:r>
              <w:rPr>
                <w:rFonts w:hint="eastAsia"/>
              </w:rPr>
              <w:t>审核记录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审核周期内</w:t>
            </w:r>
            <w:r>
              <w:rPr>
                <w:rFonts w:hint="eastAsia"/>
                <w:u w:val="single"/>
              </w:rPr>
              <w:t>，未发生    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未发生</w:t>
                  </w:r>
                </w:p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59" w:type="dxa"/>
            <w:gridSpan w:val="2"/>
            <w:vMerge w:val="continue"/>
            <w:shd w:val="clear" w:color="auto" w:fill="auto"/>
          </w:tcPr>
          <w:p/>
        </w:tc>
        <w:tc>
          <w:tcPr>
            <w:tcW w:w="935" w:type="dxa"/>
            <w:vMerge w:val="continue"/>
            <w:shd w:val="clear" w:color="auto" w:fill="auto"/>
          </w:tcPr>
          <w:p/>
        </w:tc>
        <w:tc>
          <w:tcPr>
            <w:tcW w:w="731" w:type="dxa"/>
            <w:gridSpan w:val="2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观察</w:t>
            </w:r>
          </w:p>
        </w:tc>
        <w:tc>
          <w:tcPr>
            <w:tcW w:w="9750" w:type="dxa"/>
            <w:shd w:val="clear" w:color="auto" w:fill="auto"/>
          </w:tcPr>
          <w:p>
            <w:r>
              <w:rPr>
                <w:rFonts w:hint="eastAsia"/>
              </w:rPr>
              <w:t xml:space="preserve">现场检查对不合格原材料的存放和标识情况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现场检查对不合格半成品的存放和标识情况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不涉及</w:t>
            </w:r>
          </w:p>
          <w:p>
            <w:r>
              <w:rPr>
                <w:rFonts w:hint="eastAsia"/>
              </w:rPr>
              <w:t xml:space="preserve">现场检查对不合格成品的存放和标识情况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134" w:type="dxa"/>
            <w:vMerge w:val="continue"/>
            <w:shd w:val="clear" w:color="auto" w:fill="auto"/>
          </w:tcPr>
          <w:p/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-64135</wp:posOffset>
          </wp:positionV>
          <wp:extent cx="481330" cy="484505"/>
          <wp:effectExtent l="0" t="0" r="4445" b="127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hBqrl1gAAAAoBAAAPAAAAAAAAAAEAIAAAACIAAABk&#10;cnMvZG93bnJldi54bWxQSwECFAAUAAAACACHTuJAekoO8M8BAACOAwAADgAAAAAAAAABACAAAAAl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D2D47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104F8"/>
    <w:rsid w:val="00111F47"/>
    <w:rsid w:val="0012641F"/>
    <w:rsid w:val="001272C3"/>
    <w:rsid w:val="00130CCD"/>
    <w:rsid w:val="00136C7B"/>
    <w:rsid w:val="0014275D"/>
    <w:rsid w:val="00147D59"/>
    <w:rsid w:val="00153990"/>
    <w:rsid w:val="00154B29"/>
    <w:rsid w:val="00161891"/>
    <w:rsid w:val="0016356F"/>
    <w:rsid w:val="00171C66"/>
    <w:rsid w:val="00171F22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D614B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3034F6"/>
    <w:rsid w:val="00310B9F"/>
    <w:rsid w:val="00310F4E"/>
    <w:rsid w:val="003117A9"/>
    <w:rsid w:val="00312D34"/>
    <w:rsid w:val="00314AF6"/>
    <w:rsid w:val="00316B55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E0F8E"/>
    <w:rsid w:val="003E45D9"/>
    <w:rsid w:val="003F1FAB"/>
    <w:rsid w:val="003F5675"/>
    <w:rsid w:val="003F5E7E"/>
    <w:rsid w:val="003F720E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A0295"/>
    <w:rsid w:val="004A1AFC"/>
    <w:rsid w:val="004A3397"/>
    <w:rsid w:val="004A4D6C"/>
    <w:rsid w:val="004A5E53"/>
    <w:rsid w:val="004A7CE1"/>
    <w:rsid w:val="004B299F"/>
    <w:rsid w:val="004B5F69"/>
    <w:rsid w:val="004C37B3"/>
    <w:rsid w:val="004C3E6C"/>
    <w:rsid w:val="004D487E"/>
    <w:rsid w:val="004E12DC"/>
    <w:rsid w:val="004E1419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B6F"/>
    <w:rsid w:val="00564E53"/>
    <w:rsid w:val="005662DC"/>
    <w:rsid w:val="00573FCA"/>
    <w:rsid w:val="00575649"/>
    <w:rsid w:val="00575C42"/>
    <w:rsid w:val="00577FE9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7262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7F66"/>
    <w:rsid w:val="00702D8C"/>
    <w:rsid w:val="007039B1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57F3"/>
    <w:rsid w:val="0078029E"/>
    <w:rsid w:val="00784286"/>
    <w:rsid w:val="007847A4"/>
    <w:rsid w:val="00786E59"/>
    <w:rsid w:val="00787EF2"/>
    <w:rsid w:val="00796235"/>
    <w:rsid w:val="007A7241"/>
    <w:rsid w:val="007B029C"/>
    <w:rsid w:val="007B5318"/>
    <w:rsid w:val="007C1B48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D1660"/>
    <w:rsid w:val="008D216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B14B4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DA2"/>
    <w:rsid w:val="00A03D08"/>
    <w:rsid w:val="00A22909"/>
    <w:rsid w:val="00A24BF3"/>
    <w:rsid w:val="00A42A0A"/>
    <w:rsid w:val="00A4765E"/>
    <w:rsid w:val="00A5063D"/>
    <w:rsid w:val="00A555D5"/>
    <w:rsid w:val="00A6087B"/>
    <w:rsid w:val="00A616C0"/>
    <w:rsid w:val="00A72A88"/>
    <w:rsid w:val="00A800AA"/>
    <w:rsid w:val="00A80636"/>
    <w:rsid w:val="00A80AD4"/>
    <w:rsid w:val="00A80B65"/>
    <w:rsid w:val="00A851E0"/>
    <w:rsid w:val="00AA5ACB"/>
    <w:rsid w:val="00AA7F47"/>
    <w:rsid w:val="00AB27DF"/>
    <w:rsid w:val="00AB4E05"/>
    <w:rsid w:val="00AB5DEC"/>
    <w:rsid w:val="00AD1316"/>
    <w:rsid w:val="00AE4523"/>
    <w:rsid w:val="00AF0AAB"/>
    <w:rsid w:val="00AF0FC6"/>
    <w:rsid w:val="00AF2881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1428"/>
    <w:rsid w:val="00B679A4"/>
    <w:rsid w:val="00B70D9D"/>
    <w:rsid w:val="00B76F5F"/>
    <w:rsid w:val="00B804DA"/>
    <w:rsid w:val="00B86E6E"/>
    <w:rsid w:val="00B96675"/>
    <w:rsid w:val="00B966B7"/>
    <w:rsid w:val="00BA68CD"/>
    <w:rsid w:val="00BB377A"/>
    <w:rsid w:val="00BB5074"/>
    <w:rsid w:val="00BD7DFB"/>
    <w:rsid w:val="00BF35D6"/>
    <w:rsid w:val="00BF597E"/>
    <w:rsid w:val="00C00EC6"/>
    <w:rsid w:val="00C03AB2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90232"/>
    <w:rsid w:val="00CA52A3"/>
    <w:rsid w:val="00CA649F"/>
    <w:rsid w:val="00CB082F"/>
    <w:rsid w:val="00CB481D"/>
    <w:rsid w:val="00CC32B1"/>
    <w:rsid w:val="00CC469D"/>
    <w:rsid w:val="00CD3BA1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75E3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6A40"/>
    <w:rsid w:val="00DA7449"/>
    <w:rsid w:val="00DC03CA"/>
    <w:rsid w:val="00DD187B"/>
    <w:rsid w:val="00DD496C"/>
    <w:rsid w:val="00DD73EF"/>
    <w:rsid w:val="00DD793B"/>
    <w:rsid w:val="00DE09DB"/>
    <w:rsid w:val="00DE580A"/>
    <w:rsid w:val="00DE68AE"/>
    <w:rsid w:val="00DF16BE"/>
    <w:rsid w:val="00DF2F94"/>
    <w:rsid w:val="00DF3797"/>
    <w:rsid w:val="00E10F37"/>
    <w:rsid w:val="00E11177"/>
    <w:rsid w:val="00E23FF6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807D5"/>
    <w:rsid w:val="00E83196"/>
    <w:rsid w:val="00E84057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63434"/>
    <w:rsid w:val="00F636CA"/>
    <w:rsid w:val="00F63B67"/>
    <w:rsid w:val="00F7303B"/>
    <w:rsid w:val="00F73FAF"/>
    <w:rsid w:val="00F806C0"/>
    <w:rsid w:val="00F854DB"/>
    <w:rsid w:val="00F9086A"/>
    <w:rsid w:val="00F92425"/>
    <w:rsid w:val="00FA4852"/>
    <w:rsid w:val="00FA5BC9"/>
    <w:rsid w:val="00FB145F"/>
    <w:rsid w:val="00FC3489"/>
    <w:rsid w:val="00FC5059"/>
    <w:rsid w:val="00FC7942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05032C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2D3729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81B4A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8D6424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A512F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336F4B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20585B"/>
    <w:rsid w:val="21A07B88"/>
    <w:rsid w:val="21A34258"/>
    <w:rsid w:val="21D24208"/>
    <w:rsid w:val="224C41D1"/>
    <w:rsid w:val="226B2F60"/>
    <w:rsid w:val="22813299"/>
    <w:rsid w:val="229F2D1A"/>
    <w:rsid w:val="232035A5"/>
    <w:rsid w:val="23363714"/>
    <w:rsid w:val="23461CA8"/>
    <w:rsid w:val="238A1BAA"/>
    <w:rsid w:val="23900E62"/>
    <w:rsid w:val="23BF3886"/>
    <w:rsid w:val="23D55EAF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CF7C96"/>
    <w:rsid w:val="29DD1C13"/>
    <w:rsid w:val="29F77BA5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D42342"/>
    <w:rsid w:val="2CE67CB5"/>
    <w:rsid w:val="2D095658"/>
    <w:rsid w:val="2D357F0D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682AC0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E300D7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B8564C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C738C6"/>
    <w:rsid w:val="3BEE1D6F"/>
    <w:rsid w:val="3BF1473C"/>
    <w:rsid w:val="3C61449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2A5E11"/>
    <w:rsid w:val="433B1167"/>
    <w:rsid w:val="4352128B"/>
    <w:rsid w:val="435F500F"/>
    <w:rsid w:val="43BD686B"/>
    <w:rsid w:val="43C730CD"/>
    <w:rsid w:val="44350F69"/>
    <w:rsid w:val="448F5063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895B96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16353"/>
    <w:rsid w:val="556B045B"/>
    <w:rsid w:val="557D4E77"/>
    <w:rsid w:val="55C375DD"/>
    <w:rsid w:val="56156439"/>
    <w:rsid w:val="56643532"/>
    <w:rsid w:val="568B5A7B"/>
    <w:rsid w:val="56A45690"/>
    <w:rsid w:val="56C41BCC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437C4"/>
    <w:rsid w:val="62FD1DFD"/>
    <w:rsid w:val="632045D1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F27E75"/>
    <w:rsid w:val="650612D0"/>
    <w:rsid w:val="65067C78"/>
    <w:rsid w:val="6542498D"/>
    <w:rsid w:val="655D358A"/>
    <w:rsid w:val="65600ACC"/>
    <w:rsid w:val="65662197"/>
    <w:rsid w:val="656E7483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2A7D57"/>
    <w:rsid w:val="68494570"/>
    <w:rsid w:val="68B54AF7"/>
    <w:rsid w:val="68BB527D"/>
    <w:rsid w:val="68C96D98"/>
    <w:rsid w:val="68CA009F"/>
    <w:rsid w:val="68D402C9"/>
    <w:rsid w:val="68D670D7"/>
    <w:rsid w:val="68E43EF4"/>
    <w:rsid w:val="69124BE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5C0CF9"/>
    <w:rsid w:val="6D792112"/>
    <w:rsid w:val="6DA004EB"/>
    <w:rsid w:val="6DE309B5"/>
    <w:rsid w:val="6E312D5E"/>
    <w:rsid w:val="6E43589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0BD47C6"/>
    <w:rsid w:val="712E356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FB07FC"/>
    <w:rsid w:val="74103E55"/>
    <w:rsid w:val="74456E15"/>
    <w:rsid w:val="745B622A"/>
    <w:rsid w:val="753327B6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487D25"/>
    <w:rsid w:val="7C6A6CA8"/>
    <w:rsid w:val="7CB31FBB"/>
    <w:rsid w:val="7CF04E00"/>
    <w:rsid w:val="7D41026F"/>
    <w:rsid w:val="7D4C1845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7">
    <w:name w:val="标题 1 字符"/>
    <w:basedOn w:val="10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AD131-9F1E-41FC-8299-F5AFAAC85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1104</Words>
  <Characters>6298</Characters>
  <Lines>52</Lines>
  <Paragraphs>14</Paragraphs>
  <TotalTime>0</TotalTime>
  <ScaleCrop>false</ScaleCrop>
  <LinksUpToDate>false</LinksUpToDate>
  <CharactersWithSpaces>7388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2020-10-19T02:15:00Z</dcterms:created>
  <dc:creator>微软用户</dc:creator>
  <cp:lastModifiedBy>肖新龙</cp:lastModifiedBy>
  <dcterms:modified xsi:type="dcterms:W3CDTF">2022-09-26T08:47:46Z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BA28FCDA5A704242A289731DBAC9239E</vt:lpwstr>
  </property>
</Properties>
</file>