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5259"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936"/>
        <w:gridCol w:w="745"/>
        <w:gridCol w:w="1022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vMerge w:val="restart"/>
            <w:vAlign w:val="center"/>
          </w:tcPr>
          <w:p>
            <w:pPr>
              <w:rPr>
                <w:sz w:val="24"/>
                <w:szCs w:val="24"/>
              </w:rPr>
            </w:pPr>
            <w:r>
              <w:rPr>
                <w:sz w:val="24"/>
                <w:szCs w:val="24"/>
              </w:rPr>
              <w:t>涉及</w:t>
            </w:r>
          </w:p>
          <w:p>
            <w:r>
              <w:rPr>
                <w:sz w:val="24"/>
                <w:szCs w:val="24"/>
              </w:rPr>
              <w:t>条款</w:t>
            </w:r>
          </w:p>
        </w:tc>
        <w:tc>
          <w:tcPr>
            <w:tcW w:w="10968" w:type="dxa"/>
            <w:gridSpan w:val="2"/>
            <w:vAlign w:val="center"/>
          </w:tcPr>
          <w:p>
            <w:pPr>
              <w:rPr>
                <w:rFonts w:hint="eastAsia" w:eastAsia="宋体"/>
                <w:sz w:val="24"/>
                <w:szCs w:val="24"/>
                <w:lang w:eastAsia="zh-CN"/>
              </w:rPr>
            </w:pPr>
            <w:r>
              <w:rPr>
                <w:sz w:val="24"/>
                <w:szCs w:val="24"/>
              </w:rPr>
              <w:t xml:space="preserve">受审核部门：  食品安全小组         </w:t>
            </w:r>
            <w:r>
              <w:rPr>
                <w:color w:val="000000"/>
                <w:sz w:val="24"/>
                <w:szCs w:val="24"/>
              </w:rPr>
              <w:t>主管领导：</w:t>
            </w:r>
            <w:r>
              <w:rPr>
                <w:rFonts w:hint="eastAsia"/>
                <w:color w:val="000000"/>
                <w:sz w:val="24"/>
                <w:szCs w:val="24"/>
                <w:lang w:val="en-US" w:eastAsia="zh-CN"/>
              </w:rPr>
              <w:t xml:space="preserve">郑宗添  </w:t>
            </w:r>
            <w:r>
              <w:rPr>
                <w:color w:val="000000"/>
                <w:sz w:val="24"/>
                <w:szCs w:val="24"/>
              </w:rPr>
              <w:t xml:space="preserve"> 陪同人员：</w:t>
            </w:r>
            <w:r>
              <w:rPr>
                <w:rFonts w:hint="eastAsia"/>
                <w:sz w:val="24"/>
                <w:szCs w:val="24"/>
                <w:lang w:val="en-US" w:eastAsia="zh-CN"/>
              </w:rPr>
              <w:t>蔡丽美</w:t>
            </w:r>
          </w:p>
        </w:tc>
        <w:tc>
          <w:tcPr>
            <w:tcW w:w="1181"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74" w:type="dxa"/>
            <w:vMerge w:val="continue"/>
            <w:vAlign w:val="center"/>
          </w:tcPr>
          <w:p/>
        </w:tc>
        <w:tc>
          <w:tcPr>
            <w:tcW w:w="936" w:type="dxa"/>
            <w:vMerge w:val="continue"/>
            <w:vAlign w:val="center"/>
          </w:tcPr>
          <w:p/>
        </w:tc>
        <w:tc>
          <w:tcPr>
            <w:tcW w:w="10968" w:type="dxa"/>
            <w:gridSpan w:val="2"/>
            <w:vAlign w:val="center"/>
          </w:tcPr>
          <w:p>
            <w:pPr>
              <w:spacing w:before="120"/>
              <w:rPr>
                <w:rFonts w:hint="default" w:eastAsia="宋体"/>
                <w:lang w:val="en-US" w:eastAsia="zh-CN"/>
              </w:rPr>
            </w:pPr>
            <w:r>
              <w:rPr>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 xml:space="preserve">     </w:t>
            </w:r>
            <w:r>
              <w:rPr>
                <w:sz w:val="24"/>
                <w:szCs w:val="24"/>
              </w:rPr>
              <w:t xml:space="preserve">   审核日期：20</w:t>
            </w:r>
            <w:r>
              <w:rPr>
                <w:rFonts w:hint="eastAsia"/>
                <w:sz w:val="24"/>
                <w:szCs w:val="24"/>
                <w:lang w:val="en-US" w:eastAsia="zh-CN"/>
              </w:rPr>
              <w:t>22-09-26</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74" w:type="dxa"/>
            <w:vMerge w:val="continue"/>
            <w:vAlign w:val="center"/>
          </w:tcPr>
          <w:p/>
        </w:tc>
        <w:tc>
          <w:tcPr>
            <w:tcW w:w="936" w:type="dxa"/>
            <w:vMerge w:val="continue"/>
            <w:vAlign w:val="center"/>
          </w:tcPr>
          <w:p/>
        </w:tc>
        <w:tc>
          <w:tcPr>
            <w:tcW w:w="10968" w:type="dxa"/>
            <w:gridSpan w:val="2"/>
            <w:vAlign w:val="center"/>
          </w:tcPr>
          <w:p>
            <w:pPr>
              <w:tabs>
                <w:tab w:val="left" w:pos="6030"/>
              </w:tabs>
              <w:autoSpaceDE w:val="0"/>
              <w:autoSpaceDN w:val="0"/>
              <w:adjustRightInd w:val="0"/>
              <w:jc w:val="left"/>
            </w:pPr>
            <w:r>
              <w:t>审核条款：</w:t>
            </w:r>
          </w:p>
          <w:p>
            <w:pPr>
              <w:tabs>
                <w:tab w:val="left" w:pos="6030"/>
              </w:tabs>
              <w:autoSpaceDE w:val="0"/>
              <w:autoSpaceDN w:val="0"/>
              <w:adjustRightInd w:val="0"/>
              <w:jc w:val="left"/>
            </w:pPr>
            <w:r>
              <w:t>FSMS:5.3/7.1.5/8.1/8.2/8.5/8.6/8.8/9.1.2</w:t>
            </w:r>
          </w:p>
          <w:p>
            <w:pPr>
              <w:pStyle w:val="10"/>
            </w:pP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4" w:type="dxa"/>
            <w:vMerge w:val="restart"/>
          </w:tcPr>
          <w:p>
            <w:r>
              <w:t>组织的角色、职责和权限</w:t>
            </w:r>
          </w:p>
        </w:tc>
        <w:tc>
          <w:tcPr>
            <w:tcW w:w="936" w:type="dxa"/>
            <w:vMerge w:val="restart"/>
          </w:tcPr>
          <w:p>
            <w:r>
              <w:t>F5.3</w:t>
            </w:r>
          </w:p>
        </w:tc>
        <w:tc>
          <w:tcPr>
            <w:tcW w:w="745" w:type="dxa"/>
          </w:tcPr>
          <w:p>
            <w:r>
              <w:t>文件名称</w:t>
            </w:r>
          </w:p>
        </w:tc>
        <w:tc>
          <w:tcPr>
            <w:tcW w:w="1022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181"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74" w:type="dxa"/>
            <w:vMerge w:val="continue"/>
          </w:tcPr>
          <w:p/>
        </w:tc>
        <w:tc>
          <w:tcPr>
            <w:tcW w:w="936" w:type="dxa"/>
            <w:vMerge w:val="continue"/>
          </w:tcPr>
          <w:p/>
        </w:tc>
        <w:tc>
          <w:tcPr>
            <w:tcW w:w="745" w:type="dxa"/>
          </w:tcPr>
          <w:p>
            <w:r>
              <w:t>运行证据</w:t>
            </w:r>
          </w:p>
        </w:tc>
        <w:tc>
          <w:tcPr>
            <w:tcW w:w="10223" w:type="dxa"/>
          </w:tcPr>
          <w:p>
            <w:r>
              <w:t>有食品安全小组名单，包括了</w:t>
            </w:r>
            <w:r>
              <w:rPr>
                <w:rFonts w:hint="eastAsia"/>
              </w:rPr>
              <w:t xml:space="preserve"> </w:t>
            </w:r>
            <w:r>
              <w:rPr>
                <w:rFonts w:hint="eastAsia"/>
                <w:u w:val="single"/>
                <w:lang w:val="en-US" w:eastAsia="zh-CN"/>
              </w:rPr>
              <w:t>人事部、销售部、采购部</w:t>
            </w:r>
            <w:r>
              <w:rPr>
                <w:rFonts w:hint="eastAsia"/>
                <w:bCs/>
                <w:u w:val="single"/>
              </w:rPr>
              <w:t xml:space="preserve">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u w:val="single"/>
                <w:lang w:val="en-US" w:eastAsia="zh-CN"/>
              </w:rPr>
              <w:t>蔡丽美</w:t>
            </w:r>
            <w:r>
              <w:t>，基本清楚。</w:t>
            </w:r>
          </w:p>
          <w:p>
            <w:pPr>
              <w:pStyle w:val="10"/>
              <w:rPr>
                <w:rFonts w:ascii="Times New Roman" w:hAnsi="Times New Roman"/>
              </w:rPr>
            </w:pPr>
          </w:p>
          <w:p>
            <w:r>
              <w:fldChar w:fldCharType="begin"/>
            </w:r>
            <w:r>
              <w:instrText xml:space="preserve"> eq \o\ac(□,√)</w:instrText>
            </w:r>
            <w:r>
              <w:fldChar w:fldCharType="end"/>
            </w:r>
            <w:r>
              <w:rPr>
                <w:rFonts w:hint="eastAsia"/>
                <w:lang w:val="en-US" w:eastAsia="zh-CN"/>
              </w:rPr>
              <w:t>食品安全小组</w:t>
            </w:r>
            <w:r>
              <w:t>组长：</w:t>
            </w:r>
            <w:r>
              <w:rPr>
                <w:rFonts w:hint="eastAsia"/>
                <w:u w:val="single"/>
                <w:lang w:val="en-US" w:eastAsia="zh-CN"/>
              </w:rPr>
              <w:t>郑宗添</w:t>
            </w:r>
            <w:r>
              <w:rPr>
                <w:u w:val="single"/>
              </w:rPr>
              <w:t xml:space="preserve"> </w:t>
            </w:r>
            <w:r>
              <w:rPr>
                <w:rFonts w:hint="eastAsia"/>
                <w:u w:val="single"/>
                <w:lang w:val="en-US" w:eastAsia="zh-CN"/>
              </w:rPr>
              <w:t>先生</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74" w:type="dxa"/>
            <w:vMerge w:val="restart"/>
            <w:shd w:val="clear" w:color="auto" w:fill="auto"/>
          </w:tcPr>
          <w:p>
            <w:r>
              <w:t>食品安全管理体系外部建立的要素</w:t>
            </w:r>
          </w:p>
        </w:tc>
        <w:tc>
          <w:tcPr>
            <w:tcW w:w="936" w:type="dxa"/>
            <w:vMerge w:val="restart"/>
            <w:shd w:val="clear" w:color="auto" w:fill="auto"/>
          </w:tcPr>
          <w:p>
            <w:r>
              <w:rPr>
                <w:rFonts w:hint="eastAsia"/>
                <w:color w:val="000000"/>
                <w:szCs w:val="21"/>
              </w:rPr>
              <w:t>F7.1.5</w:t>
            </w:r>
          </w:p>
        </w:tc>
        <w:tc>
          <w:tcPr>
            <w:tcW w:w="745" w:type="dxa"/>
            <w:shd w:val="clear" w:color="auto" w:fill="auto"/>
          </w:tcPr>
          <w:p>
            <w:r>
              <w:rPr>
                <w:rFonts w:hint="eastAsia"/>
              </w:rPr>
              <w:t>文件名称</w:t>
            </w:r>
          </w:p>
        </w:tc>
        <w:tc>
          <w:tcPr>
            <w:tcW w:w="102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181"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rPr>
                <w:rFonts w:hint="eastAsia"/>
              </w:rPr>
              <w:t>运行证据</w:t>
            </w:r>
          </w:p>
        </w:tc>
        <w:tc>
          <w:tcPr>
            <w:tcW w:w="10223" w:type="dxa"/>
            <w:shd w:val="clear" w:color="auto" w:fill="auto"/>
          </w:tcPr>
          <w:p>
            <w:pPr>
              <w:rPr>
                <w:rFonts w:hint="default" w:eastAsia="宋体"/>
                <w:color w:val="0000FF"/>
                <w:u w:val="single"/>
                <w:lang w:val="en-US" w:eastAsia="zh-CN"/>
              </w:rPr>
            </w:pPr>
            <w:r>
              <w:rPr>
                <w:rFonts w:hint="eastAsia"/>
              </w:rPr>
              <w:t>组织使用外部建立的FSMS要素，包括：</w:t>
            </w:r>
            <w:r>
              <w:rPr>
                <w:rFonts w:hint="eastAsia"/>
                <w:color w:val="0000FF"/>
                <w:lang w:eastAsia="zh-CN"/>
              </w:rPr>
              <w:t>——</w:t>
            </w:r>
            <w:r>
              <w:rPr>
                <w:rFonts w:hint="eastAsia"/>
                <w:color w:val="0000FF"/>
                <w:u w:val="single"/>
                <w:lang w:val="en-US" w:eastAsia="zh-CN"/>
              </w:rPr>
              <w:t>企业自己制定FSMS</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4" w:type="dxa"/>
            <w:vMerge w:val="restart"/>
            <w:shd w:val="clear" w:color="auto" w:fill="auto"/>
          </w:tcPr>
          <w:p>
            <w:r>
              <w:t>运行策划和控制</w:t>
            </w:r>
          </w:p>
        </w:tc>
        <w:tc>
          <w:tcPr>
            <w:tcW w:w="936" w:type="dxa"/>
            <w:vMerge w:val="restart"/>
            <w:shd w:val="clear" w:color="auto" w:fill="auto"/>
          </w:tcPr>
          <w:p>
            <w:r>
              <w:t>F8.1</w:t>
            </w:r>
          </w:p>
        </w:tc>
        <w:tc>
          <w:tcPr>
            <w:tcW w:w="745" w:type="dxa"/>
            <w:shd w:val="clear" w:color="auto" w:fill="auto"/>
          </w:tcPr>
          <w:p>
            <w:r>
              <w:t>文件名称</w:t>
            </w:r>
          </w:p>
        </w:tc>
        <w:tc>
          <w:tcPr>
            <w:tcW w:w="1022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w:t>
            </w:r>
            <w:r>
              <w:rPr>
                <w:rFonts w:hint="eastAsia"/>
                <w:lang w:val="en-US" w:eastAsia="zh-CN"/>
              </w:rPr>
              <w:t>控制</w:t>
            </w:r>
            <w:r>
              <w:rPr>
                <w:rFonts w:hint="eastAsia"/>
              </w:rPr>
              <w:t>程序</w:t>
            </w:r>
            <w:r>
              <w:t>》</w:t>
            </w:r>
            <w:r>
              <w:rPr/>
              <w:sym w:font="Wingdings" w:char="00A8"/>
            </w:r>
            <w:r>
              <w:t>《能力和意识控制程序》</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4" w:type="dxa"/>
            <w:vMerge w:val="restart"/>
          </w:tcPr>
          <w:p>
            <w:r>
              <w:t>前提方案（PRP）</w:t>
            </w:r>
          </w:p>
        </w:tc>
        <w:tc>
          <w:tcPr>
            <w:tcW w:w="936" w:type="dxa"/>
            <w:vMerge w:val="restart"/>
          </w:tcPr>
          <w:p>
            <w:r>
              <w:t>F8.2</w:t>
            </w:r>
          </w:p>
        </w:tc>
        <w:tc>
          <w:tcPr>
            <w:tcW w:w="745" w:type="dxa"/>
          </w:tcPr>
          <w:p>
            <w:r>
              <w:t>文件名称</w:t>
            </w:r>
          </w:p>
        </w:tc>
        <w:tc>
          <w:tcPr>
            <w:tcW w:w="10223" w:type="dxa"/>
          </w:tcPr>
          <w:p>
            <w:r>
              <w:t>如：</w:t>
            </w:r>
            <w:r>
              <w:fldChar w:fldCharType="begin"/>
            </w:r>
            <w:r>
              <w:instrText xml:space="preserve"> eq \o\ac(□,√)</w:instrText>
            </w:r>
            <w:r>
              <w:fldChar w:fldCharType="end"/>
            </w:r>
            <w:r>
              <w:t>《前提方案》</w:t>
            </w:r>
          </w:p>
        </w:tc>
        <w:tc>
          <w:tcPr>
            <w:tcW w:w="1181"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4" w:type="dxa"/>
            <w:vMerge w:val="continue"/>
          </w:tcPr>
          <w:p/>
        </w:tc>
        <w:tc>
          <w:tcPr>
            <w:tcW w:w="936" w:type="dxa"/>
            <w:vMerge w:val="continue"/>
          </w:tcPr>
          <w:p/>
        </w:tc>
        <w:tc>
          <w:tcPr>
            <w:tcW w:w="745" w:type="dxa"/>
          </w:tcPr>
          <w:p>
            <w:r>
              <w:t>运行证据</w:t>
            </w:r>
          </w:p>
        </w:tc>
        <w:tc>
          <w:tcPr>
            <w:tcW w:w="1022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w:t>
            </w:r>
            <w:r>
              <w:rPr>
                <w:rFonts w:hint="eastAsia"/>
                <w:u w:val="single"/>
                <w:lang w:val="en-US" w:eastAsia="zh-CN"/>
              </w:rPr>
              <w:t>1</w:t>
            </w:r>
            <w:r>
              <w:rPr>
                <w:u w:val="single"/>
              </w:rPr>
              <w:t xml:space="preserve"> 年</w:t>
            </w:r>
            <w:r>
              <w:rPr>
                <w:rFonts w:hint="eastAsia"/>
                <w:u w:val="single"/>
                <w:lang w:val="en-US" w:eastAsia="zh-CN"/>
              </w:rPr>
              <w:t>5</w:t>
            </w:r>
            <w:r>
              <w:rPr>
                <w:u w:val="single"/>
              </w:rPr>
              <w:t xml:space="preserve">月 </w:t>
            </w:r>
            <w:r>
              <w:rPr>
                <w:rFonts w:hint="eastAsia"/>
                <w:u w:val="single"/>
                <w:lang w:val="en-US" w:eastAsia="zh-CN"/>
              </w:rPr>
              <w:t>1</w:t>
            </w:r>
            <w:r>
              <w:rPr>
                <w:u w:val="single"/>
              </w:rPr>
              <w:t xml:space="preserve"> 日   </w:t>
            </w:r>
            <w:r>
              <w:rPr>
                <w:rFonts w:hint="eastAsia"/>
                <w:u w:val="single"/>
                <w:lang w:eastAsia="zh-CN"/>
              </w:rPr>
              <w:t>【</w:t>
            </w:r>
            <w:r>
              <w:rPr>
                <w:rFonts w:hint="eastAsia"/>
                <w:u w:val="single"/>
                <w:lang w:val="en-US" w:eastAsia="zh-CN"/>
              </w:rPr>
              <w:t>审核周期内未发生变化</w:t>
            </w:r>
            <w:r>
              <w:rPr>
                <w:rFonts w:hint="eastAsia"/>
                <w:u w:val="single"/>
                <w:lang w:eastAsia="zh-CN"/>
              </w:rPr>
              <w:t>】</w:t>
            </w:r>
            <w:r>
              <w:rPr>
                <w:u w:val="single"/>
              </w:rPr>
              <w:t xml:space="preserve">      </w:t>
            </w:r>
          </w:p>
          <w:p>
            <w:pPr>
              <w:rPr>
                <w:highlight w:val="cyan"/>
              </w:rPr>
            </w:pPr>
          </w:p>
          <w:p>
            <w:r>
              <w:t>8. 2. 3 当选择和（或） 制定前提方案（PRPs） 时， 组织应考虑：</w:t>
            </w:r>
          </w:p>
          <w:p>
            <w:r>
              <w:t xml:space="preserve">1)  ISO/TS 22002系列适用技术规范； </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0"/>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 xml:space="preserve">CNCA/CTS 0013-2014（CCAA0021-2014） </w:t>
            </w:r>
            <w:r>
              <w:rPr>
                <w:rFonts w:hint="eastAsia" w:ascii="Times New Roman" w:hAnsi="Times New Roman"/>
                <w:szCs w:val="22"/>
                <w:lang w:val="en-GB" w:eastAsia="zh-CN"/>
              </w:rPr>
              <w:t>《</w:t>
            </w:r>
            <w:r>
              <w:rPr>
                <w:rFonts w:ascii="Times New Roman" w:hAnsi="Times New Roman"/>
                <w:szCs w:val="22"/>
                <w:lang w:val="en-GB"/>
              </w:rPr>
              <w:t>食品安全管理体系 运输和贮藏企业要求</w:t>
            </w:r>
            <w:r>
              <w:rPr>
                <w:rFonts w:ascii="Times New Roman" w:hAnsi="Times New Roman"/>
                <w:szCs w:val="22"/>
              </w:rPr>
              <w:t xml:space="preserve"> </w:t>
            </w:r>
            <w:r>
              <w:rPr>
                <w:rFonts w:hint="eastAsia" w:ascii="Times New Roman" w:hAnsi="Times New Roman"/>
                <w:szCs w:val="22"/>
                <w:lang w:val="en-GB" w:eastAsia="zh-CN"/>
              </w:rPr>
              <w:t>》</w:t>
            </w:r>
            <w:r>
              <w:rPr>
                <w:rFonts w:ascii="Times New Roman" w:hAnsi="Times New Roman"/>
                <w:szCs w:val="22"/>
              </w:rPr>
              <w:t xml:space="preserve"> </w:t>
            </w:r>
          </w:p>
          <w:p>
            <w:pPr>
              <w:pStyle w:val="10"/>
            </w:pPr>
          </w:p>
          <w:p>
            <w:r>
              <w:t>2）立法/执法要求和顾客要求；</w:t>
            </w:r>
          </w:p>
          <w:p>
            <w:pPr>
              <w:ind w:firstLine="420" w:firstLineChars="200"/>
              <w:rPr>
                <w:u w:val="single"/>
              </w:rPr>
            </w:pPr>
            <w:r>
              <w:rPr/>
              <w:sym w:font="Wingdings" w:char="00FE"/>
            </w:r>
            <w:r>
              <w:t>立法执法要求：</w:t>
            </w:r>
            <w:r>
              <w:rPr>
                <w:u w:val="single"/>
              </w:rPr>
              <w:t>满足相关法律法规要求</w:t>
            </w:r>
          </w:p>
          <w:p>
            <w:pPr>
              <w:ind w:firstLine="420" w:firstLineChars="200"/>
              <w:rPr>
                <w:rFonts w:hint="default" w:eastAsia="宋体"/>
                <w:u w:val="single"/>
                <w:lang w:val="en-US" w:eastAsia="zh-CN"/>
              </w:rPr>
            </w:pPr>
            <w:r>
              <w:rPr/>
              <w:sym w:font="Wingdings" w:char="00FE"/>
            </w:r>
            <w:r>
              <w:t>顾客要求：</w:t>
            </w:r>
            <w:r>
              <w:rPr>
                <w:rFonts w:hint="eastAsia"/>
                <w:u w:val="single"/>
              </w:rPr>
              <w:t>产品外观完好、</w:t>
            </w:r>
            <w:r>
              <w:rPr>
                <w:rFonts w:hint="eastAsia"/>
                <w:u w:val="single"/>
                <w:lang w:val="en-US" w:eastAsia="zh-CN"/>
              </w:rPr>
              <w:t>无霉变</w:t>
            </w:r>
            <w:r>
              <w:rPr>
                <w:rFonts w:hint="eastAsia"/>
                <w:u w:val="single"/>
              </w:rPr>
              <w:t>、运输车辆干净卫生</w:t>
            </w:r>
            <w:r>
              <w:rPr>
                <w:rFonts w:hint="eastAsia"/>
                <w:u w:val="single"/>
                <w:lang w:eastAsia="zh-CN"/>
              </w:rPr>
              <w:t>、</w:t>
            </w:r>
            <w:r>
              <w:rPr>
                <w:rFonts w:hint="eastAsia"/>
                <w:u w:val="single"/>
                <w:lang w:val="en-US" w:eastAsia="zh-CN"/>
              </w:rPr>
              <w:t>配送及时、售后服务及时</w:t>
            </w:r>
          </w:p>
          <w:p>
            <w:r>
              <w:t>3）适用法典和指南。</w:t>
            </w:r>
          </w:p>
          <w:p>
            <w:pPr>
              <w:rPr>
                <w:highlight w:val="cyan"/>
              </w:rPr>
            </w:pPr>
            <w:r>
              <w:t xml:space="preserve">  无</w:t>
            </w:r>
          </w:p>
        </w:tc>
        <w:tc>
          <w:tcPr>
            <w:tcW w:w="118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实施危害分析的预备步骤</w:t>
            </w:r>
          </w:p>
        </w:tc>
        <w:tc>
          <w:tcPr>
            <w:tcW w:w="936" w:type="dxa"/>
            <w:vMerge w:val="restart"/>
            <w:shd w:val="clear" w:color="auto" w:fill="auto"/>
          </w:tcPr>
          <w:p>
            <w:r>
              <w:t>F8.5.1</w:t>
            </w:r>
          </w:p>
          <w:p/>
        </w:tc>
        <w:tc>
          <w:tcPr>
            <w:tcW w:w="745" w:type="dxa"/>
            <w:shd w:val="clear" w:color="auto" w:fill="auto"/>
          </w:tcPr>
          <w:p>
            <w:r>
              <w:t>文件名称</w:t>
            </w:r>
          </w:p>
        </w:tc>
        <w:tc>
          <w:tcPr>
            <w:tcW w:w="10223" w:type="dxa"/>
            <w:shd w:val="clear" w:color="auto" w:fill="auto"/>
          </w:tcPr>
          <w:p>
            <w:pPr>
              <w:rPr>
                <w:rFonts w:hint="default" w:eastAsia="宋体"/>
                <w:lang w:val="en-US" w:eastAsia="zh-CN"/>
              </w:rPr>
            </w:pPr>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r>
              <w:fldChar w:fldCharType="begin"/>
            </w:r>
            <w:r>
              <w:instrText xml:space="preserve"> eq \o\ac(□,√)</w:instrText>
            </w:r>
            <w:r>
              <w:fldChar w:fldCharType="end"/>
            </w:r>
            <w:r>
              <w:rPr>
                <w:rFonts w:hint="eastAsia"/>
                <w:lang w:val="en-US" w:eastAsia="zh-CN"/>
              </w:rPr>
              <w:t>手册8.5条款</w:t>
            </w:r>
          </w:p>
        </w:tc>
        <w:tc>
          <w:tcPr>
            <w:tcW w:w="1181"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eastAsia" w:eastAsia="宋体"/>
                <w:u w:val="single"/>
                <w:lang w:val="en-US" w:eastAsia="zh-CN"/>
              </w:rPr>
            </w:pPr>
            <w:r>
              <w:t>原材料：</w:t>
            </w:r>
            <w:r>
              <w:rPr>
                <w:u w:val="single"/>
              </w:rPr>
              <w:t xml:space="preserve">   </w:t>
            </w:r>
            <w:r>
              <w:rPr>
                <w:rFonts w:hint="eastAsia"/>
                <w:u w:val="single"/>
              </w:rPr>
              <w:t>粮油类、调味料、</w:t>
            </w:r>
            <w:r>
              <w:rPr>
                <w:rFonts w:hint="eastAsia"/>
                <w:u w:val="single"/>
                <w:lang w:val="en-US" w:eastAsia="zh-CN"/>
              </w:rPr>
              <w:t>鲜</w:t>
            </w:r>
            <w:r>
              <w:rPr>
                <w:u w:val="single"/>
              </w:rPr>
              <w:t>禽畜</w:t>
            </w:r>
            <w:r>
              <w:rPr>
                <w:rFonts w:hint="eastAsia"/>
                <w:u w:val="single"/>
              </w:rPr>
              <w:t>肉</w:t>
            </w:r>
            <w:r>
              <w:rPr>
                <w:rFonts w:hint="eastAsia"/>
                <w:u w:val="single"/>
                <w:lang w:val="en-US" w:eastAsia="zh-CN"/>
              </w:rPr>
              <w:t>类</w:t>
            </w:r>
            <w:r>
              <w:rPr>
                <w:rFonts w:hint="eastAsia"/>
                <w:u w:val="single"/>
              </w:rPr>
              <w:t>、水产、禽畜肉（冻品）</w:t>
            </w:r>
            <w:r>
              <w:rPr>
                <w:rFonts w:hint="eastAsia"/>
                <w:u w:val="single"/>
                <w:lang w:eastAsia="zh-CN"/>
              </w:rPr>
              <w:t>、</w:t>
            </w:r>
            <w:r>
              <w:rPr>
                <w:rFonts w:hint="eastAsia"/>
                <w:u w:val="single"/>
                <w:lang w:val="en-US" w:eastAsia="zh-CN"/>
              </w:rPr>
              <w:t>果蔬类、禽蛋类等【果蔬类、禽蛋类未做描述，已现场沟通】</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lang w:val="en-US" w:eastAsia="zh-CN"/>
              </w:rPr>
              <w:t>塑料袋、周转筐等</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rFonts w:hint="default" w:eastAsia="宋体"/>
                <w:u w:val="single"/>
                <w:lang w:val="en-US" w:eastAsia="zh-CN"/>
              </w:rPr>
            </w:pPr>
            <w:r>
              <w:rPr>
                <w:b/>
                <w:lang w:val="en-GB"/>
              </w:rPr>
              <w:t>最终产品《特性</w:t>
            </w:r>
            <w:r>
              <w:rPr>
                <w:b/>
              </w:rPr>
              <w:t>描述</w:t>
            </w:r>
            <w:r>
              <w:rPr>
                <w:b/>
                <w:lang w:val="en-GB"/>
              </w:rPr>
              <w:t>》</w:t>
            </w:r>
            <w:r>
              <w:rPr>
                <w:b/>
              </w:rPr>
              <w:t>：</w:t>
            </w:r>
            <w:r>
              <w:rPr>
                <w:rFonts w:hint="eastAsia"/>
                <w:b/>
                <w:u w:val="single"/>
                <w:lang w:val="en-US" w:eastAsia="zh-CN"/>
              </w:rPr>
              <w:t>同原辅料</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lang w:val="en-US" w:eastAsia="zh-CN"/>
              </w:rPr>
              <w:t>单位食堂、酒店提供食材</w:t>
            </w:r>
            <w:r>
              <w:rPr>
                <w:u w:val="single"/>
              </w:rPr>
              <w:t xml:space="preserve">   </w:t>
            </w:r>
          </w:p>
          <w:p/>
          <w:p>
            <w:r>
              <w:t>确定已知特别容易受到特定食品安全危害易感的消费群体/使用者：</w:t>
            </w:r>
          </w:p>
          <w:p>
            <w:pPr>
              <w:rPr>
                <w:rFonts w:hint="default" w:eastAsia="宋体"/>
                <w:lang w:val="en-US" w:eastAsia="zh-CN"/>
              </w:rPr>
            </w:pPr>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w:t>
            </w:r>
            <w:r>
              <w:rPr>
                <w:rFonts w:hint="eastAsia"/>
              </w:rPr>
              <w:t>（不涉及）</w:t>
            </w:r>
            <w:r>
              <w:t>、包装材料、公用工程和中间产品投入点；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rFonts w:hint="eastAsia" w:eastAsia="宋体"/>
                <w:lang w:val="en-GB" w:eastAsia="zh-CN"/>
              </w:rPr>
            </w:pPr>
            <w:r>
              <w:rPr>
                <w:lang w:val="en-GB"/>
              </w:rPr>
              <w:t>HACCP小组</w:t>
            </w:r>
            <w:r>
              <w:t>于</w:t>
            </w:r>
            <w:r>
              <w:rPr>
                <w:color w:val="0000FF"/>
                <w:szCs w:val="21"/>
                <w:u w:val="single"/>
              </w:rPr>
              <w:t xml:space="preserve">   202</w:t>
            </w:r>
            <w:r>
              <w:rPr>
                <w:rFonts w:hint="eastAsia"/>
                <w:color w:val="0000FF"/>
                <w:szCs w:val="21"/>
                <w:u w:val="single"/>
                <w:lang w:val="en-US" w:eastAsia="zh-CN"/>
              </w:rPr>
              <w:t>2</w:t>
            </w:r>
            <w:r>
              <w:rPr>
                <w:color w:val="0000FF"/>
                <w:szCs w:val="21"/>
              </w:rPr>
              <w:t>年</w:t>
            </w:r>
            <w:r>
              <w:rPr>
                <w:color w:val="0000FF"/>
                <w:szCs w:val="21"/>
                <w:u w:val="single"/>
              </w:rPr>
              <w:t xml:space="preserve"> </w:t>
            </w:r>
            <w:r>
              <w:rPr>
                <w:rFonts w:hint="eastAsia"/>
                <w:color w:val="0000FF"/>
                <w:szCs w:val="21"/>
                <w:u w:val="single"/>
                <w:lang w:val="en-US" w:eastAsia="zh-CN"/>
              </w:rPr>
              <w:t>1</w:t>
            </w:r>
            <w:r>
              <w:rPr>
                <w:color w:val="0000FF"/>
                <w:szCs w:val="21"/>
              </w:rPr>
              <w:t>月</w:t>
            </w:r>
            <w:r>
              <w:rPr>
                <w:color w:val="0000FF"/>
                <w:szCs w:val="21"/>
                <w:u w:val="single"/>
              </w:rPr>
              <w:t xml:space="preserve">  </w:t>
            </w:r>
            <w:r>
              <w:rPr>
                <w:rFonts w:hint="eastAsia"/>
                <w:color w:val="0000FF"/>
                <w:szCs w:val="21"/>
                <w:u w:val="single"/>
                <w:lang w:val="en-US" w:eastAsia="zh-CN"/>
              </w:rPr>
              <w:t>6</w:t>
            </w:r>
            <w:r>
              <w:rPr>
                <w:color w:val="0000FF"/>
                <w:szCs w:val="21"/>
                <w:u w:val="single"/>
              </w:rPr>
              <w:t xml:space="preserve">  </w:t>
            </w:r>
            <w:r>
              <w:rPr>
                <w:color w:val="0000FF"/>
                <w:szCs w:val="21"/>
              </w:rPr>
              <w:t>日</w:t>
            </w:r>
            <w:r>
              <w:t>在现场确认了流程图的准确性。</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74" w:type="dxa"/>
            <w:vMerge w:val="continue"/>
            <w:shd w:val="clear" w:color="auto" w:fill="auto"/>
          </w:tcPr>
          <w:p/>
        </w:tc>
        <w:tc>
          <w:tcPr>
            <w:tcW w:w="936" w:type="dxa"/>
            <w:shd w:val="clear" w:color="auto" w:fill="auto"/>
          </w:tcPr>
          <w:p/>
        </w:tc>
        <w:tc>
          <w:tcPr>
            <w:tcW w:w="745" w:type="dxa"/>
            <w:shd w:val="clear" w:color="auto" w:fill="auto"/>
          </w:tcPr>
          <w:p/>
        </w:tc>
        <w:tc>
          <w:tcPr>
            <w:tcW w:w="1022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工艺流程图（含循环点、返工</w:t>
            </w:r>
            <w:r>
              <w:rPr>
                <w:rFonts w:hint="eastAsia"/>
              </w:rPr>
              <w:t>（不涉及）</w:t>
            </w:r>
            <w:r>
              <w:t>、物料进入、废料排出、外包等）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181"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危害分析</w:t>
            </w:r>
          </w:p>
        </w:tc>
        <w:tc>
          <w:tcPr>
            <w:tcW w:w="936" w:type="dxa"/>
            <w:vMerge w:val="restart"/>
            <w:shd w:val="clear" w:color="auto" w:fill="auto"/>
          </w:tcPr>
          <w:p>
            <w:r>
              <w:t>F8.5.2</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食品安全小组于</w:t>
            </w:r>
            <w:r>
              <w:rPr>
                <w:u w:val="single"/>
              </w:rPr>
              <w:t xml:space="preserve">  202</w:t>
            </w:r>
            <w:r>
              <w:rPr>
                <w:rFonts w:hint="eastAsia"/>
                <w:u w:val="single"/>
                <w:lang w:val="en-US" w:eastAsia="zh-CN"/>
              </w:rPr>
              <w:t>1</w:t>
            </w:r>
            <w:r>
              <w:rPr>
                <w:u w:val="single"/>
              </w:rPr>
              <w:t xml:space="preserve"> </w:t>
            </w:r>
            <w:r>
              <w:t>年</w:t>
            </w:r>
            <w:r>
              <w:rPr>
                <w:u w:val="single"/>
              </w:rPr>
              <w:t xml:space="preserve"> </w:t>
            </w:r>
            <w:r>
              <w:rPr>
                <w:rFonts w:hint="eastAsia"/>
                <w:u w:val="single"/>
                <w:lang w:val="en-US" w:eastAsia="zh-CN"/>
              </w:rPr>
              <w:t>5</w:t>
            </w:r>
            <w:r>
              <w:t>月</w:t>
            </w:r>
            <w:r>
              <w:rPr>
                <w:u w:val="single"/>
              </w:rPr>
              <w:t xml:space="preserve"> 1</w:t>
            </w:r>
            <w:r>
              <w:rPr>
                <w:rFonts w:hint="eastAsia"/>
                <w:u w:val="single"/>
                <w:lang w:val="en-US" w:eastAsia="zh-CN"/>
              </w:rPr>
              <w:t xml:space="preserve"> </w:t>
            </w:r>
            <w:r>
              <w:t>日根据初步情况进行危害分析，确定需要控制的危害。控制程度应确保食品安全，并在适当情况下采用多种控制措施的组合。</w:t>
            </w:r>
            <w:r>
              <w:rPr>
                <w:rFonts w:hint="eastAsia"/>
                <w:lang w:eastAsia="zh-CN"/>
              </w:rPr>
              <w:t>【</w:t>
            </w:r>
            <w:r>
              <w:rPr>
                <w:rFonts w:hint="eastAsia"/>
                <w:lang w:val="en-US" w:eastAsia="zh-CN"/>
              </w:rPr>
              <w:t>审核周期内未发生变化</w:t>
            </w:r>
            <w:r>
              <w:rPr>
                <w:rFonts w:hint="eastAsia"/>
                <w:lang w:eastAsia="zh-CN"/>
              </w:rPr>
              <w:t>】</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FE"/>
            </w:r>
            <w:r>
              <w:t xml:space="preserve">化学品（润滑油、清洁剂、消毒剂、杀虫剂）  </w:t>
            </w:r>
            <w:r>
              <w:rPr/>
              <w:sym w:font="Wingdings" w:char="00FE"/>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FE"/>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rFonts w:hint="default" w:eastAsia="宋体"/>
                      <w:bCs/>
                      <w:sz w:val="18"/>
                      <w:szCs w:val="18"/>
                      <w:lang w:val="en-US" w:eastAsia="zh-CN"/>
                    </w:rPr>
                  </w:pPr>
                  <w:r>
                    <w:rPr>
                      <w:rFonts w:hint="eastAsia"/>
                      <w:bCs/>
                      <w:sz w:val="18"/>
                      <w:szCs w:val="18"/>
                      <w:lang w:val="en-US" w:eastAsia="zh-CN"/>
                    </w:rPr>
                    <w:t>粮油类</w:t>
                  </w:r>
                </w:p>
              </w:tc>
              <w:tc>
                <w:tcPr>
                  <w:tcW w:w="3136" w:type="dxa"/>
                  <w:shd w:val="clear" w:color="auto" w:fill="auto"/>
                  <w:vAlign w:val="center"/>
                </w:tcPr>
                <w:p>
                  <w:pPr>
                    <w:jc w:val="center"/>
                    <w:rPr>
                      <w:lang w:val="en-GB"/>
                    </w:rPr>
                  </w:pPr>
                  <w:r>
                    <w:rPr/>
                    <w:sym w:font="Wingdings" w:char="00A8"/>
                  </w:r>
                  <w:r>
                    <w:rPr>
                      <w:lang w:val="en-GB"/>
                    </w:rPr>
                    <w:t>有害微生物</w:t>
                  </w:r>
                  <w:r>
                    <w:t xml:space="preserve"> </w:t>
                  </w:r>
                  <w:r>
                    <w:rPr/>
                    <w:sym w:font="Wingdings" w:char="00FE"/>
                  </w:r>
                  <w:r>
                    <w:rPr>
                      <w:lang w:val="en-GB"/>
                    </w:rPr>
                    <w:t>重金属</w:t>
                  </w:r>
                </w:p>
                <w:p>
                  <w:pPr>
                    <w:autoSpaceDE w:val="0"/>
                    <w:autoSpaceDN w:val="0"/>
                    <w:adjustRightInd w:val="0"/>
                    <w:jc w:val="center"/>
                    <w:rPr>
                      <w:lang w:val="en-GB"/>
                    </w:rPr>
                  </w:pPr>
                  <w:r>
                    <w:rPr/>
                    <w:sym w:font="Wingdings" w:char="00FE"/>
                  </w:r>
                  <w:r>
                    <w:rPr>
                      <w:lang w:val="en-GB"/>
                    </w:rPr>
                    <w:t xml:space="preserve">黄曲霉毒素 </w:t>
                  </w:r>
                  <w:r>
                    <w:rPr/>
                    <w:sym w:font="Wingdings" w:char="00FE"/>
                  </w:r>
                  <w:r>
                    <w:rPr>
                      <w:lang w:val="en-GB"/>
                    </w:rPr>
                    <w:t>苯并芘</w:t>
                  </w:r>
                </w:p>
                <w:p>
                  <w:pPr>
                    <w:jc w:val="center"/>
                    <w:rPr>
                      <w:rFonts w:hint="eastAsia" w:eastAsia="宋体"/>
                      <w:lang w:val="en-GB" w:eastAsia="zh-CN"/>
                    </w:rPr>
                  </w:pPr>
                  <w:r>
                    <w:rPr/>
                    <w:sym w:font="Wingdings" w:char="00FE"/>
                  </w:r>
                  <w:r>
                    <w:rPr>
                      <w:lang w:val="en-GB"/>
                    </w:rPr>
                    <w:t>农药残留</w:t>
                  </w:r>
                  <w:r>
                    <w:t xml:space="preserve">  </w:t>
                  </w:r>
                  <w:r>
                    <w:rPr/>
                    <w:sym w:font="Wingdings" w:char="00FE"/>
                  </w:r>
                  <w:r>
                    <w:rPr>
                      <w:rFonts w:hint="eastAsia"/>
                      <w:lang w:val="en-US" w:eastAsia="zh-CN"/>
                    </w:rPr>
                    <w:t>过氧化值</w:t>
                  </w:r>
                </w:p>
                <w:p>
                  <w:pPr>
                    <w:pStyle w:val="2"/>
                    <w:rPr>
                      <w:rFonts w:hint="default" w:eastAsia="宋体"/>
                      <w:lang w:val="en-US" w:eastAsia="zh-CN"/>
                    </w:rPr>
                  </w:pPr>
                  <w:r>
                    <w:rPr>
                      <w:sz w:val="18"/>
                      <w:szCs w:val="18"/>
                    </w:rPr>
                    <w:sym w:font="Wingdings" w:char="00FE"/>
                  </w:r>
                  <w:r>
                    <w:rPr>
                      <w:rFonts w:hint="eastAsia"/>
                      <w:sz w:val="18"/>
                      <w:szCs w:val="18"/>
                      <w:lang w:val="en-US" w:eastAsia="zh-CN"/>
                    </w:rPr>
                    <w:t xml:space="preserve">酸价  </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rFonts w:hint="default" w:eastAsia="宋体"/>
                      <w:bCs/>
                      <w:sz w:val="18"/>
                      <w:szCs w:val="18"/>
                      <w:lang w:val="en-US" w:eastAsia="zh-CN"/>
                    </w:rPr>
                  </w:pPr>
                  <w:r>
                    <w:rPr>
                      <w:bCs/>
                      <w:sz w:val="18"/>
                      <w:szCs w:val="18"/>
                      <w:lang w:val="en-GB"/>
                    </w:rPr>
                    <w:t>鲜、冻</w:t>
                  </w:r>
                  <w:r>
                    <w:rPr>
                      <w:rFonts w:hint="eastAsia"/>
                      <w:bCs/>
                      <w:sz w:val="18"/>
                      <w:szCs w:val="18"/>
                      <w:lang w:val="en-US" w:eastAsia="zh-CN"/>
                    </w:rPr>
                    <w:t>畜禽</w:t>
                  </w:r>
                  <w:r>
                    <w:rPr>
                      <w:bCs/>
                      <w:sz w:val="18"/>
                      <w:szCs w:val="18"/>
                      <w:lang w:val="en-GB"/>
                    </w:rPr>
                    <w:t>肉</w:t>
                  </w:r>
                  <w:r>
                    <w:rPr>
                      <w:rFonts w:hint="eastAsia"/>
                      <w:bCs/>
                      <w:sz w:val="18"/>
                      <w:szCs w:val="18"/>
                      <w:lang w:val="en-US" w:eastAsia="zh-CN"/>
                    </w:rPr>
                    <w:t>类产品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FE"/>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sz w:val="18"/>
                      <w:szCs w:val="18"/>
                    </w:rPr>
                  </w:pPr>
                  <w:r>
                    <w:rPr>
                      <w:sz w:val="18"/>
                      <w:szCs w:val="18"/>
                    </w:rPr>
                    <w:sym w:font="Wingdings" w:char="00A8"/>
                  </w:r>
                  <w:r>
                    <w:rPr>
                      <w:bCs/>
                      <w:sz w:val="18"/>
                      <w:szCs w:val="18"/>
                      <w:lang w:val="en-GB"/>
                    </w:rPr>
                    <w:t>农药残留</w:t>
                  </w: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10"/>
                    <w:ind w:left="0" w:firstLine="0" w:firstLineChars="0"/>
                    <w:rPr>
                      <w:sz w:val="18"/>
                      <w:szCs w:val="18"/>
                    </w:rPr>
                  </w:pPr>
                  <w:r>
                    <w:rPr>
                      <w:rFonts w:hint="eastAsia" w:ascii="Times New Roman" w:hAnsi="Times New Roman"/>
                      <w:bCs/>
                      <w:sz w:val="18"/>
                      <w:szCs w:val="18"/>
                    </w:rPr>
                    <w:t>（动物检疫证明、肉品质合格证</w:t>
                  </w:r>
                  <w:r>
                    <w:rPr>
                      <w:rFonts w:hint="eastAsia" w:ascii="Times New Roman" w:hAnsi="Times New Roman"/>
                      <w:bCs/>
                      <w:sz w:val="18"/>
                      <w:szCs w:val="18"/>
                      <w:lang w:val="en-US" w:eastAsia="zh-CN"/>
                    </w:rPr>
                    <w:t>等</w:t>
                  </w:r>
                  <w:r>
                    <w:rPr>
                      <w:rFonts w:hint="eastAsia" w:ascii="Times New Roman" w:hAnsi="Times New Roman"/>
                      <w:bCs/>
                      <w:sz w:val="18"/>
                      <w:szCs w:val="18"/>
                    </w:rPr>
                    <w:t>）</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r>
                    <w:rPr>
                      <w:rFonts w:hint="eastAsia"/>
                      <w:bCs/>
                      <w:sz w:val="18"/>
                      <w:szCs w:val="18"/>
                      <w:lang w:val="en-US" w:eastAsia="zh-CN"/>
                    </w:rPr>
                    <w:t>等</w:t>
                  </w:r>
                  <w:r>
                    <w:rPr>
                      <w:bCs/>
                      <w:sz w:val="18"/>
                      <w:szCs w:val="18"/>
                    </w:rPr>
                    <w:t>）</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eastAsia" w:eastAsia="宋体"/>
                      <w:lang w:val="en-US" w:eastAsia="zh-CN"/>
                    </w:rPr>
                  </w:pPr>
                  <w:r>
                    <w:rPr>
                      <w:rFonts w:hint="eastAsia"/>
                      <w:lang w:val="en-US" w:eastAsia="zh-CN"/>
                    </w:rPr>
                    <w:t>果蔬类</w:t>
                  </w:r>
                </w:p>
                <w:p>
                  <w:pPr>
                    <w:pStyle w:val="2"/>
                  </w:pP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rFonts w:ascii="Times New Roman" w:hAnsi="Times New Roman" w:eastAsia="宋体" w:cs="Times New Roman"/>
                      <w:bCs/>
                      <w:kern w:val="2"/>
                      <w:sz w:val="18"/>
                      <w:szCs w:val="18"/>
                      <w:lang w:val="en-GB" w:eastAsia="zh-CN" w:bidi="ar-SA"/>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rFonts w:ascii="Times New Roman" w:hAnsi="Times New Roman" w:eastAsia="宋体" w:cs="Times New Roman"/>
                      <w:bCs/>
                      <w:kern w:val="2"/>
                      <w:sz w:val="18"/>
                      <w:szCs w:val="18"/>
                      <w:lang w:val="en-US" w:eastAsia="zh-CN" w:bidi="ar-SA"/>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rFonts w:hint="eastAsia" w:eastAsia="宋体"/>
                      <w:bCs/>
                      <w:sz w:val="18"/>
                      <w:szCs w:val="18"/>
                      <w:lang w:val="en-US" w:eastAsia="zh-CN"/>
                    </w:rPr>
                  </w:pPr>
                  <w:r>
                    <w:rPr>
                      <w:bCs/>
                      <w:sz w:val="18"/>
                      <w:szCs w:val="18"/>
                    </w:rPr>
                    <w:t>塑料袋</w:t>
                  </w:r>
                  <w:r>
                    <w:rPr>
                      <w:rFonts w:hint="eastAsia"/>
                      <w:bCs/>
                      <w:sz w:val="18"/>
                      <w:szCs w:val="18"/>
                      <w:lang w:val="en-US" w:eastAsia="zh-CN"/>
                    </w:rPr>
                    <w:t>等</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p>
                  <w:pPr>
                    <w:autoSpaceDE w:val="0"/>
                    <w:autoSpaceDN w:val="0"/>
                    <w:adjustRightInd w:val="0"/>
                    <w:jc w:val="center"/>
                    <w:rPr>
                      <w:rFonts w:hint="default" w:eastAsia="宋体"/>
                      <w:bCs/>
                      <w:sz w:val="18"/>
                      <w:szCs w:val="18"/>
                      <w:lang w:val="en-US" w:eastAsia="zh-CN"/>
                    </w:rPr>
                  </w:pPr>
                  <w:r>
                    <w:rPr>
                      <w:sz w:val="18"/>
                      <w:szCs w:val="18"/>
                    </w:rPr>
                    <w:sym w:font="Wingdings" w:char="00FE"/>
                  </w:r>
                  <w:r>
                    <w:rPr>
                      <w:rFonts w:hint="eastAsia"/>
                      <w:bCs/>
                      <w:sz w:val="18"/>
                      <w:szCs w:val="18"/>
                      <w:lang w:val="en-US" w:eastAsia="zh-CN"/>
                    </w:rPr>
                    <w:t>从合格供方采购</w:t>
                  </w:r>
                </w:p>
                <w:p>
                  <w:pPr>
                    <w:autoSpaceDE w:val="0"/>
                    <w:autoSpaceDN w:val="0"/>
                    <w:adjustRightInd w:val="0"/>
                    <w:jc w:val="center"/>
                    <w:rPr>
                      <w:bCs/>
                      <w:sz w:val="18"/>
                      <w:szCs w:val="18"/>
                    </w:rPr>
                  </w:pPr>
                </w:p>
              </w:tc>
            </w:tr>
          </w:tbl>
          <w:p>
            <w:pPr>
              <w:rPr>
                <w:bCs/>
              </w:rPr>
            </w:pPr>
          </w:p>
          <w:p>
            <w:pPr>
              <w:rPr>
                <w:bCs/>
              </w:rPr>
            </w:pPr>
          </w:p>
          <w:p>
            <w:pPr>
              <w:tabs>
                <w:tab w:val="right" w:pos="3119"/>
              </w:tabs>
              <w:rPr>
                <w:b/>
              </w:rPr>
            </w:pPr>
            <w:r>
              <w:rPr>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rPr>
                    <w:t>粮油类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sym w:font="Wingdings" w:char="00A8"/>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FE"/>
                  </w:r>
                  <w:r>
                    <w:rPr>
                      <w:bCs/>
                      <w:lang w:val="en-GB"/>
                    </w:rPr>
                    <w:t>苯并芘</w:t>
                  </w:r>
                </w:p>
                <w:p>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rPr>
                    <w:t>调味品</w:t>
                  </w:r>
                  <w:r>
                    <w:rPr>
                      <w:rFonts w:hint="eastAsia"/>
                      <w:bCs/>
                    </w:rPr>
                    <w:t>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Cs/>
                      <w:lang w:val="en-GB" w:eastAsia="zh-CN"/>
                    </w:rPr>
                  </w:pPr>
                  <w:r>
                    <w:rPr>
                      <w:rFonts w:hint="eastAsia"/>
                      <w:bCs/>
                    </w:rPr>
                    <w:t>畜禽肉类</w:t>
                  </w:r>
                  <w:r>
                    <w:rPr>
                      <w:rFonts w:hint="eastAsia"/>
                      <w:bCs/>
                      <w:lang w:eastAsia="zh-CN"/>
                    </w:rPr>
                    <w:t>【</w:t>
                  </w:r>
                  <w:r>
                    <w:rPr>
                      <w:rFonts w:hint="eastAsia"/>
                      <w:bCs/>
                      <w:lang w:val="en-US" w:eastAsia="zh-CN"/>
                    </w:rPr>
                    <w:t>冷藏、冷冻</w:t>
                  </w:r>
                  <w:r>
                    <w:rPr>
                      <w:rFonts w:hint="eastAsia"/>
                      <w:bCs/>
                      <w:lang w:eastAsia="zh-CN"/>
                    </w:rPr>
                    <w:t>】</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eastAsia="宋体"/>
                      <w:bCs/>
                      <w:lang w:val="en-US" w:eastAsia="zh-CN"/>
                    </w:rPr>
                  </w:pPr>
                  <w:r>
                    <w:rPr>
                      <w:rFonts w:hint="eastAsia"/>
                      <w:bCs/>
                      <w:lang w:val="en-US" w:eastAsia="zh-CN"/>
                    </w:rPr>
                    <w:t>水产品类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lang w:val="en-GB" w:eastAsia="zh-CN" w:bidi="ar-SA"/>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bCs/>
                      <w:lang w:val="en-US" w:eastAsia="zh-CN"/>
                    </w:rPr>
                  </w:pPr>
                  <w:r>
                    <w:rPr>
                      <w:rFonts w:hint="eastAsia"/>
                      <w:bCs/>
                      <w:lang w:val="en-US" w:eastAsia="zh-CN"/>
                    </w:rPr>
                    <w:t>禽蛋类</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A8"/>
                  </w:r>
                  <w:r>
                    <w:rPr>
                      <w:bCs/>
                      <w:lang w:val="en-GB"/>
                    </w:rPr>
                    <w:t>重金属</w:t>
                  </w:r>
                </w:p>
                <w:p>
                  <w:pPr>
                    <w:autoSpaceDE w:val="0"/>
                    <w:autoSpaceDN w:val="0"/>
                    <w:adjustRightInd w:val="0"/>
                    <w:jc w:val="center"/>
                    <w:rPr>
                      <w:bCs/>
                      <w:lang w:val="en-GB"/>
                    </w:rPr>
                  </w:pPr>
                  <w:r>
                    <w:rPr>
                      <w:bCs/>
                    </w:rPr>
                    <w:sym w:font="Wingdings" w:char="00A8"/>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lang w:val="en-GB" w:eastAsia="zh-CN" w:bidi="ar-SA"/>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eastAsia="宋体"/>
                      <w:bCs/>
                      <w:lang w:val="en-US" w:eastAsia="zh-CN"/>
                    </w:rPr>
                  </w:pPr>
                  <w:r>
                    <w:rPr>
                      <w:rFonts w:hint="eastAsia"/>
                      <w:bCs/>
                    </w:rPr>
                    <w:t>塑料袋</w:t>
                  </w:r>
                  <w:r>
                    <w:rPr>
                      <w:rFonts w:hint="eastAsia"/>
                      <w:bCs/>
                      <w:lang w:val="en-US" w:eastAsia="zh-CN"/>
                    </w:rPr>
                    <w:t>等</w:t>
                  </w:r>
                </w:p>
              </w:tc>
              <w:tc>
                <w:tcPr>
                  <w:tcW w:w="2873" w:type="dxa"/>
                  <w:shd w:val="clear" w:color="auto" w:fill="auto"/>
                  <w:vAlign w:val="center"/>
                </w:tcPr>
                <w:p>
                  <w:pPr>
                    <w:jc w:val="center"/>
                    <w:rPr>
                      <w:lang w:val="en-GB"/>
                    </w:rPr>
                  </w:pPr>
                  <w:r>
                    <w:rPr/>
                    <w:sym w:font="Wingdings" w:char="00FE"/>
                  </w:r>
                  <w:r>
                    <w:rPr>
                      <w:lang w:val="en-GB"/>
                    </w:rPr>
                    <w:t>有害微生物</w:t>
                  </w:r>
                  <w:r>
                    <w:t xml:space="preserve"> </w:t>
                  </w:r>
                  <w:r>
                    <w:rPr/>
                    <w:sym w:font="Wingdings" w:char="00A8"/>
                  </w:r>
                  <w:r>
                    <w:rPr>
                      <w:lang w:val="en-GB"/>
                    </w:rPr>
                    <w:t>重金属</w:t>
                  </w:r>
                </w:p>
                <w:p>
                  <w:pPr>
                    <w:autoSpaceDE w:val="0"/>
                    <w:autoSpaceDN w:val="0"/>
                    <w:adjustRightInd w:val="0"/>
                    <w:jc w:val="center"/>
                    <w:rPr>
                      <w:lang w:val="en-GB"/>
                    </w:rPr>
                  </w:pPr>
                  <w:r>
                    <w:rPr/>
                    <w:sym w:font="Wingdings" w:char="00A8"/>
                  </w:r>
                  <w:r>
                    <w:rPr>
                      <w:lang w:val="en-GB"/>
                    </w:rPr>
                    <w:t xml:space="preserve">黄曲霉毒素 </w:t>
                  </w:r>
                  <w:r>
                    <w:rPr/>
                    <w:sym w:font="Wingdings" w:char="00A8"/>
                  </w:r>
                  <w:r>
                    <w:rPr>
                      <w:lang w:val="en-GB"/>
                    </w:rPr>
                    <w:t>苯并芘</w:t>
                  </w:r>
                </w:p>
                <w:p>
                  <w:pPr>
                    <w:jc w:val="center"/>
                    <w:rPr>
                      <w:lang w:val="en-GB"/>
                    </w:rPr>
                  </w:pPr>
                  <w:r>
                    <w:rPr/>
                    <w:sym w:font="Wingdings" w:char="00A8"/>
                  </w:r>
                  <w:r>
                    <w:rPr>
                      <w:lang w:val="en-GB"/>
                    </w:rPr>
                    <w:t>农药残留</w:t>
                  </w:r>
                  <w:r>
                    <w:t xml:space="preserve">  </w:t>
                  </w:r>
                  <w:r>
                    <w:rPr/>
                    <w:sym w:font="Wingdings" w:char="00A8"/>
                  </w:r>
                  <w:r>
                    <w:t>兽</w:t>
                  </w:r>
                  <w:r>
                    <w:rPr>
                      <w:lang w:val="en-GB"/>
                    </w:rPr>
                    <w:t>药残留</w:t>
                  </w:r>
                </w:p>
                <w:p>
                  <w:pPr>
                    <w:pStyle w:val="10"/>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eastAsia"/>
                      <w:bCs/>
                    </w:rPr>
                  </w:pPr>
                </w:p>
              </w:tc>
              <w:tc>
                <w:tcPr>
                  <w:tcW w:w="2873" w:type="dxa"/>
                  <w:shd w:val="clear" w:color="auto" w:fill="auto"/>
                  <w:vAlign w:val="center"/>
                </w:tcPr>
                <w:p>
                  <w:pPr>
                    <w:pStyle w:val="10"/>
                    <w:rPr>
                      <w:rFonts w:ascii="Times New Roman" w:hAnsi="Times New Roman"/>
                    </w:rPr>
                  </w:pPr>
                </w:p>
              </w:tc>
              <w:tc>
                <w:tcPr>
                  <w:tcW w:w="3665" w:type="dxa"/>
                  <w:shd w:val="clear" w:color="auto" w:fill="auto"/>
                  <w:vAlign w:val="center"/>
                </w:tcPr>
                <w:p>
                  <w:pPr>
                    <w:jc w:val="center"/>
                    <w:rPr>
                      <w:bCs/>
                    </w:rPr>
                  </w:pPr>
                </w:p>
              </w:tc>
            </w:tr>
          </w:tbl>
          <w:p>
            <w:pPr>
              <w:rPr>
                <w:rFonts w:hint="default"/>
                <w:lang w:val="en-US" w:eastAsia="zh-CN"/>
              </w:rPr>
            </w:pPr>
          </w:p>
          <w:p>
            <w:r>
              <w:t>出现、引入的危害：</w:t>
            </w:r>
          </w:p>
          <w:p>
            <w:r>
              <w:rPr/>
              <w:sym w:font="Wingdings" w:char="00A8"/>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lang w:val="en-US" w:eastAsia="zh-CN"/>
              </w:rPr>
              <w:t>的污染</w:t>
            </w:r>
            <w:r>
              <w:rPr>
                <w:rFonts w:hint="eastAsia"/>
                <w:u w:val="single"/>
              </w:rPr>
              <w:t xml:space="preserve"> </w:t>
            </w:r>
            <w:r>
              <w:rPr>
                <w:u w:val="single"/>
              </w:rPr>
              <w:t xml:space="preserve">     </w:t>
            </w:r>
          </w:p>
          <w:p/>
          <w:p>
            <w:pPr>
              <w:pStyle w:val="10"/>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rFonts w:hint="default" w:eastAsia="宋体"/>
                      <w:bCs/>
                      <w:szCs w:val="21"/>
                      <w:lang w:val="en-US" w:eastAsia="zh-CN"/>
                    </w:rPr>
                  </w:pPr>
                  <w:r>
                    <w:rPr>
                      <w:bCs/>
                      <w:szCs w:val="21"/>
                    </w:rPr>
                    <w:t>按照GB2715-2016</w:t>
                  </w:r>
                  <w:r>
                    <w:rPr>
                      <w:rFonts w:hint="eastAsia"/>
                      <w:bCs/>
                      <w:szCs w:val="21"/>
                    </w:rPr>
                    <w:t>、</w:t>
                  </w:r>
                  <w:r>
                    <w:rPr>
                      <w:bCs/>
                      <w:szCs w:val="21"/>
                    </w:rPr>
                    <w:t>GB2762</w:t>
                  </w:r>
                  <w:r>
                    <w:rPr>
                      <w:rFonts w:hint="eastAsia"/>
                      <w:bCs/>
                      <w:szCs w:val="21"/>
                      <w:lang w:val="en-US" w:eastAsia="zh-CN"/>
                    </w:rPr>
                    <w:t xml:space="preserve"> </w:t>
                  </w:r>
                  <w:r>
                    <w:rPr>
                      <w:rFonts w:hint="eastAsia"/>
                      <w:bCs/>
                      <w:szCs w:val="21"/>
                    </w:rPr>
                    <w:t>、GB 2716</w:t>
                  </w:r>
                  <w:r>
                    <w:rPr>
                      <w:rFonts w:hint="eastAsia"/>
                      <w:bCs/>
                      <w:szCs w:val="21"/>
                      <w:lang w:val="en-US" w:eastAsia="zh-CN"/>
                    </w:rPr>
                    <w:t xml:space="preserve"> </w:t>
                  </w:r>
                  <w:r>
                    <w:rPr>
                      <w:rFonts w:hint="eastAsia"/>
                      <w:bCs/>
                      <w:szCs w:val="21"/>
                    </w:rPr>
                    <w:t>、GB2763</w:t>
                  </w:r>
                  <w:r>
                    <w:rPr>
                      <w:rFonts w:hint="eastAsia"/>
                      <w:bCs/>
                      <w:szCs w:val="21"/>
                      <w:lang w:val="en-US" w:eastAsia="zh-CN"/>
                    </w:rPr>
                    <w:t xml:space="preserve"> </w:t>
                  </w:r>
                  <w:r>
                    <w:rPr>
                      <w:rFonts w:hint="eastAsia"/>
                      <w:bCs/>
                      <w:szCs w:val="21"/>
                    </w:rPr>
                    <w:t>、GB2761</w:t>
                  </w:r>
                  <w:r>
                    <w:rPr>
                      <w:rFonts w:hint="eastAsia"/>
                      <w:bCs/>
                      <w:szCs w:val="21"/>
                      <w:lang w:val="en-US" w:eastAsia="zh-CN"/>
                    </w:rPr>
                    <w:t xml:space="preserve"> 等标准</w:t>
                  </w:r>
                  <w:r>
                    <w:rPr>
                      <w:rFonts w:hint="eastAsia"/>
                      <w:bCs/>
                      <w:szCs w:val="21"/>
                    </w:rPr>
                    <w:t>执行，外包装完好</w:t>
                  </w:r>
                  <w:r>
                    <w:rPr>
                      <w:rFonts w:hint="eastAsia"/>
                      <w:bCs/>
                      <w:szCs w:val="21"/>
                      <w:lang w:eastAsia="zh-CN"/>
                    </w:rPr>
                    <w:t>、</w:t>
                  </w:r>
                  <w:r>
                    <w:rPr>
                      <w:rFonts w:hint="eastAsia"/>
                      <w:bCs/>
                      <w:szCs w:val="21"/>
                      <w:lang w:val="en-US" w:eastAsia="zh-CN"/>
                    </w:rPr>
                    <w:t>每年索取第三方检测报告</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w:t>
                  </w:r>
                  <w:r>
                    <w:rPr>
                      <w:rFonts w:hint="eastAsia"/>
                      <w:bCs/>
                      <w:szCs w:val="21"/>
                      <w:lang w:val="en-US" w:eastAsia="zh-CN"/>
                    </w:rPr>
                    <w:t xml:space="preserve"> </w:t>
                  </w:r>
                  <w:r>
                    <w:rPr>
                      <w:rFonts w:hint="eastAsia"/>
                      <w:bCs/>
                      <w:szCs w:val="21"/>
                    </w:rPr>
                    <w:t>、GB2761</w:t>
                  </w:r>
                  <w:r>
                    <w:rPr>
                      <w:rFonts w:hint="eastAsia"/>
                      <w:bCs/>
                      <w:szCs w:val="21"/>
                      <w:lang w:val="en-US" w:eastAsia="zh-CN"/>
                    </w:rPr>
                    <w:t xml:space="preserve"> 以及产品标准</w:t>
                  </w:r>
                  <w:r>
                    <w:rPr>
                      <w:rFonts w:hint="eastAsia"/>
                      <w:bCs/>
                      <w:szCs w:val="21"/>
                    </w:rPr>
                    <w:t>执行，外包装完好外包装完好</w:t>
                  </w:r>
                  <w:r>
                    <w:rPr>
                      <w:rFonts w:hint="eastAsia"/>
                      <w:bCs/>
                      <w:szCs w:val="21"/>
                      <w:lang w:eastAsia="zh-CN"/>
                    </w:rPr>
                    <w:t>、</w:t>
                  </w:r>
                  <w:r>
                    <w:rPr>
                      <w:rFonts w:hint="eastAsia"/>
                      <w:bCs/>
                      <w:szCs w:val="21"/>
                      <w:lang w:val="en-US" w:eastAsia="zh-CN"/>
                    </w:rPr>
                    <w:t>每年索取第三方检测报告</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eastAsia" w:eastAsia="宋体"/>
                      <w:bCs/>
                      <w:szCs w:val="21"/>
                      <w:lang w:val="en-GB" w:eastAsia="zh-CN"/>
                    </w:rPr>
                  </w:pPr>
                  <w:r>
                    <w:rPr>
                      <w:rFonts w:hint="eastAsia"/>
                      <w:bCs/>
                      <w:szCs w:val="21"/>
                    </w:rPr>
                    <w:t>畜禽肉类</w:t>
                  </w:r>
                  <w:r>
                    <w:rPr>
                      <w:rFonts w:hint="eastAsia"/>
                      <w:bCs/>
                      <w:szCs w:val="21"/>
                      <w:lang w:eastAsia="zh-CN"/>
                    </w:rPr>
                    <w:t>【</w:t>
                  </w:r>
                  <w:r>
                    <w:rPr>
                      <w:rFonts w:hint="eastAsia"/>
                      <w:bCs/>
                      <w:szCs w:val="21"/>
                      <w:lang w:val="en-US" w:eastAsia="zh-CN"/>
                    </w:rPr>
                    <w:t>冷藏冷冻类</w:t>
                  </w:r>
                  <w:r>
                    <w:rPr>
                      <w:rFonts w:hint="eastAsia"/>
                      <w:bCs/>
                      <w:szCs w:val="21"/>
                      <w:lang w:eastAsia="zh-CN"/>
                    </w:rPr>
                    <w:t>】</w:t>
                  </w:r>
                </w:p>
              </w:tc>
              <w:tc>
                <w:tcPr>
                  <w:tcW w:w="4263" w:type="dxa"/>
                  <w:shd w:val="clear" w:color="auto" w:fill="auto"/>
                  <w:vAlign w:val="center"/>
                </w:tcPr>
                <w:p>
                  <w:pPr>
                    <w:jc w:val="center"/>
                    <w:rPr>
                      <w:rFonts w:hint="default" w:eastAsia="宋体"/>
                      <w:bCs/>
                      <w:szCs w:val="21"/>
                      <w:lang w:val="en-US" w:eastAsia="zh-CN"/>
                    </w:rPr>
                  </w:pPr>
                  <w:r>
                    <w:rPr>
                      <w:rFonts w:hint="eastAsia"/>
                      <w:bCs/>
                      <w:szCs w:val="21"/>
                    </w:rPr>
                    <w:t>按照</w:t>
                  </w:r>
                  <w:r>
                    <w:rPr>
                      <w:bCs/>
                      <w:szCs w:val="21"/>
                    </w:rPr>
                    <w:t>GB31650</w:t>
                  </w:r>
                  <w:r>
                    <w:rPr>
                      <w:rFonts w:hint="eastAsia"/>
                      <w:bCs/>
                      <w:szCs w:val="21"/>
                    </w:rPr>
                    <w:t>、</w:t>
                  </w:r>
                  <w:r>
                    <w:rPr>
                      <w:bCs/>
                      <w:szCs w:val="21"/>
                    </w:rPr>
                    <w:t>GB</w:t>
                  </w:r>
                  <w:r>
                    <w:rPr>
                      <w:rFonts w:hint="eastAsia"/>
                      <w:bCs/>
                      <w:szCs w:val="21"/>
                    </w:rPr>
                    <w:t xml:space="preserve"> 168695、GB 2707执行，目测正常</w:t>
                  </w:r>
                  <w:r>
                    <w:rPr>
                      <w:rFonts w:hint="eastAsia"/>
                      <w:bCs/>
                      <w:szCs w:val="21"/>
                      <w:lang w:eastAsia="zh-CN"/>
                    </w:rPr>
                    <w:t>、</w:t>
                  </w:r>
                  <w:r>
                    <w:rPr>
                      <w:rFonts w:hint="eastAsia"/>
                      <w:bCs/>
                      <w:szCs w:val="21"/>
                      <w:lang w:val="en-US" w:eastAsia="zh-CN"/>
                    </w:rPr>
                    <w:t>鲜畜禽肉每批索证；</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果蔬类</w:t>
                  </w:r>
                </w:p>
              </w:tc>
              <w:tc>
                <w:tcPr>
                  <w:tcW w:w="4263" w:type="dxa"/>
                  <w:shd w:val="clear" w:color="auto" w:fill="auto"/>
                  <w:vAlign w:val="center"/>
                </w:tcPr>
                <w:p>
                  <w:pPr>
                    <w:jc w:val="center"/>
                    <w:rPr>
                      <w:rFonts w:hint="default" w:eastAsia="宋体"/>
                      <w:bCs/>
                      <w:szCs w:val="21"/>
                      <w:lang w:val="en-US" w:eastAsia="zh-CN"/>
                    </w:rPr>
                  </w:pPr>
                  <w:r>
                    <w:rPr>
                      <w:bCs/>
                      <w:szCs w:val="21"/>
                    </w:rPr>
                    <w:t>目视洁净</w:t>
                  </w:r>
                  <w:r>
                    <w:rPr>
                      <w:rFonts w:hint="eastAsia"/>
                      <w:bCs/>
                      <w:szCs w:val="21"/>
                    </w:rPr>
                    <w:t>、农残按照GB 2763</w:t>
                  </w:r>
                  <w:r>
                    <w:rPr>
                      <w:rFonts w:hint="eastAsia"/>
                      <w:bCs/>
                      <w:szCs w:val="21"/>
                      <w:lang w:val="en-US" w:eastAsia="zh-CN"/>
                    </w:rPr>
                    <w:t xml:space="preserve"> </w:t>
                  </w:r>
                  <w:r>
                    <w:rPr>
                      <w:rFonts w:hint="eastAsia"/>
                      <w:bCs/>
                      <w:szCs w:val="21"/>
                    </w:rPr>
                    <w:t>执行，目测正常，无腐烂</w:t>
                  </w:r>
                  <w:r>
                    <w:rPr>
                      <w:rFonts w:hint="eastAsia"/>
                      <w:bCs/>
                      <w:szCs w:val="21"/>
                      <w:lang w:eastAsia="zh-CN"/>
                    </w:rPr>
                    <w:t>、</w:t>
                  </w:r>
                  <w:r>
                    <w:rPr>
                      <w:rFonts w:hint="eastAsia"/>
                      <w:bCs/>
                      <w:szCs w:val="21"/>
                      <w:lang w:val="en-US" w:eastAsia="zh-CN"/>
                    </w:rPr>
                    <w:t>农残测试合格</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eastAsia" w:eastAsia="宋体"/>
                      <w:bCs/>
                      <w:szCs w:val="21"/>
                      <w:lang w:val="en-US" w:eastAsia="zh-CN"/>
                    </w:rPr>
                  </w:pPr>
                  <w:r>
                    <w:rPr>
                      <w:rFonts w:hint="eastAsia"/>
                      <w:bCs/>
                      <w:szCs w:val="21"/>
                      <w:lang w:val="en-US" w:eastAsia="zh-CN"/>
                    </w:rPr>
                    <w:t>水产品类</w:t>
                  </w:r>
                </w:p>
              </w:tc>
              <w:tc>
                <w:tcPr>
                  <w:tcW w:w="4263" w:type="dxa"/>
                  <w:shd w:val="clear" w:color="auto" w:fill="auto"/>
                  <w:vAlign w:val="center"/>
                </w:tcPr>
                <w:p>
                  <w:pPr>
                    <w:jc w:val="center"/>
                    <w:rPr>
                      <w:rFonts w:hint="default" w:eastAsia="宋体"/>
                      <w:bCs/>
                      <w:szCs w:val="21"/>
                      <w:lang w:val="en-US" w:eastAsia="zh-CN"/>
                    </w:rPr>
                  </w:pPr>
                  <w:r>
                    <w:rPr>
                      <w:rFonts w:hint="eastAsia"/>
                      <w:bCs/>
                      <w:szCs w:val="21"/>
                      <w:lang w:val="en-US" w:eastAsia="zh-CN"/>
                    </w:rPr>
                    <w:t>感官新鲜，按照GB 31650标准执行</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bottom"/>
                </w:tcPr>
                <w:p>
                  <w:pPr>
                    <w:rPr>
                      <w:bCs/>
                    </w:rPr>
                  </w:pPr>
                  <w:r>
                    <w:rPr>
                      <w:rFonts w:hint="eastAsia"/>
                      <w:bCs/>
                    </w:rPr>
                    <w:t>目视洁净</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A8"/>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pPr>
              <w:rPr>
                <w:rFonts w:hint="default" w:eastAsia="宋体"/>
                <w:lang w:val="en-US" w:eastAsia="zh-CN"/>
              </w:rPr>
            </w:pPr>
            <w:r>
              <w:rPr/>
              <w:sym w:font="Wingdings" w:char="00FE"/>
            </w:r>
            <w:r>
              <w:t>已收集相关法规</w:t>
            </w:r>
            <w:r>
              <w:rPr>
                <w:rFonts w:hint="eastAsia"/>
                <w:lang w:eastAsia="zh-CN"/>
              </w:rPr>
              <w:t>——</w:t>
            </w:r>
            <w:r>
              <w:rPr>
                <w:rFonts w:hint="eastAsia"/>
                <w:lang w:val="en-US" w:eastAsia="zh-CN"/>
              </w:rPr>
              <w:t>见人事部审核记录</w:t>
            </w:r>
          </w:p>
          <w:p>
            <w:r>
              <w:rPr/>
              <w:sym w:font="Wingdings" w:char="00A8"/>
            </w:r>
            <w:r>
              <w:t>未收集相关法规</w:t>
            </w:r>
          </w:p>
          <w:p>
            <w:r>
              <w:rPr/>
              <w:sym w:font="Wingdings" w:char="00A8"/>
            </w:r>
            <w:r>
              <w:t>收集相关法规不全面，说明：</w:t>
            </w:r>
            <w:r>
              <w:rPr>
                <w:u w:val="single"/>
              </w:rPr>
              <w:t xml:space="preserve">                  </w:t>
            </w: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74" w:type="dxa"/>
            <w:vMerge w:val="restart"/>
            <w:shd w:val="clear" w:color="auto" w:fill="auto"/>
          </w:tcPr>
          <w:p>
            <w:r>
              <w:t>控制措施组合的确认</w:t>
            </w:r>
          </w:p>
          <w:p/>
        </w:tc>
        <w:tc>
          <w:tcPr>
            <w:tcW w:w="936" w:type="dxa"/>
            <w:vMerge w:val="restart"/>
            <w:shd w:val="clear" w:color="auto" w:fill="auto"/>
          </w:tcPr>
          <w:p>
            <w:r>
              <w:t>F8.5.3</w:t>
            </w:r>
          </w:p>
          <w:p/>
        </w:tc>
        <w:tc>
          <w:tcPr>
            <w:tcW w:w="745" w:type="dxa"/>
            <w:shd w:val="clear" w:color="auto" w:fill="auto"/>
          </w:tcPr>
          <w:p>
            <w:r>
              <w:t>文件名称</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181"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b/>
                <w:bCs/>
                <w:color w:val="000000" w:themeColor="text1"/>
                <w:u w:val="single"/>
                <w14:textFill>
                  <w14:solidFill>
                    <w14:schemeClr w14:val="tx1"/>
                  </w14:solidFill>
                </w14:textFill>
              </w:rPr>
            </w:pPr>
            <w:r>
              <w:rPr>
                <w:b/>
                <w:bCs/>
                <w:color w:val="000000" w:themeColor="text1"/>
                <w14:textFill>
                  <w14:solidFill>
                    <w14:schemeClr w14:val="tx1"/>
                  </w14:solidFill>
                </w14:textFill>
              </w:rPr>
              <w:t>抽取成品型式检验相关记录名称：</w:t>
            </w:r>
            <w:r>
              <w:rPr>
                <w:b/>
                <w:bCs/>
                <w:color w:val="000000" w:themeColor="text1"/>
                <w:u w:val="single"/>
                <w14:textFill>
                  <w14:solidFill>
                    <w14:schemeClr w14:val="tx1"/>
                  </w14:solidFill>
                </w14:textFill>
              </w:rPr>
              <w:t xml:space="preserve">《 </w:t>
            </w:r>
            <w:r>
              <w:rPr>
                <w:rFonts w:hint="eastAsia"/>
                <w:b/>
                <w:bCs/>
                <w:color w:val="000000" w:themeColor="text1"/>
                <w:u w:val="single"/>
                <w14:textFill>
                  <w14:solidFill>
                    <w14:schemeClr w14:val="tx1"/>
                  </w14:solidFill>
                </w14:textFill>
              </w:rPr>
              <w:t>检测报告</w:t>
            </w:r>
            <w:r>
              <w:rPr>
                <w:b/>
                <w:bCs/>
                <w:color w:val="000000" w:themeColor="text1"/>
                <w:u w:val="single"/>
                <w14:textFill>
                  <w14:solidFill>
                    <w14:schemeClr w14:val="tx1"/>
                  </w14:solidFill>
                </w14:textFill>
              </w:rPr>
              <w:t xml:space="preserve"> 》</w:t>
            </w:r>
            <w:r>
              <w:rPr>
                <w:rFonts w:hint="eastAsia"/>
                <w:b/>
                <w:bCs/>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w:t>
            </w:r>
            <w:r>
              <w:rPr>
                <w:rFonts w:hint="eastAsia" w:ascii="宋体" w:hAnsi="宋体"/>
                <w:b/>
                <w:bCs/>
                <w:color w:val="auto"/>
                <w:szCs w:val="21"/>
                <w:u w:val="single"/>
                <w:lang w:val="en-US" w:eastAsia="zh-CN"/>
              </w:rPr>
              <w:t>控制措施组合确认记录</w:t>
            </w:r>
            <w:r>
              <w:rPr>
                <w:rFonts w:hint="eastAsia" w:ascii="宋体" w:hAnsi="宋体"/>
                <w:b/>
                <w:bCs/>
                <w:szCs w:val="21"/>
                <w:u w:val="single"/>
              </w:rPr>
              <w:t>》，</w:t>
            </w:r>
            <w:r>
              <w:rPr>
                <w:rFonts w:hint="eastAsia" w:ascii="宋体" w:hAnsi="宋体"/>
                <w:b/>
                <w:bCs/>
                <w:color w:val="auto"/>
                <w:szCs w:val="21"/>
                <w:u w:val="single"/>
                <w:lang w:eastAsia="zh-CN"/>
              </w:rPr>
              <w:t>2022年0</w:t>
            </w:r>
            <w:r>
              <w:rPr>
                <w:rFonts w:hint="eastAsia" w:ascii="宋体" w:hAnsi="宋体"/>
                <w:b/>
                <w:bCs/>
                <w:color w:val="auto"/>
                <w:szCs w:val="21"/>
                <w:u w:val="single"/>
                <w:lang w:val="en-US" w:eastAsia="zh-CN"/>
              </w:rPr>
              <w:t>8</w:t>
            </w:r>
            <w:r>
              <w:rPr>
                <w:rFonts w:hint="eastAsia" w:ascii="宋体" w:hAnsi="宋体"/>
                <w:b/>
                <w:bCs/>
                <w:color w:val="auto"/>
                <w:szCs w:val="21"/>
                <w:u w:val="single"/>
                <w:lang w:eastAsia="zh-CN"/>
              </w:rPr>
              <w:t>月</w:t>
            </w:r>
            <w:r>
              <w:rPr>
                <w:rFonts w:hint="eastAsia" w:ascii="宋体" w:hAnsi="宋体"/>
                <w:b/>
                <w:bCs/>
                <w:color w:val="auto"/>
                <w:szCs w:val="21"/>
                <w:u w:val="single"/>
                <w:lang w:val="en-US" w:eastAsia="zh-CN"/>
              </w:rPr>
              <w:t>04</w:t>
            </w:r>
            <w:r>
              <w:rPr>
                <w:rFonts w:hint="eastAsia" w:ascii="宋体" w:hAnsi="宋体"/>
                <w:b/>
                <w:bCs/>
                <w:color w:val="auto"/>
                <w:szCs w:val="21"/>
                <w:u w:val="single"/>
                <w:lang w:eastAsia="zh-CN"/>
              </w:rPr>
              <w:t>日</w:t>
            </w:r>
            <w:r>
              <w:rPr>
                <w:rFonts w:hint="eastAsia" w:ascii="宋体" w:hAnsi="宋体"/>
                <w:b/>
                <w:bCs/>
                <w:szCs w:val="21"/>
                <w:u w:val="single"/>
              </w:rPr>
              <w:t>，结论：控制有效</w:t>
            </w:r>
          </w:p>
          <w:p>
            <w:pPr>
              <w:pStyle w:val="10"/>
              <w:ind w:left="0" w:firstLine="0" w:firstLineChars="0"/>
              <w:rPr>
                <w:rFonts w:hint="eastAsia"/>
                <w:color w:val="auto"/>
                <w:highlight w:val="none"/>
                <w:u w:val="single"/>
                <w:lang w:val="en-US" w:eastAsia="zh-CN"/>
              </w:rPr>
            </w:pPr>
          </w:p>
          <w:p>
            <w:pPr>
              <w:pStyle w:val="10"/>
              <w:ind w:left="0" w:firstLine="0" w:firstLineChars="0"/>
              <w:rPr>
                <w:rFonts w:hint="default"/>
                <w:color w:val="FF0000"/>
                <w:highlight w:val="yellow"/>
                <w:u w:val="single"/>
                <w:lang w:val="en-US"/>
              </w:rPr>
            </w:pPr>
            <w:r>
              <w:rPr>
                <w:rFonts w:hint="eastAsia"/>
                <w:color w:val="auto"/>
                <w:highlight w:val="none"/>
                <w:u w:val="single"/>
                <w:lang w:val="en-US" w:eastAsia="zh-CN"/>
              </w:rPr>
              <w:t>随机抽取：其余见E文件夹收集材料</w:t>
            </w:r>
          </w:p>
          <w:tbl>
            <w:tblPr>
              <w:tblStyle w:val="12"/>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765"/>
              <w:gridCol w:w="1309"/>
              <w:gridCol w:w="2006"/>
              <w:gridCol w:w="142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765"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2006"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42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20</w:t>
                  </w:r>
                  <w:r>
                    <w:rPr>
                      <w:rFonts w:hint="eastAsia"/>
                      <w:color w:val="000000" w:themeColor="text1"/>
                      <w:sz w:val="18"/>
                      <w:szCs w:val="18"/>
                      <w:lang w:val="en-US" w:eastAsia="zh-CN"/>
                      <w14:textFill>
                        <w14:solidFill>
                          <w14:schemeClr w14:val="tx1"/>
                        </w14:solidFill>
                      </w14:textFill>
                    </w:rPr>
                    <w:t>22-06-13</w:t>
                  </w:r>
                </w:p>
              </w:tc>
              <w:tc>
                <w:tcPr>
                  <w:tcW w:w="1765" w:type="dxa"/>
                </w:tcPr>
                <w:p>
                  <w:pP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肉鸭</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动物检疫合格证明编号：3566117966</w:t>
                  </w:r>
                </w:p>
              </w:tc>
              <w:tc>
                <w:tcPr>
                  <w:tcW w:w="1420"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r>
                    <w:rPr>
                      <w:rFonts w:hint="eastAsia"/>
                      <w:color w:val="000000" w:themeColor="text1"/>
                      <w:sz w:val="18"/>
                      <w:szCs w:val="18"/>
                      <w:lang w:val="en-US" w:eastAsia="zh-CN"/>
                      <w14:textFill>
                        <w14:solidFill>
                          <w14:schemeClr w14:val="tx1"/>
                        </w14:solidFill>
                      </w14:textFill>
                    </w:rPr>
                    <w:t>22-06-13</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tcPr>
                <w:p>
                  <w:pPr>
                    <w:rPr>
                      <w:rFonts w:hint="default"/>
                      <w:color w:val="000000" w:themeColor="text1"/>
                      <w:sz w:val="18"/>
                      <w:szCs w:val="18"/>
                      <w:lang w:val="en-US"/>
                      <w14:textFill>
                        <w14:solidFill>
                          <w14:schemeClr w14:val="tx1"/>
                        </w14:solidFill>
                      </w14:textFill>
                    </w:rPr>
                  </w:pPr>
                  <w:r>
                    <w:rPr>
                      <w:rFonts w:hint="eastAsia"/>
                      <w:lang w:val="en-US" w:eastAsia="zh-CN"/>
                    </w:rPr>
                    <w:t>2022-06-14</w:t>
                  </w:r>
                </w:p>
              </w:tc>
              <w:tc>
                <w:tcPr>
                  <w:tcW w:w="1765" w:type="dxa"/>
                </w:tcPr>
                <w:p>
                  <w:pPr>
                    <w:rPr>
                      <w:color w:val="000000" w:themeColor="text1"/>
                      <w:sz w:val="18"/>
                      <w:szCs w:val="18"/>
                      <w14:textFill>
                        <w14:solidFill>
                          <w14:schemeClr w14:val="tx1"/>
                        </w14:solidFill>
                      </w14:textFill>
                    </w:rPr>
                  </w:pPr>
                  <w:r>
                    <w:rPr>
                      <w:rFonts w:hint="eastAsia"/>
                      <w:lang w:val="en-US" w:eastAsia="zh-CN"/>
                    </w:rPr>
                    <w:t>白条猪</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pPr>
                    <w:rPr>
                      <w:rFonts w:ascii="宋体" w:hAnsi="宋体"/>
                      <w:sz w:val="18"/>
                    </w:rPr>
                  </w:pPr>
                  <w:r>
                    <w:rPr>
                      <w:rFonts w:hint="eastAsia"/>
                      <w:lang w:val="en-US" w:eastAsia="zh-CN"/>
                    </w:rPr>
                    <w:t>肉品品质检验合格证编号：018157541，动物检疫合格证明编号：3564556368</w:t>
                  </w:r>
                </w:p>
              </w:tc>
              <w:tc>
                <w:tcPr>
                  <w:tcW w:w="1420" w:type="dxa"/>
                </w:tcPr>
                <w:p>
                  <w:pPr>
                    <w:rPr>
                      <w:color w:val="000000" w:themeColor="text1"/>
                      <w:sz w:val="18"/>
                      <w:szCs w:val="18"/>
                      <w14:textFill>
                        <w14:solidFill>
                          <w14:schemeClr w14:val="tx1"/>
                        </w14:solidFill>
                      </w14:textFill>
                    </w:rPr>
                  </w:pPr>
                  <w:r>
                    <w:rPr>
                      <w:rFonts w:hint="eastAsia"/>
                      <w:lang w:val="en-US" w:eastAsia="zh-CN"/>
                    </w:rPr>
                    <w:t>2022-06-14</w:t>
                  </w: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color w:val="000000" w:themeColor="text1"/>
                      <w:sz w:val="18"/>
                      <w:szCs w:val="18"/>
                      <w:highlight w:val="none"/>
                      <w14:textFill>
                        <w14:solidFill>
                          <w14:schemeClr w14:val="tx1"/>
                        </w14:solidFill>
                      </w14:textFill>
                    </w:rPr>
                  </w:pPr>
                  <w:r>
                    <w:rPr>
                      <w:rFonts w:hint="eastAsia"/>
                      <w:highlight w:val="none"/>
                      <w:lang w:val="en-US" w:eastAsia="zh-CN"/>
                    </w:rPr>
                    <w:t>2022-03-07</w:t>
                  </w:r>
                </w:p>
              </w:tc>
              <w:tc>
                <w:tcPr>
                  <w:tcW w:w="1765" w:type="dxa"/>
                </w:tcPr>
                <w:p>
                  <w:pPr>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带鱼</w:t>
                  </w:r>
                </w:p>
              </w:tc>
              <w:tc>
                <w:tcPr>
                  <w:tcW w:w="1309"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A8"/>
                  </w:r>
                  <w:r>
                    <w:rPr>
                      <w:color w:val="000000" w:themeColor="text1"/>
                      <w:sz w:val="18"/>
                      <w:szCs w:val="18"/>
                      <w:highlight w:val="none"/>
                      <w14:textFill>
                        <w14:solidFill>
                          <w14:schemeClr w14:val="tx1"/>
                        </w14:solidFill>
                      </w14:textFill>
                    </w:rPr>
                    <w:t>抽检</w:t>
                  </w:r>
                </w:p>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rFonts w:hint="eastAsia"/>
                      <w:color w:val="000000" w:themeColor="text1"/>
                      <w:sz w:val="18"/>
                      <w:szCs w:val="18"/>
                      <w:highlight w:val="none"/>
                      <w14:textFill>
                        <w14:solidFill>
                          <w14:schemeClr w14:val="tx1"/>
                        </w14:solidFill>
                      </w14:textFill>
                    </w:rPr>
                    <w:t>供方</w:t>
                  </w:r>
                  <w:r>
                    <w:rPr>
                      <w:color w:val="000000" w:themeColor="text1"/>
                      <w:sz w:val="18"/>
                      <w:szCs w:val="18"/>
                      <w:highlight w:val="none"/>
                      <w14:textFill>
                        <w14:solidFill>
                          <w14:schemeClr w14:val="tx1"/>
                        </w14:solidFill>
                      </w14:textFill>
                    </w:rPr>
                    <w:t>送检</w:t>
                  </w:r>
                </w:p>
              </w:tc>
              <w:tc>
                <w:tcPr>
                  <w:tcW w:w="2006" w:type="dxa"/>
                </w:tcPr>
                <w:p>
                  <w:pPr>
                    <w:rPr>
                      <w:rFonts w:hint="default" w:ascii="宋体" w:hAnsi="宋体"/>
                      <w:sz w:val="18"/>
                      <w:szCs w:val="22"/>
                      <w:highlight w:val="none"/>
                      <w:lang w:val="en-US"/>
                    </w:rPr>
                  </w:pPr>
                  <w:r>
                    <w:rPr>
                      <w:rFonts w:hint="eastAsia"/>
                      <w:highlight w:val="none"/>
                      <w:lang w:val="en-US" w:eastAsia="zh-CN"/>
                    </w:rPr>
                    <w:t>FRK202202994</w:t>
                  </w:r>
                </w:p>
              </w:tc>
              <w:tc>
                <w:tcPr>
                  <w:tcW w:w="1420" w:type="dxa"/>
                </w:tcPr>
                <w:p>
                  <w:pPr>
                    <w:rPr>
                      <w:rFonts w:hint="default"/>
                      <w:color w:val="000000" w:themeColor="text1"/>
                      <w:sz w:val="18"/>
                      <w:szCs w:val="18"/>
                      <w:highlight w:val="none"/>
                      <w:lang w:val="en-US"/>
                      <w14:textFill>
                        <w14:solidFill>
                          <w14:schemeClr w14:val="tx1"/>
                        </w14:solidFill>
                      </w14:textFill>
                    </w:rPr>
                  </w:pPr>
                  <w:r>
                    <w:rPr>
                      <w:rFonts w:hint="eastAsia"/>
                      <w:highlight w:val="none"/>
                      <w:lang w:val="en-US" w:eastAsia="zh-CN"/>
                    </w:rPr>
                    <w:t>2022-03-07</w:t>
                  </w:r>
                </w:p>
              </w:tc>
              <w:tc>
                <w:tcPr>
                  <w:tcW w:w="1760" w:type="dxa"/>
                </w:tcPr>
                <w:p>
                  <w:pP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sym w:font="Wingdings" w:char="00FE"/>
                  </w:r>
                  <w:r>
                    <w:rPr>
                      <w:color w:val="000000" w:themeColor="text1"/>
                      <w:sz w:val="18"/>
                      <w:szCs w:val="18"/>
                      <w:highlight w:val="none"/>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rPr>
                      <w:color w:val="000000" w:themeColor="text1"/>
                      <w:sz w:val="18"/>
                      <w:szCs w:val="18"/>
                      <w14:textFill>
                        <w14:solidFill>
                          <w14:schemeClr w14:val="tx1"/>
                        </w14:solidFill>
                      </w14:textFill>
                    </w:rPr>
                  </w:pPr>
                </w:p>
              </w:tc>
              <w:tc>
                <w:tcPr>
                  <w:tcW w:w="1765" w:type="dxa"/>
                </w:tcPr>
                <w:p>
                  <w:pPr>
                    <w:rPr>
                      <w:color w:val="000000" w:themeColor="text1"/>
                      <w:sz w:val="18"/>
                      <w:szCs w:val="18"/>
                      <w14:textFill>
                        <w14:solidFill>
                          <w14:schemeClr w14:val="tx1"/>
                        </w14:solidFill>
                      </w14:textFill>
                    </w:rPr>
                  </w:pP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rFonts w:hint="eastAsia"/>
                      <w:color w:val="000000" w:themeColor="text1"/>
                      <w:sz w:val="18"/>
                      <w:szCs w:val="18"/>
                      <w14:textFill>
                        <w14:solidFill>
                          <w14:schemeClr w14:val="tx1"/>
                        </w14:solidFill>
                      </w14:textFill>
                    </w:rPr>
                    <w:t>供方</w:t>
                  </w:r>
                  <w:r>
                    <w:rPr>
                      <w:color w:val="000000" w:themeColor="text1"/>
                      <w:sz w:val="18"/>
                      <w:szCs w:val="18"/>
                      <w14:textFill>
                        <w14:solidFill>
                          <w14:schemeClr w14:val="tx1"/>
                        </w14:solidFill>
                      </w14:textFill>
                    </w:rPr>
                    <w:t>送检</w:t>
                  </w:r>
                </w:p>
              </w:tc>
              <w:tc>
                <w:tcPr>
                  <w:tcW w:w="2006" w:type="dxa"/>
                </w:tcPr>
                <w:p>
                  <w:pPr>
                    <w:pStyle w:val="10"/>
                    <w:ind w:left="0" w:firstLine="0" w:firstLineChars="0"/>
                    <w:rPr>
                      <w:color w:val="000000" w:themeColor="text1"/>
                      <w:sz w:val="18"/>
                      <w:szCs w:val="18"/>
                      <w14:textFill>
                        <w14:solidFill>
                          <w14:schemeClr w14:val="tx1"/>
                        </w14:solidFill>
                      </w14:textFill>
                    </w:rPr>
                  </w:pPr>
                </w:p>
              </w:tc>
              <w:tc>
                <w:tcPr>
                  <w:tcW w:w="1420" w:type="dxa"/>
                </w:tcPr>
                <w:p>
                  <w:pPr>
                    <w:rPr>
                      <w:color w:val="000000" w:themeColor="text1"/>
                      <w:sz w:val="18"/>
                      <w:szCs w:val="18"/>
                      <w14:textFill>
                        <w14:solidFill>
                          <w14:schemeClr w14:val="tx1"/>
                        </w14:solidFill>
                      </w14:textFill>
                    </w:rPr>
                  </w:pPr>
                </w:p>
              </w:tc>
              <w:tc>
                <w:tcPr>
                  <w:tcW w:w="176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pPr>
              <w:jc w:val="left"/>
            </w:pPr>
            <w:r>
              <w:t>危害控制计划 (HACCP/OPRP 计划)</w:t>
            </w:r>
            <w:r>
              <w:br w:type="textWrapping"/>
            </w:r>
          </w:p>
        </w:tc>
        <w:tc>
          <w:tcPr>
            <w:tcW w:w="936" w:type="dxa"/>
            <w:vMerge w:val="restart"/>
            <w:shd w:val="clear" w:color="auto" w:fill="auto"/>
          </w:tcPr>
          <w:p>
            <w:r>
              <w:t>F8.5.4</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危害控制</w:t>
            </w:r>
            <w:r>
              <w:t>计划》</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原辅料的</w:t>
            </w:r>
          </w:p>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经识别评价的OPRP点如下：不涉及CCP点</w:t>
            </w:r>
          </w:p>
          <w:tbl>
            <w:tblPr>
              <w:tblStyle w:val="11"/>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03"/>
              <w:gridCol w:w="1329"/>
              <w:gridCol w:w="1485"/>
              <w:gridCol w:w="938"/>
              <w:gridCol w:w="894"/>
              <w:gridCol w:w="878"/>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197"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C</w:t>
                  </w:r>
                  <w:r>
                    <w:rPr>
                      <w:rFonts w:asciiTheme="minorEastAsia" w:hAnsiTheme="minorEastAsia" w:eastAsiaTheme="minorEastAsia"/>
                      <w:b/>
                      <w:sz w:val="18"/>
                      <w:szCs w:val="18"/>
                    </w:rPr>
                    <w:t>CP/OPRP</w:t>
                  </w:r>
                  <w:r>
                    <w:rPr>
                      <w:rFonts w:hint="eastAsia" w:asciiTheme="minorEastAsia" w:hAnsiTheme="minorEastAsia" w:eastAsiaTheme="minorEastAsia"/>
                      <w:b/>
                      <w:sz w:val="18"/>
                      <w:szCs w:val="18"/>
                    </w:rPr>
                    <w:t>点</w:t>
                  </w:r>
                </w:p>
              </w:tc>
              <w:tc>
                <w:tcPr>
                  <w:tcW w:w="1303"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显著危害</w:t>
                  </w:r>
                </w:p>
              </w:tc>
              <w:tc>
                <w:tcPr>
                  <w:tcW w:w="1329"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关键限值/行动准则</w:t>
                  </w:r>
                </w:p>
              </w:tc>
              <w:tc>
                <w:tcPr>
                  <w:tcW w:w="4195" w:type="dxa"/>
                  <w:gridSpan w:val="4"/>
                  <w:tcBorders>
                    <w:right w:val="nil"/>
                  </w:tcBorders>
                  <w:vAlign w:val="center"/>
                </w:tcPr>
                <w:p>
                  <w:pPr>
                    <w:spacing w:line="22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监 控</w:t>
                  </w:r>
                </w:p>
              </w:tc>
              <w:tc>
                <w:tcPr>
                  <w:tcW w:w="1163" w:type="dxa"/>
                  <w:vMerge w:val="restart"/>
                  <w:vAlign w:val="center"/>
                </w:tcPr>
                <w:p>
                  <w:pPr>
                    <w:spacing w:line="220" w:lineRule="exact"/>
                    <w:rPr>
                      <w:rFonts w:asciiTheme="minorEastAsia" w:hAnsiTheme="minorEastAsia" w:eastAsiaTheme="minorEastAsia"/>
                      <w:b/>
                      <w:sz w:val="18"/>
                      <w:szCs w:val="18"/>
                    </w:rPr>
                  </w:pPr>
                  <w:r>
                    <w:rPr>
                      <w:rFonts w:hint="eastAsia" w:asciiTheme="minorEastAsia" w:hAnsiTheme="minorEastAsia" w:eastAsiaTheme="minorEastAsia"/>
                      <w:b/>
                      <w:sz w:val="18"/>
                      <w:szCs w:val="18"/>
                    </w:rPr>
                    <w:t>记录</w:t>
                  </w:r>
                </w:p>
                <w:p>
                  <w:pPr>
                    <w:spacing w:line="220" w:lineRule="exact"/>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197" w:type="dxa"/>
                  <w:vMerge w:val="continue"/>
                  <w:vAlign w:val="center"/>
                </w:tcPr>
                <w:p>
                  <w:pPr>
                    <w:jc w:val="center"/>
                    <w:rPr>
                      <w:rFonts w:asciiTheme="minorEastAsia" w:hAnsiTheme="minorEastAsia" w:eastAsiaTheme="minorEastAsia"/>
                      <w:sz w:val="18"/>
                      <w:szCs w:val="18"/>
                    </w:rPr>
                  </w:pPr>
                </w:p>
              </w:tc>
              <w:tc>
                <w:tcPr>
                  <w:tcW w:w="1303" w:type="dxa"/>
                  <w:vMerge w:val="continue"/>
                  <w:vAlign w:val="center"/>
                </w:tcPr>
                <w:p>
                  <w:pPr>
                    <w:jc w:val="center"/>
                    <w:rPr>
                      <w:rFonts w:asciiTheme="minorEastAsia" w:hAnsiTheme="minorEastAsia" w:eastAsiaTheme="minorEastAsia"/>
                      <w:sz w:val="18"/>
                      <w:szCs w:val="18"/>
                    </w:rPr>
                  </w:pPr>
                </w:p>
              </w:tc>
              <w:tc>
                <w:tcPr>
                  <w:tcW w:w="1329" w:type="dxa"/>
                  <w:vMerge w:val="continue"/>
                  <w:vAlign w:val="center"/>
                </w:tcPr>
                <w:p>
                  <w:pPr>
                    <w:jc w:val="center"/>
                    <w:rPr>
                      <w:rFonts w:asciiTheme="minorEastAsia" w:hAnsiTheme="minorEastAsia" w:eastAsiaTheme="minorEastAsia"/>
                      <w:sz w:val="18"/>
                      <w:szCs w:val="18"/>
                    </w:rPr>
                  </w:pPr>
                </w:p>
              </w:tc>
              <w:tc>
                <w:tcPr>
                  <w:tcW w:w="1485"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对象</w:t>
                  </w:r>
                </w:p>
              </w:tc>
              <w:tc>
                <w:tcPr>
                  <w:tcW w:w="93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方法</w:t>
                  </w:r>
                </w:p>
              </w:tc>
              <w:tc>
                <w:tcPr>
                  <w:tcW w:w="894"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频率</w:t>
                  </w:r>
                </w:p>
              </w:tc>
              <w:tc>
                <w:tcPr>
                  <w:tcW w:w="87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人员</w:t>
                  </w:r>
                </w:p>
              </w:tc>
              <w:tc>
                <w:tcPr>
                  <w:tcW w:w="1163" w:type="dxa"/>
                  <w:vMerge w:val="continue"/>
                  <w:vAlign w:val="center"/>
                </w:tcPr>
                <w:p>
                  <w:pPr>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197" w:type="dxa"/>
                  <w:vMerge w:val="restart"/>
                  <w:vAlign w:val="center"/>
                </w:tcPr>
                <w:p>
                  <w:pPr>
                    <w:snapToGrid w:val="0"/>
                    <w:jc w:val="center"/>
                    <w:rPr>
                      <w:rFonts w:hint="eastAsia" w:ascii="黑体" w:hAnsi="黑体" w:eastAsia="黑体" w:cs="黑体"/>
                      <w:w w:val="90"/>
                      <w:sz w:val="18"/>
                      <w:szCs w:val="18"/>
                      <w:lang w:eastAsia="zh-CN"/>
                    </w:rPr>
                  </w:pPr>
                  <w:r>
                    <w:rPr>
                      <w:rFonts w:hint="eastAsia" w:ascii="黑体" w:hAnsi="黑体" w:eastAsia="黑体" w:cs="黑体"/>
                      <w:w w:val="90"/>
                      <w:sz w:val="18"/>
                      <w:szCs w:val="18"/>
                    </w:rPr>
                    <w:t>原料验收</w:t>
                  </w:r>
                  <w:r>
                    <w:rPr>
                      <w:rFonts w:hint="eastAsia" w:ascii="黑体" w:hAnsi="黑体" w:eastAsia="黑体" w:cs="黑体"/>
                      <w:w w:val="90"/>
                      <w:sz w:val="18"/>
                      <w:szCs w:val="18"/>
                      <w:lang w:eastAsia="zh-CN"/>
                    </w:rPr>
                    <w:t>（</w:t>
                  </w:r>
                  <w:r>
                    <w:rPr>
                      <w:rFonts w:hint="eastAsia" w:ascii="黑体" w:hAnsi="黑体" w:eastAsia="黑体" w:cs="黑体"/>
                      <w:w w:val="90"/>
                      <w:sz w:val="18"/>
                      <w:szCs w:val="18"/>
                      <w:lang w:val="en-US" w:eastAsia="zh-CN"/>
                    </w:rPr>
                    <w:t>粮油、畜禽肉类、调味品、水产品、果蔬等</w:t>
                  </w:r>
                  <w:r>
                    <w:rPr>
                      <w:rFonts w:hint="eastAsia" w:ascii="黑体" w:hAnsi="黑体" w:eastAsia="黑体" w:cs="黑体"/>
                      <w:w w:val="90"/>
                      <w:sz w:val="18"/>
                      <w:szCs w:val="18"/>
                      <w:lang w:eastAsia="zh-CN"/>
                    </w:rPr>
                    <w:t>）</w:t>
                  </w:r>
                </w:p>
                <w:p>
                  <w:pPr>
                    <w:spacing w:line="220" w:lineRule="exact"/>
                    <w:rPr>
                      <w:rFonts w:asciiTheme="minorEastAsia" w:hAnsiTheme="minorEastAsia" w:eastAsiaTheme="minorEastAsia"/>
                      <w:sz w:val="18"/>
                      <w:szCs w:val="18"/>
                    </w:rPr>
                  </w:pPr>
                  <w:r>
                    <w:rPr>
                      <w:rFonts w:hint="eastAsia" w:ascii="黑体" w:hAnsi="黑体" w:eastAsia="黑体" w:cs="黑体"/>
                      <w:w w:val="90"/>
                      <w:sz w:val="18"/>
                      <w:szCs w:val="18"/>
                    </w:rPr>
                    <w:t>OPRP-01</w:t>
                  </w:r>
                </w:p>
              </w:tc>
              <w:tc>
                <w:tcPr>
                  <w:tcW w:w="1303" w:type="dxa"/>
                  <w:vAlign w:val="center"/>
                </w:tcPr>
                <w:p>
                  <w:pPr>
                    <w:spacing w:line="220" w:lineRule="exac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有害微生物、重金属、挥发性盐基氮、抗生素、促生长素等有害化学物质超标</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农残重金属超标等</w:t>
                  </w:r>
                </w:p>
              </w:tc>
              <w:tc>
                <w:tcPr>
                  <w:tcW w:w="1329" w:type="dxa"/>
                  <w:vAlign w:val="center"/>
                </w:tcPr>
                <w:p>
                  <w:pPr>
                    <w:spacing w:line="220" w:lineRule="exac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来自合格供方、第三方检测合格证明</w:t>
                  </w:r>
                </w:p>
              </w:tc>
              <w:tc>
                <w:tcPr>
                  <w:tcW w:w="1485" w:type="dxa"/>
                  <w:vAlign w:val="center"/>
                </w:tcPr>
                <w:p>
                  <w:pPr>
                    <w:spacing w:line="220" w:lineRule="exact"/>
                    <w:rPr>
                      <w:rFonts w:hint="eastAsia" w:eastAsia="宋体"/>
                      <w:lang w:val="en-US" w:eastAsia="zh-CN"/>
                    </w:rPr>
                  </w:pPr>
                  <w:r>
                    <w:rPr>
                      <w:rFonts w:hint="eastAsia"/>
                    </w:rPr>
                    <w:t>合格供方</w:t>
                  </w:r>
                  <w:r>
                    <w:rPr>
                      <w:rFonts w:hint="eastAsia"/>
                      <w:lang w:val="en-US" w:eastAsia="zh-CN"/>
                    </w:rPr>
                    <w:t>/</w:t>
                  </w:r>
                </w:p>
                <w:p>
                  <w:pPr>
                    <w:pStyle w:val="2"/>
                    <w:rPr>
                      <w:rFonts w:hint="default" w:eastAsiaTheme="minorEastAsia"/>
                      <w:lang w:val="en-US" w:eastAsia="zh-CN"/>
                    </w:rPr>
                  </w:pPr>
                  <w:r>
                    <w:rPr>
                      <w:rFonts w:hint="eastAsia" w:asciiTheme="minorEastAsia" w:hAnsiTheme="minorEastAsia" w:eastAsiaTheme="minorEastAsia"/>
                      <w:sz w:val="18"/>
                      <w:szCs w:val="18"/>
                      <w:lang w:val="en-US" w:eastAsia="zh-CN"/>
                    </w:rPr>
                    <w:t>第三方检测报告</w:t>
                  </w:r>
                </w:p>
              </w:tc>
              <w:tc>
                <w:tcPr>
                  <w:tcW w:w="938"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查验</w:t>
                  </w:r>
                </w:p>
              </w:tc>
              <w:tc>
                <w:tcPr>
                  <w:tcW w:w="894" w:type="dxa"/>
                  <w:vAlign w:val="center"/>
                </w:tcPr>
                <w:p>
                  <w:pPr>
                    <w:spacing w:line="220" w:lineRule="exac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每年</w:t>
                  </w:r>
                </w:p>
              </w:tc>
              <w:tc>
                <w:tcPr>
                  <w:tcW w:w="878" w:type="dxa"/>
                  <w:vAlign w:val="center"/>
                </w:tcPr>
                <w:p>
                  <w:pPr>
                    <w:spacing w:line="2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验收员</w:t>
                  </w:r>
                </w:p>
              </w:tc>
              <w:tc>
                <w:tcPr>
                  <w:tcW w:w="1163" w:type="dxa"/>
                  <w:vAlign w:val="center"/>
                </w:tcPr>
                <w:p>
                  <w:pPr>
                    <w:spacing w:line="220" w:lineRule="exact"/>
                    <w:rPr>
                      <w:rFonts w:asciiTheme="minorEastAsia" w:hAnsiTheme="minorEastAsia" w:eastAsiaTheme="minorEastAsia"/>
                      <w:snapToGrid w:val="0"/>
                      <w:sz w:val="18"/>
                      <w:szCs w:val="18"/>
                    </w:rPr>
                  </w:pPr>
                  <w:r>
                    <w:rPr>
                      <w:rFonts w:hint="eastAsia" w:ascii="黑体" w:hAnsi="黑体" w:eastAsia="黑体" w:cs="黑体"/>
                      <w:w w:val="90"/>
                      <w:sz w:val="18"/>
                      <w:szCs w:val="18"/>
                    </w:rPr>
                    <w:t>原材料收货记录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197" w:type="dxa"/>
                  <w:vMerge w:val="continue"/>
                  <w:vAlign w:val="center"/>
                </w:tcPr>
                <w:p>
                  <w:pPr>
                    <w:spacing w:line="220" w:lineRule="exact"/>
                    <w:rPr>
                      <w:rFonts w:hint="eastAsia" w:ascii="黑体" w:hAnsi="黑体" w:eastAsia="黑体" w:cs="黑体"/>
                      <w:w w:val="90"/>
                      <w:sz w:val="18"/>
                      <w:szCs w:val="18"/>
                    </w:rPr>
                  </w:pPr>
                </w:p>
              </w:tc>
              <w:tc>
                <w:tcPr>
                  <w:tcW w:w="1303" w:type="dxa"/>
                  <w:vAlign w:val="center"/>
                </w:tcPr>
                <w:p>
                  <w:pPr>
                    <w:spacing w:line="220" w:lineRule="exac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疫病等</w:t>
                  </w:r>
                </w:p>
              </w:tc>
              <w:tc>
                <w:tcPr>
                  <w:tcW w:w="1329"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Theme="minorEastAsia" w:hAnsiTheme="minorEastAsia" w:eastAsiaTheme="minorEastAsia"/>
                      <w:sz w:val="18"/>
                      <w:szCs w:val="18"/>
                      <w:lang w:val="en-US" w:eastAsia="zh-CN"/>
                    </w:rPr>
                    <w:t>来自合格供方，</w:t>
                  </w:r>
                  <w:r>
                    <w:rPr>
                      <w:rFonts w:hint="eastAsia" w:ascii="黑体" w:hAnsi="黑体" w:eastAsia="黑体" w:cs="黑体"/>
                      <w:w w:val="90"/>
                      <w:sz w:val="18"/>
                      <w:szCs w:val="18"/>
                    </w:rPr>
                    <w:t>供方检测报告</w:t>
                  </w:r>
                  <w:r>
                    <w:rPr>
                      <w:rFonts w:hint="eastAsia" w:ascii="黑体" w:hAnsi="黑体" w:eastAsia="黑体" w:cs="黑体"/>
                      <w:w w:val="90"/>
                      <w:sz w:val="18"/>
                      <w:szCs w:val="18"/>
                      <w:lang w:eastAsia="zh-CN"/>
                    </w:rPr>
                    <w:t>（</w:t>
                  </w:r>
                  <w:r>
                    <w:rPr>
                      <w:rFonts w:hint="eastAsia" w:ascii="黑体" w:hAnsi="黑体" w:eastAsia="黑体" w:cs="黑体"/>
                      <w:w w:val="90"/>
                      <w:sz w:val="18"/>
                      <w:szCs w:val="18"/>
                      <w:lang w:val="en-US" w:eastAsia="zh-CN"/>
                    </w:rPr>
                    <w:t>描述不准确</w:t>
                  </w:r>
                  <w:r>
                    <w:rPr>
                      <w:rFonts w:hint="eastAsia" w:ascii="黑体" w:hAnsi="黑体" w:eastAsia="黑体" w:cs="黑体"/>
                      <w:w w:val="90"/>
                      <w:sz w:val="18"/>
                      <w:szCs w:val="18"/>
                      <w:lang w:eastAsia="zh-CN"/>
                    </w:rPr>
                    <w:t>）</w:t>
                  </w:r>
                </w:p>
              </w:tc>
              <w:tc>
                <w:tcPr>
                  <w:tcW w:w="1485"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对供应商提供的合格检验报告或相关证明</w:t>
                  </w:r>
                </w:p>
              </w:tc>
              <w:tc>
                <w:tcPr>
                  <w:tcW w:w="938"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每批进货</w:t>
                  </w:r>
                </w:p>
              </w:tc>
              <w:tc>
                <w:tcPr>
                  <w:tcW w:w="894"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检验</w:t>
                  </w:r>
                </w:p>
              </w:tc>
              <w:tc>
                <w:tcPr>
                  <w:tcW w:w="878" w:type="dxa"/>
                  <w:vAlign w:val="center"/>
                </w:tcPr>
                <w:p>
                  <w:pPr>
                    <w:spacing w:line="220" w:lineRule="exac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验收员</w:t>
                  </w:r>
                </w:p>
              </w:tc>
              <w:tc>
                <w:tcPr>
                  <w:tcW w:w="1163" w:type="dxa"/>
                  <w:vAlign w:val="center"/>
                </w:tcPr>
                <w:p>
                  <w:pPr>
                    <w:spacing w:line="220" w:lineRule="exact"/>
                    <w:rPr>
                      <w:rFonts w:hint="eastAsia" w:asciiTheme="minorEastAsia" w:hAnsiTheme="minorEastAsia" w:eastAsiaTheme="minorEastAsia"/>
                      <w:snapToGrid w:val="0"/>
                      <w:sz w:val="18"/>
                      <w:szCs w:val="18"/>
                    </w:rPr>
                  </w:pPr>
                  <w:r>
                    <w:rPr>
                      <w:rFonts w:hint="eastAsia" w:ascii="黑体" w:hAnsi="黑体" w:eastAsia="黑体" w:cs="黑体"/>
                      <w:w w:val="90"/>
                      <w:sz w:val="18"/>
                      <w:szCs w:val="18"/>
                    </w:rPr>
                    <w:t>原材料收货记录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197" w:type="dxa"/>
                  <w:vMerge w:val="continue"/>
                  <w:vAlign w:val="center"/>
                </w:tcPr>
                <w:p>
                  <w:pPr>
                    <w:spacing w:line="220" w:lineRule="exact"/>
                    <w:rPr>
                      <w:rFonts w:hint="eastAsia" w:ascii="黑体" w:hAnsi="黑体" w:eastAsia="黑体" w:cs="黑体"/>
                      <w:w w:val="90"/>
                      <w:sz w:val="18"/>
                      <w:szCs w:val="18"/>
                    </w:rPr>
                  </w:pPr>
                </w:p>
              </w:tc>
              <w:tc>
                <w:tcPr>
                  <w:tcW w:w="1303" w:type="dxa"/>
                  <w:vAlign w:val="center"/>
                </w:tcPr>
                <w:p>
                  <w:pPr>
                    <w:spacing w:line="220" w:lineRule="exac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农残超标</w:t>
                  </w:r>
                </w:p>
              </w:tc>
              <w:tc>
                <w:tcPr>
                  <w:tcW w:w="1329"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Theme="minorEastAsia" w:hAnsiTheme="minorEastAsia" w:eastAsiaTheme="minorEastAsia"/>
                      <w:sz w:val="18"/>
                      <w:szCs w:val="18"/>
                      <w:lang w:val="en-US" w:eastAsia="zh-CN"/>
                    </w:rPr>
                    <w:t>来自合格供方</w:t>
                  </w:r>
                  <w:r>
                    <w:rPr>
                      <w:rFonts w:hint="eastAsia" w:ascii="黑体" w:hAnsi="黑体" w:eastAsia="黑体" w:cs="黑体"/>
                      <w:w w:val="90"/>
                      <w:sz w:val="18"/>
                      <w:szCs w:val="18"/>
                    </w:rPr>
                    <w:t>抑制率&lt;50%、或农残测试纸检测呈阴性等</w:t>
                  </w:r>
                </w:p>
              </w:tc>
              <w:tc>
                <w:tcPr>
                  <w:tcW w:w="1485"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拟制率、农残测试纸检测呈阴性</w:t>
                  </w:r>
                </w:p>
              </w:tc>
              <w:tc>
                <w:tcPr>
                  <w:tcW w:w="938"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农残每批检验、农残测试纸检测</w:t>
                  </w:r>
                </w:p>
              </w:tc>
              <w:tc>
                <w:tcPr>
                  <w:tcW w:w="894"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公司每批进行农残检测</w:t>
                  </w:r>
                </w:p>
              </w:tc>
              <w:tc>
                <w:tcPr>
                  <w:tcW w:w="878" w:type="dxa"/>
                  <w:vAlign w:val="center"/>
                </w:tcPr>
                <w:p>
                  <w:pPr>
                    <w:spacing w:line="220" w:lineRule="exact"/>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检验员</w:t>
                  </w:r>
                </w:p>
              </w:tc>
              <w:tc>
                <w:tcPr>
                  <w:tcW w:w="1163" w:type="dxa"/>
                  <w:vAlign w:val="center"/>
                </w:tcPr>
                <w:p>
                  <w:pPr>
                    <w:spacing w:line="220" w:lineRule="exact"/>
                    <w:rPr>
                      <w:rFonts w:hint="eastAsia" w:asciiTheme="minorEastAsia" w:hAnsiTheme="minorEastAsia" w:eastAsiaTheme="minorEastAsia"/>
                      <w:snapToGrid w:val="0"/>
                      <w:sz w:val="18"/>
                      <w:szCs w:val="18"/>
                    </w:rPr>
                  </w:pPr>
                  <w:r>
                    <w:rPr>
                      <w:rFonts w:hint="eastAsia" w:ascii="黑体" w:hAnsi="黑体" w:eastAsia="黑体" w:cs="黑体"/>
                      <w:w w:val="90"/>
                      <w:sz w:val="18"/>
                      <w:szCs w:val="18"/>
                    </w:rPr>
                    <w:t>原材料收货记录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197"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冷藏保鲜OPRP-02</w:t>
                  </w:r>
                </w:p>
              </w:tc>
              <w:tc>
                <w:tcPr>
                  <w:tcW w:w="1303"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微生物危害：有害微生物，致病菌。</w:t>
                  </w:r>
                </w:p>
              </w:tc>
              <w:tc>
                <w:tcPr>
                  <w:tcW w:w="1329"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冷藏温度0-10℃</w:t>
                  </w:r>
                </w:p>
              </w:tc>
              <w:tc>
                <w:tcPr>
                  <w:tcW w:w="1485"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保鲜库内温度</w:t>
                  </w:r>
                </w:p>
              </w:tc>
              <w:tc>
                <w:tcPr>
                  <w:tcW w:w="938"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仪表测控</w:t>
                  </w:r>
                </w:p>
              </w:tc>
              <w:tc>
                <w:tcPr>
                  <w:tcW w:w="894"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每天/次</w:t>
                  </w:r>
                </w:p>
              </w:tc>
              <w:tc>
                <w:tcPr>
                  <w:tcW w:w="878"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仓库员工</w:t>
                  </w:r>
                </w:p>
              </w:tc>
              <w:tc>
                <w:tcPr>
                  <w:tcW w:w="1163"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保鲜温度登记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4" w:hRule="atLeast"/>
                <w:jc w:val="center"/>
              </w:trPr>
              <w:tc>
                <w:tcPr>
                  <w:tcW w:w="1197" w:type="dxa"/>
                  <w:tcBorders>
                    <w:bottom w:val="single" w:color="auto" w:sz="4" w:space="0"/>
                  </w:tcBorders>
                  <w:vAlign w:val="center"/>
                </w:tcPr>
                <w:p>
                  <w:pPr>
                    <w:snapToGrid w:val="0"/>
                    <w:jc w:val="center"/>
                    <w:rPr>
                      <w:rFonts w:hint="eastAsia" w:ascii="黑体" w:hAnsi="黑体" w:eastAsia="黑体" w:cs="黑体"/>
                      <w:w w:val="90"/>
                      <w:sz w:val="18"/>
                      <w:szCs w:val="18"/>
                    </w:rPr>
                  </w:pPr>
                  <w:r>
                    <w:rPr>
                      <w:rFonts w:hint="eastAsia" w:ascii="黑体" w:hAnsi="黑体" w:eastAsia="黑体" w:cs="黑体"/>
                      <w:w w:val="90"/>
                      <w:sz w:val="18"/>
                      <w:szCs w:val="18"/>
                    </w:rPr>
                    <w:t>冷冻</w:t>
                  </w:r>
                </w:p>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OPRP-03</w:t>
                  </w:r>
                </w:p>
              </w:tc>
              <w:tc>
                <w:tcPr>
                  <w:tcW w:w="1303" w:type="dxa"/>
                  <w:tcBorders>
                    <w:bottom w:val="single" w:color="auto" w:sz="4" w:space="0"/>
                  </w:tcBorders>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微生物危害：有害微生物，致病菌</w:t>
                  </w:r>
                </w:p>
              </w:tc>
              <w:tc>
                <w:tcPr>
                  <w:tcW w:w="1329"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肉类储藏温度≤-18℃</w:t>
                  </w:r>
                </w:p>
              </w:tc>
              <w:tc>
                <w:tcPr>
                  <w:tcW w:w="1485" w:type="dxa"/>
                  <w:tcBorders>
                    <w:bottom w:val="single" w:color="auto" w:sz="4" w:space="0"/>
                  </w:tcBorders>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冷库温度</w:t>
                  </w:r>
                </w:p>
              </w:tc>
              <w:tc>
                <w:tcPr>
                  <w:tcW w:w="938" w:type="dxa"/>
                  <w:tcBorders>
                    <w:bottom w:val="single" w:color="auto" w:sz="4" w:space="0"/>
                  </w:tcBorders>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仪表测控</w:t>
                  </w:r>
                </w:p>
              </w:tc>
              <w:tc>
                <w:tcPr>
                  <w:tcW w:w="894" w:type="dxa"/>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每天/次</w:t>
                  </w:r>
                </w:p>
              </w:tc>
              <w:tc>
                <w:tcPr>
                  <w:tcW w:w="878" w:type="dxa"/>
                  <w:tcBorders>
                    <w:bottom w:val="single" w:color="auto" w:sz="4" w:space="0"/>
                  </w:tcBorders>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仓库员工</w:t>
                  </w:r>
                </w:p>
              </w:tc>
              <w:tc>
                <w:tcPr>
                  <w:tcW w:w="1163" w:type="dxa"/>
                  <w:tcBorders>
                    <w:bottom w:val="single" w:color="auto" w:sz="4" w:space="0"/>
                  </w:tcBorders>
                  <w:vAlign w:val="center"/>
                </w:tcPr>
                <w:p>
                  <w:pPr>
                    <w:snapToGrid w:val="0"/>
                    <w:jc w:val="center"/>
                    <w:rPr>
                      <w:rFonts w:hint="eastAsia" w:ascii="黑体" w:hAnsi="黑体" w:eastAsia="黑体" w:cs="黑体"/>
                      <w:w w:val="90"/>
                      <w:kern w:val="2"/>
                      <w:sz w:val="18"/>
                      <w:szCs w:val="18"/>
                      <w:lang w:val="en-US" w:eastAsia="zh-CN" w:bidi="ar-SA"/>
                    </w:rPr>
                  </w:pPr>
                  <w:r>
                    <w:rPr>
                      <w:rFonts w:hint="eastAsia" w:ascii="黑体" w:hAnsi="黑体" w:eastAsia="黑体" w:cs="黑体"/>
                      <w:w w:val="90"/>
                      <w:sz w:val="18"/>
                      <w:szCs w:val="18"/>
                    </w:rPr>
                    <w:t>冷藏库温度登记</w:t>
                  </w:r>
                </w:p>
              </w:tc>
            </w:tr>
          </w:tbl>
          <w:p>
            <w:pPr>
              <w:spacing w:line="276" w:lineRule="auto"/>
              <w:rPr>
                <w:rFonts w:asciiTheme="minorEastAsia" w:hAnsiTheme="minorEastAsia" w:eastAsiaTheme="minorEastAsia"/>
                <w:szCs w:val="21"/>
              </w:rPr>
            </w:pPr>
          </w:p>
          <w:p>
            <w:pPr>
              <w:rPr>
                <w:rFonts w:hint="default" w:asciiTheme="minorEastAsia" w:hAnsiTheme="minorEastAsia" w:eastAsiaTheme="minorEastAsia"/>
                <w:szCs w:val="21"/>
                <w:lang w:val="en-US" w:eastAsia="zh-CN"/>
              </w:rPr>
            </w:pPr>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74" w:type="dxa"/>
            <w:vMerge w:val="continue"/>
            <w:shd w:val="clear" w:color="auto" w:fill="auto"/>
          </w:tcPr>
          <w:p/>
        </w:tc>
        <w:tc>
          <w:tcPr>
            <w:tcW w:w="936" w:type="dxa"/>
            <w:shd w:val="clear" w:color="auto" w:fill="auto"/>
          </w:tcPr>
          <w:p>
            <w:r>
              <w:t>8.5.4.4 超出关键限值或行动限值采取的措施</w:t>
            </w:r>
          </w:p>
          <w:p/>
        </w:tc>
        <w:tc>
          <w:tcPr>
            <w:tcW w:w="745" w:type="dxa"/>
            <w:shd w:val="clear" w:color="auto" w:fill="auto"/>
          </w:tcPr>
          <w:p/>
        </w:tc>
        <w:tc>
          <w:tcPr>
            <w:tcW w:w="10223" w:type="dxa"/>
            <w:shd w:val="clear" w:color="auto" w:fill="auto"/>
          </w:tcPr>
          <w:p>
            <w:r>
              <w:rPr/>
              <w:sym w:font="Wingdings" w:char="00A8"/>
            </w:r>
            <w:r>
              <w:t>体系建立以来/</w:t>
            </w:r>
            <w:r>
              <w:rPr/>
              <w:sym w:font="Wingdings" w:char="00FE"/>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181"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2174" w:type="dxa"/>
            <w:vMerge w:val="continue"/>
            <w:shd w:val="clear" w:color="auto" w:fill="auto"/>
          </w:tcPr>
          <w:p/>
        </w:tc>
        <w:tc>
          <w:tcPr>
            <w:tcW w:w="936" w:type="dxa"/>
            <w:shd w:val="clear" w:color="auto" w:fill="auto"/>
          </w:tcPr>
          <w:p>
            <w:r>
              <w:t>8.5.4.5实施危害控制计划</w:t>
            </w:r>
          </w:p>
          <w:p/>
        </w:tc>
        <w:tc>
          <w:tcPr>
            <w:tcW w:w="745" w:type="dxa"/>
            <w:shd w:val="clear" w:color="auto" w:fill="auto"/>
          </w:tcPr>
          <w:p>
            <w:r>
              <w:t>现场查看</w:t>
            </w:r>
          </w:p>
        </w:tc>
        <w:tc>
          <w:tcPr>
            <w:tcW w:w="10223" w:type="dxa"/>
            <w:shd w:val="clear" w:color="auto" w:fill="auto"/>
          </w:tcPr>
          <w:p>
            <w:r>
              <w:t>OPRP的实施情况：</w:t>
            </w:r>
            <w:r>
              <w:rPr>
                <w:b/>
                <w:bCs/>
              </w:rPr>
              <w:t xml:space="preserve"> </w:t>
            </w:r>
            <w:r>
              <w:rPr>
                <w:rFonts w:hint="eastAsia"/>
                <w:b/>
                <w:bCs/>
              </w:rPr>
              <w:t>（见</w:t>
            </w:r>
            <w:r>
              <w:rPr>
                <w:rFonts w:hint="eastAsia"/>
                <w:b/>
                <w:bCs/>
                <w:lang w:val="en-US" w:eastAsia="zh-CN"/>
              </w:rPr>
              <w:t>销售部、采购部</w:t>
            </w:r>
            <w:r>
              <w:rPr>
                <w:rFonts w:hint="eastAsia"/>
                <w:b/>
                <w:bCs/>
              </w:rPr>
              <w:t>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0"/>
            </w:pPr>
          </w:p>
          <w:p>
            <w:pPr>
              <w:rPr>
                <w:rFonts w:hint="default" w:eastAsia="宋体"/>
                <w:lang w:val="en-US" w:eastAsia="zh-CN"/>
              </w:rPr>
            </w:pPr>
            <w:r>
              <w:t>HACCP的实施情况：</w:t>
            </w:r>
            <w:r>
              <w:rPr>
                <w:rFonts w:hint="eastAsia"/>
                <w:b/>
                <w:bCs/>
                <w:lang w:eastAsia="zh-CN"/>
              </w:rPr>
              <w:t>——</w:t>
            </w:r>
            <w:r>
              <w:rPr>
                <w:rFonts w:hint="eastAsia"/>
                <w:b/>
                <w:bCs/>
                <w:lang w:val="en-US" w:eastAsia="zh-CN"/>
              </w:rPr>
              <w:t>不涉及CCP点</w:t>
            </w:r>
          </w:p>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181"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PRP和危害控制计划文件的更新</w:t>
            </w:r>
          </w:p>
        </w:tc>
        <w:tc>
          <w:tcPr>
            <w:tcW w:w="936" w:type="dxa"/>
            <w:vMerge w:val="restart"/>
            <w:shd w:val="clear" w:color="auto" w:fill="auto"/>
          </w:tcPr>
          <w:p>
            <w:r>
              <w:t>F8. 6</w:t>
            </w:r>
          </w:p>
          <w:p/>
        </w:tc>
        <w:tc>
          <w:tcPr>
            <w:tcW w:w="745" w:type="dxa"/>
            <w:shd w:val="clear" w:color="auto" w:fill="auto"/>
          </w:tcPr>
          <w:p>
            <w:r>
              <w:t>文件名称</w:t>
            </w:r>
          </w:p>
        </w:tc>
        <w:tc>
          <w:tcPr>
            <w:tcW w:w="10223"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制定OPRP计划和（或） HACCP计划后， 组织对如下信息进行更新：</w:t>
            </w:r>
          </w:p>
          <w:p>
            <w:r>
              <w:rPr/>
              <w:sym w:font="Wingdings" w:char="00FE"/>
            </w:r>
            <w:r>
              <w:rPr>
                <w:rFonts w:hint="eastAsia"/>
                <w:lang w:val="en-US" w:eastAsia="zh-CN"/>
              </w:rPr>
              <w:t>审核周期内</w:t>
            </w:r>
            <w:r>
              <w:t>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74" w:type="dxa"/>
            <w:vMerge w:val="restart"/>
            <w:shd w:val="clear" w:color="auto" w:fill="auto"/>
          </w:tcPr>
          <w:p>
            <w:r>
              <w:t>与 PRP、危害控制计划有关的验证</w:t>
            </w:r>
          </w:p>
          <w:p/>
        </w:tc>
        <w:tc>
          <w:tcPr>
            <w:tcW w:w="936" w:type="dxa"/>
            <w:vMerge w:val="restart"/>
            <w:shd w:val="clear" w:color="auto" w:fill="auto"/>
          </w:tcPr>
          <w:p>
            <w:r>
              <w:t>F8.8.1</w:t>
            </w:r>
          </w:p>
          <w:p/>
        </w:tc>
        <w:tc>
          <w:tcPr>
            <w:tcW w:w="745" w:type="dxa"/>
            <w:shd w:val="clear" w:color="auto" w:fill="auto"/>
          </w:tcPr>
          <w:p>
            <w:r>
              <w:t>文件名称</w:t>
            </w:r>
          </w:p>
        </w:tc>
        <w:tc>
          <w:tcPr>
            <w:tcW w:w="10223"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181" w:type="dxa"/>
            <w:vMerge w:val="restart"/>
            <w:shd w:val="clear" w:color="auto" w:fill="auto"/>
          </w:tcPr>
          <w:p>
            <w:r>
              <w:rPr/>
              <w:sym w:font="Wingdings" w:char="00FE"/>
            </w:r>
            <w:r>
              <w:t>符合</w:t>
            </w:r>
          </w:p>
          <w:p>
            <w:r>
              <w:rPr/>
              <w:sym w:font="Wingdings" w:char="00A8"/>
            </w:r>
            <w:r>
              <w:t>不符合</w:t>
            </w: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rFonts w:hint="eastAsia" w:eastAsia="宋体"/>
                      <w:szCs w:val="21"/>
                      <w:lang w:val="en-US" w:eastAsia="zh-CN"/>
                    </w:rPr>
                  </w:pPr>
                  <w:r>
                    <w:rPr>
                      <w:szCs w:val="21"/>
                    </w:rPr>
                    <w:t>每年一</w:t>
                  </w:r>
                  <w:r>
                    <w:rPr>
                      <w:rFonts w:hint="eastAsia"/>
                      <w:szCs w:val="21"/>
                      <w:lang w:val="en-US" w:eastAsia="zh-CN"/>
                    </w:rPr>
                    <w:t>次</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0"/>
                    <w:ind w:left="0" w:firstLine="0" w:firstLineChars="0"/>
                  </w:pPr>
                  <w:r>
                    <w:rPr>
                      <w:rFonts w:hint="eastAsia" w:ascii="Times New Roman" w:hAnsi="Times New Roman"/>
                      <w:szCs w:val="21"/>
                    </w:rPr>
                    <w:t>每批次（鲜畜禽肉）</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主要以清洁为主，见销售部审核记录</w:t>
            </w:r>
            <w:r>
              <w:rPr>
                <w:color w:val="000000" w:themeColor="text1"/>
                <w:u w:val="single"/>
                <w14:textFill>
                  <w14:solidFill>
                    <w14:schemeClr w14:val="tx1"/>
                  </w14:solidFill>
                </w14:textFill>
              </w:rPr>
              <w:t xml:space="preserve"> </w:t>
            </w:r>
            <w:r>
              <w:rPr>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lang w:val="en-US" w:eastAsia="zh-CN"/>
              </w:rPr>
              <w:t>主要用于场地以及设备的清洗，以感官检查为主</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shd w:val="clear" w:color="auto" w:fill="auto"/>
          </w:tcPr>
          <w:p>
            <w:r>
              <w:t>验证活动结果的分析</w:t>
            </w:r>
          </w:p>
        </w:tc>
        <w:tc>
          <w:tcPr>
            <w:tcW w:w="936" w:type="dxa"/>
            <w:vMerge w:val="restart"/>
            <w:shd w:val="clear" w:color="auto" w:fill="auto"/>
          </w:tcPr>
          <w:p>
            <w:r>
              <w:t>F8.8.2</w:t>
            </w:r>
          </w:p>
          <w:p/>
        </w:tc>
        <w:tc>
          <w:tcPr>
            <w:tcW w:w="745" w:type="dxa"/>
            <w:shd w:val="clear" w:color="auto" w:fill="auto"/>
          </w:tcPr>
          <w:p>
            <w:r>
              <w:t>文件名称</w:t>
            </w:r>
          </w:p>
        </w:tc>
        <w:tc>
          <w:tcPr>
            <w:tcW w:w="10223"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181"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4" w:type="dxa"/>
            <w:vMerge w:val="continue"/>
            <w:shd w:val="clear" w:color="auto" w:fill="auto"/>
          </w:tcPr>
          <w:p/>
        </w:tc>
        <w:tc>
          <w:tcPr>
            <w:tcW w:w="936" w:type="dxa"/>
            <w:vMerge w:val="continue"/>
            <w:shd w:val="clear" w:color="auto" w:fill="auto"/>
          </w:tcPr>
          <w:p/>
        </w:tc>
        <w:tc>
          <w:tcPr>
            <w:tcW w:w="745" w:type="dxa"/>
            <w:shd w:val="clear" w:color="auto" w:fill="auto"/>
          </w:tcPr>
          <w:p>
            <w:r>
              <w:t>运行证据</w:t>
            </w:r>
          </w:p>
        </w:tc>
        <w:tc>
          <w:tcPr>
            <w:tcW w:w="10223"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rFonts w:hint="eastAsia"/>
                <w:b/>
                <w:bCs/>
                <w:szCs w:val="21"/>
                <w:u w:val="single"/>
              </w:rPr>
            </w:pPr>
            <w:r>
              <w:rPr>
                <w:b/>
                <w:bCs/>
                <w:szCs w:val="21"/>
                <w:u w:val="single"/>
              </w:rPr>
              <w:t>有</w:t>
            </w:r>
            <w:r>
              <w:rPr>
                <w:rFonts w:hint="eastAsia"/>
                <w:b/>
                <w:bCs/>
                <w:szCs w:val="21"/>
                <w:u w:val="single"/>
                <w:lang w:eastAsia="zh-CN"/>
              </w:rPr>
              <w:t>《</w:t>
            </w:r>
            <w:r>
              <w:rPr>
                <w:rFonts w:hint="eastAsia"/>
                <w:b/>
                <w:bCs/>
                <w:szCs w:val="21"/>
                <w:u w:val="single"/>
                <w:lang w:val="en-US" w:eastAsia="zh-CN"/>
              </w:rPr>
              <w:t>前提方案验证记录》，2022-04-27日，</w:t>
            </w:r>
            <w:r>
              <w:rPr>
                <w:rFonts w:hint="eastAsia"/>
                <w:b/>
                <w:bCs/>
                <w:szCs w:val="21"/>
                <w:u w:val="single"/>
              </w:rPr>
              <w:t>结论：控制有效</w:t>
            </w:r>
          </w:p>
          <w:p>
            <w:pPr>
              <w:adjustRightInd w:val="0"/>
              <w:snapToGrid w:val="0"/>
              <w:spacing w:line="240" w:lineRule="atLeast"/>
              <w:ind w:firstLine="211" w:firstLineChars="100"/>
              <w:rPr>
                <w:rFonts w:hint="default" w:eastAsia="宋体"/>
                <w:b/>
                <w:bCs/>
                <w:szCs w:val="21"/>
                <w:u w:val="single"/>
                <w:lang w:val="en-US" w:eastAsia="zh-CN"/>
              </w:rPr>
            </w:pPr>
            <w:r>
              <w:rPr>
                <w:rFonts w:hint="eastAsia"/>
                <w:b/>
                <w:bCs/>
                <w:szCs w:val="21"/>
                <w:u w:val="single"/>
              </w:rPr>
              <w:t>《</w:t>
            </w:r>
            <w:r>
              <w:rPr>
                <w:rFonts w:hint="eastAsia" w:ascii="宋体" w:hAnsi="宋体"/>
                <w:color w:val="auto"/>
                <w:szCs w:val="21"/>
                <w:u w:val="single"/>
                <w:lang w:val="en-US" w:eastAsia="zh-CN"/>
              </w:rPr>
              <w:t>控制措施组合验证记录</w:t>
            </w:r>
            <w:r>
              <w:rPr>
                <w:rFonts w:hint="eastAsia"/>
                <w:b/>
                <w:bCs/>
                <w:szCs w:val="21"/>
                <w:u w:val="single"/>
              </w:rPr>
              <w:t>》，</w:t>
            </w:r>
            <w:r>
              <w:rPr>
                <w:rFonts w:hint="eastAsia"/>
                <w:b/>
                <w:bCs/>
                <w:szCs w:val="21"/>
                <w:u w:val="single"/>
                <w:lang w:eastAsia="zh-CN"/>
              </w:rPr>
              <w:t>2022年0</w:t>
            </w:r>
            <w:r>
              <w:rPr>
                <w:rFonts w:hint="eastAsia"/>
                <w:b/>
                <w:bCs/>
                <w:szCs w:val="21"/>
                <w:u w:val="single"/>
                <w:lang w:val="en-US" w:eastAsia="zh-CN"/>
              </w:rPr>
              <w:t>8</w:t>
            </w:r>
            <w:r>
              <w:rPr>
                <w:rFonts w:hint="eastAsia"/>
                <w:b/>
                <w:bCs/>
                <w:szCs w:val="21"/>
                <w:u w:val="single"/>
                <w:lang w:eastAsia="zh-CN"/>
              </w:rPr>
              <w:t>月</w:t>
            </w:r>
            <w:r>
              <w:rPr>
                <w:rFonts w:hint="eastAsia"/>
                <w:b/>
                <w:bCs/>
                <w:szCs w:val="21"/>
                <w:u w:val="single"/>
                <w:lang w:val="en-US" w:eastAsia="zh-CN"/>
              </w:rPr>
              <w:t>04</w:t>
            </w:r>
            <w:r>
              <w:rPr>
                <w:rFonts w:hint="eastAsia"/>
                <w:b/>
                <w:bCs/>
                <w:szCs w:val="21"/>
                <w:u w:val="single"/>
                <w:lang w:eastAsia="zh-CN"/>
              </w:rPr>
              <w:t>日</w:t>
            </w:r>
            <w:r>
              <w:rPr>
                <w:rFonts w:hint="eastAsia"/>
                <w:b/>
                <w:bCs/>
                <w:szCs w:val="21"/>
                <w:u w:val="single"/>
              </w:rPr>
              <w:t>，结论：控制有效</w:t>
            </w:r>
            <w:r>
              <w:rPr>
                <w:rFonts w:hint="eastAsia"/>
                <w:b/>
                <w:bCs/>
                <w:szCs w:val="21"/>
                <w:u w:val="single"/>
                <w:lang w:eastAsia="zh-CN"/>
              </w:rPr>
              <w:t>，</w:t>
            </w:r>
            <w:r>
              <w:rPr>
                <w:rFonts w:hint="eastAsia"/>
                <w:b/>
                <w:bCs/>
                <w:szCs w:val="21"/>
                <w:u w:val="single"/>
                <w:lang w:val="en-US" w:eastAsia="zh-CN"/>
              </w:rPr>
              <w:t>策划时间不合理，已与企业沟通</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w:t>
            </w:r>
            <w:r>
              <w:rPr>
                <w:rFonts w:hint="eastAsia"/>
                <w:b/>
                <w:bCs/>
                <w:szCs w:val="21"/>
                <w:u w:val="single"/>
                <w:lang w:val="en-US" w:eastAsia="zh-CN"/>
              </w:rPr>
              <w:t>2-08-10</w:t>
            </w:r>
            <w:r>
              <w:rPr>
                <w:rFonts w:hint="eastAsia"/>
                <w:b/>
                <w:bCs/>
                <w:szCs w:val="21"/>
                <w:u w:val="single"/>
              </w:rPr>
              <w:t>，结论：控制有效</w:t>
            </w:r>
            <w:r>
              <w:rPr>
                <w:b/>
                <w:bCs/>
                <w:szCs w:val="21"/>
                <w:u w:val="single"/>
              </w:rPr>
              <w:t>。</w:t>
            </w:r>
          </w:p>
          <w:p/>
        </w:tc>
        <w:tc>
          <w:tcPr>
            <w:tcW w:w="1181"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74" w:type="dxa"/>
            <w:vMerge w:val="restart"/>
          </w:tcPr>
          <w:p>
            <w:r>
              <w:t>分析与评价</w:t>
            </w:r>
          </w:p>
        </w:tc>
        <w:tc>
          <w:tcPr>
            <w:tcW w:w="936" w:type="dxa"/>
            <w:vMerge w:val="restart"/>
          </w:tcPr>
          <w:p>
            <w:r>
              <w:t>F9.1.2</w:t>
            </w:r>
          </w:p>
        </w:tc>
        <w:tc>
          <w:tcPr>
            <w:tcW w:w="745" w:type="dxa"/>
          </w:tcPr>
          <w:p>
            <w:r>
              <w:t>文件名称</w:t>
            </w:r>
          </w:p>
        </w:tc>
        <w:tc>
          <w:tcPr>
            <w:tcW w:w="10223"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181"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74" w:type="dxa"/>
            <w:vMerge w:val="continue"/>
          </w:tcPr>
          <w:p/>
        </w:tc>
        <w:tc>
          <w:tcPr>
            <w:tcW w:w="936" w:type="dxa"/>
            <w:vMerge w:val="continue"/>
          </w:tcPr>
          <w:p/>
        </w:tc>
        <w:tc>
          <w:tcPr>
            <w:tcW w:w="745" w:type="dxa"/>
          </w:tcPr>
          <w:p>
            <w:r>
              <w:t>运行证据</w:t>
            </w:r>
          </w:p>
        </w:tc>
        <w:tc>
          <w:tcPr>
            <w:tcW w:w="10223" w:type="dxa"/>
          </w:tcPr>
          <w:p>
            <w:r>
              <w:t>组织对下列监测和测量产生的适当数据和信息进行分析和评估，包括：</w:t>
            </w:r>
          </w:p>
          <w:p>
            <w:pPr>
              <w:rPr>
                <w:rFonts w:hint="eastAsia" w:eastAsia="宋体"/>
                <w:lang w:eastAsia="zh-CN"/>
              </w:rPr>
            </w:pPr>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pPr>
              <w:rPr>
                <w:rFonts w:hint="default" w:eastAsia="宋体"/>
                <w:lang w:val="en-US" w:eastAsia="zh-CN"/>
              </w:rPr>
            </w:pPr>
            <w:r>
              <w:rPr>
                <w:color w:val="000000"/>
                <w:szCs w:val="21"/>
              </w:rPr>
              <w:t>□因果图 □柱状图 □ 饼状图 □SPC图 □排列图</w:t>
            </w:r>
            <w:r>
              <w:t>☑</w:t>
            </w:r>
            <w:r>
              <w:rPr>
                <w:color w:val="000000"/>
                <w:szCs w:val="21"/>
              </w:rPr>
              <w:t>其他</w:t>
            </w:r>
            <w:r>
              <w:rPr>
                <w:rFonts w:hint="eastAsia"/>
                <w:color w:val="000000"/>
                <w:szCs w:val="21"/>
                <w:lang w:eastAsia="zh-CN"/>
              </w:rPr>
              <w:t>——</w:t>
            </w:r>
            <w:r>
              <w:rPr>
                <w:rFonts w:hint="eastAsia"/>
                <w:color w:val="000000"/>
                <w:szCs w:val="21"/>
                <w:lang w:val="en-US" w:eastAsia="zh-CN"/>
              </w:rPr>
              <w:t>简单数据统计</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pPr>
              <w:rPr>
                <w:rFonts w:hint="eastAsia" w:eastAsia="宋体"/>
                <w:lang w:eastAsia="zh-CN"/>
              </w:rPr>
            </w:pPr>
            <w:r>
              <w:t>见《验证结果分析报告》</w:t>
            </w:r>
            <w:r>
              <w:rPr>
                <w:rFonts w:hint="eastAsia"/>
                <w:lang w:val="en-US" w:eastAsia="zh-CN"/>
              </w:rPr>
              <w:t>2022-08-10</w:t>
            </w:r>
            <w:r>
              <w:rPr>
                <w:rFonts w:hint="eastAsia"/>
                <w:lang w:eastAsia="zh-CN"/>
              </w:rPr>
              <w:t>、《</w:t>
            </w:r>
            <w:r>
              <w:rPr>
                <w:rFonts w:hint="eastAsia"/>
                <w:lang w:val="en-US" w:eastAsia="zh-CN"/>
              </w:rPr>
              <w:t>管理评审报告</w:t>
            </w:r>
            <w:r>
              <w:rPr>
                <w:rFonts w:hint="eastAsia"/>
                <w:lang w:eastAsia="zh-CN"/>
              </w:rPr>
              <w:t>》</w:t>
            </w:r>
          </w:p>
        </w:tc>
        <w:tc>
          <w:tcPr>
            <w:tcW w:w="1181" w:type="dxa"/>
            <w:vMerge w:val="continue"/>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765" w:firstLineChars="450"/>
      <w:jc w:val="left"/>
      <w:rPr>
        <w:rStyle w:val="18"/>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-80645</wp:posOffset>
          </wp:positionH>
          <wp:positionV relativeFrom="paragraph">
            <wp:posOffset>-2540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172A27"/>
    <w:rsid w:val="0000618F"/>
    <w:rsid w:val="00014985"/>
    <w:rsid w:val="000172A7"/>
    <w:rsid w:val="00020D48"/>
    <w:rsid w:val="000237F6"/>
    <w:rsid w:val="00031FA4"/>
    <w:rsid w:val="0003219A"/>
    <w:rsid w:val="0003373A"/>
    <w:rsid w:val="00036635"/>
    <w:rsid w:val="000400E2"/>
    <w:rsid w:val="000455E4"/>
    <w:rsid w:val="000622D8"/>
    <w:rsid w:val="000624EE"/>
    <w:rsid w:val="00062E46"/>
    <w:rsid w:val="00077884"/>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2D7F"/>
    <w:rsid w:val="001A5750"/>
    <w:rsid w:val="001C015D"/>
    <w:rsid w:val="001C4036"/>
    <w:rsid w:val="001C7883"/>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305B8F"/>
    <w:rsid w:val="00305EC0"/>
    <w:rsid w:val="00307AF7"/>
    <w:rsid w:val="003108C2"/>
    <w:rsid w:val="003138A8"/>
    <w:rsid w:val="00314AF6"/>
    <w:rsid w:val="0032578F"/>
    <w:rsid w:val="00327D4A"/>
    <w:rsid w:val="00335FBB"/>
    <w:rsid w:val="00337922"/>
    <w:rsid w:val="00340867"/>
    <w:rsid w:val="003456A2"/>
    <w:rsid w:val="00345CA7"/>
    <w:rsid w:val="00353F23"/>
    <w:rsid w:val="003565F6"/>
    <w:rsid w:val="003755E6"/>
    <w:rsid w:val="00376ADE"/>
    <w:rsid w:val="003807AA"/>
    <w:rsid w:val="00380837"/>
    <w:rsid w:val="0038228C"/>
    <w:rsid w:val="0038333F"/>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70B0"/>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853"/>
    <w:rsid w:val="00765B5F"/>
    <w:rsid w:val="007757F3"/>
    <w:rsid w:val="00781FEB"/>
    <w:rsid w:val="00784362"/>
    <w:rsid w:val="007A3CD1"/>
    <w:rsid w:val="007B0B22"/>
    <w:rsid w:val="007B5750"/>
    <w:rsid w:val="007C1B48"/>
    <w:rsid w:val="007E3B15"/>
    <w:rsid w:val="007E6AEB"/>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74E10"/>
    <w:rsid w:val="00A80636"/>
    <w:rsid w:val="00A856B9"/>
    <w:rsid w:val="00A87338"/>
    <w:rsid w:val="00A92316"/>
    <w:rsid w:val="00AB0E26"/>
    <w:rsid w:val="00AB4939"/>
    <w:rsid w:val="00AC2FE4"/>
    <w:rsid w:val="00AC73E8"/>
    <w:rsid w:val="00AC7D83"/>
    <w:rsid w:val="00AD4BDC"/>
    <w:rsid w:val="00AE06F2"/>
    <w:rsid w:val="00AE313E"/>
    <w:rsid w:val="00AE46F3"/>
    <w:rsid w:val="00AF0AAB"/>
    <w:rsid w:val="00AF0CE4"/>
    <w:rsid w:val="00AF4C80"/>
    <w:rsid w:val="00B06469"/>
    <w:rsid w:val="00B2731A"/>
    <w:rsid w:val="00B36B10"/>
    <w:rsid w:val="00B36E58"/>
    <w:rsid w:val="00B45443"/>
    <w:rsid w:val="00B47769"/>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228"/>
    <w:rsid w:val="00C63768"/>
    <w:rsid w:val="00C658AB"/>
    <w:rsid w:val="00C72A05"/>
    <w:rsid w:val="00C7514B"/>
    <w:rsid w:val="00C77034"/>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60AD"/>
    <w:rsid w:val="00DB6A55"/>
    <w:rsid w:val="00DB7E69"/>
    <w:rsid w:val="00DD33DB"/>
    <w:rsid w:val="00DD429E"/>
    <w:rsid w:val="00DE28CC"/>
    <w:rsid w:val="00DE4D6D"/>
    <w:rsid w:val="00DE595B"/>
    <w:rsid w:val="00DF1100"/>
    <w:rsid w:val="00E10A4B"/>
    <w:rsid w:val="00E12658"/>
    <w:rsid w:val="00E16D3B"/>
    <w:rsid w:val="00E23BC1"/>
    <w:rsid w:val="00E261AE"/>
    <w:rsid w:val="00E348B3"/>
    <w:rsid w:val="00E361DE"/>
    <w:rsid w:val="00E402CD"/>
    <w:rsid w:val="00E43FFD"/>
    <w:rsid w:val="00E46E99"/>
    <w:rsid w:val="00E6224C"/>
    <w:rsid w:val="00E63724"/>
    <w:rsid w:val="00E7240B"/>
    <w:rsid w:val="00E7379E"/>
    <w:rsid w:val="00E73DD8"/>
    <w:rsid w:val="00E92F55"/>
    <w:rsid w:val="00EA0B69"/>
    <w:rsid w:val="00EA37D1"/>
    <w:rsid w:val="00EB0164"/>
    <w:rsid w:val="00EB1C22"/>
    <w:rsid w:val="00EB3D2A"/>
    <w:rsid w:val="00EB5592"/>
    <w:rsid w:val="00EC4987"/>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1F4E69"/>
    <w:rsid w:val="083339D6"/>
    <w:rsid w:val="08713341"/>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569E9"/>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5323F"/>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39A1"/>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406D0F"/>
    <w:rsid w:val="444430DC"/>
    <w:rsid w:val="44586E1C"/>
    <w:rsid w:val="447A268A"/>
    <w:rsid w:val="44A527AB"/>
    <w:rsid w:val="44A567F5"/>
    <w:rsid w:val="453B1EBC"/>
    <w:rsid w:val="45635AEC"/>
    <w:rsid w:val="45BA54FA"/>
    <w:rsid w:val="45C810D7"/>
    <w:rsid w:val="45D21E5B"/>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5E28AB"/>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D32AE1"/>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1474E44"/>
    <w:rsid w:val="724D262A"/>
    <w:rsid w:val="72702455"/>
    <w:rsid w:val="728F2E47"/>
    <w:rsid w:val="72973011"/>
    <w:rsid w:val="72CD6505"/>
    <w:rsid w:val="72E25592"/>
    <w:rsid w:val="72E42D1B"/>
    <w:rsid w:val="72E75DED"/>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C7432F"/>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53928"/>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annotation text"/>
    <w:basedOn w:val="1"/>
    <w:link w:val="22"/>
    <w:semiHidden/>
    <w:unhideWhenUsed/>
    <w:qFormat/>
    <w:uiPriority w:val="99"/>
    <w:pPr>
      <w:jc w:val="left"/>
    </w:p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7"/>
    <w:semiHidden/>
    <w:unhideWhenUsed/>
    <w:qFormat/>
    <w:uiPriority w:val="99"/>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annotation subject"/>
    <w:basedOn w:val="4"/>
    <w:next w:val="4"/>
    <w:link w:val="23"/>
    <w:semiHidden/>
    <w:unhideWhenUsed/>
    <w:qFormat/>
    <w:uiPriority w:val="99"/>
    <w:rPr>
      <w:b/>
      <w:bCs/>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2"/>
    <w:qFormat/>
    <w:uiPriority w:val="99"/>
    <w:rPr>
      <w:rFonts w:ascii="Times New Roman" w:hAnsi="Times New Roman" w:eastAsia="宋体" w:cs="Times New Roman"/>
      <w:sz w:val="18"/>
      <w:szCs w:val="18"/>
    </w:rPr>
  </w:style>
  <w:style w:type="character" w:customStyle="1" w:styleId="17">
    <w:name w:val="批注框文本 字符"/>
    <w:basedOn w:val="13"/>
    <w:link w:val="6"/>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4"/>
    <w:semiHidden/>
    <w:qFormat/>
    <w:uiPriority w:val="99"/>
    <w:rPr>
      <w:kern w:val="2"/>
      <w:sz w:val="21"/>
    </w:rPr>
  </w:style>
  <w:style w:type="character" w:customStyle="1" w:styleId="23">
    <w:name w:val="批注主题 字符"/>
    <w:basedOn w:val="22"/>
    <w:link w:val="9"/>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7544</Words>
  <Characters>8383</Characters>
  <Lines>99</Lines>
  <Paragraphs>28</Paragraphs>
  <TotalTime>2</TotalTime>
  <ScaleCrop>false</ScaleCrop>
  <LinksUpToDate>false</LinksUpToDate>
  <CharactersWithSpaces>9523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2022-09-26T12:29:45Z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FD3CB9E3ACD34B8AABF9783757DF611D</vt:lpwstr>
  </property>
</Properties>
</file>