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8"/>
        <w:tblW w:w="143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"/>
        <w:gridCol w:w="2170"/>
        <w:gridCol w:w="4"/>
        <w:gridCol w:w="14"/>
        <w:gridCol w:w="912"/>
        <w:gridCol w:w="8"/>
        <w:gridCol w:w="2"/>
        <w:gridCol w:w="743"/>
        <w:gridCol w:w="2"/>
        <w:gridCol w:w="7"/>
        <w:gridCol w:w="9248"/>
        <w:gridCol w:w="5"/>
        <w:gridCol w:w="12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79" w:type="dxa"/>
            <w:gridSpan w:val="2"/>
            <w:vMerge w:val="restart"/>
            <w:shd w:val="clear" w:color="auto" w:fill="auto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30" w:type="dxa"/>
            <w:gridSpan w:val="3"/>
            <w:vMerge w:val="restart"/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15" w:type="dxa"/>
            <w:gridSpan w:val="7"/>
            <w:shd w:val="clear" w:color="auto" w:fill="auto"/>
            <w:vAlign w:val="center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销售部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 xml:space="preserve">负责人：黄鹏辉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陪同人员：蔡丽美</w:t>
            </w:r>
          </w:p>
        </w:tc>
        <w:tc>
          <w:tcPr>
            <w:tcW w:w="1266" w:type="dxa"/>
            <w:vMerge w:val="restart"/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2179" w:type="dxa"/>
            <w:gridSpan w:val="2"/>
            <w:vMerge w:val="continue"/>
            <w:shd w:val="clear" w:color="auto" w:fill="auto"/>
            <w:vAlign w:val="center"/>
          </w:tcPr>
          <w:p/>
        </w:tc>
        <w:tc>
          <w:tcPr>
            <w:tcW w:w="930" w:type="dxa"/>
            <w:gridSpan w:val="3"/>
            <w:vMerge w:val="continue"/>
            <w:shd w:val="clear" w:color="auto" w:fill="auto"/>
            <w:vAlign w:val="center"/>
          </w:tcPr>
          <w:p/>
        </w:tc>
        <w:tc>
          <w:tcPr>
            <w:tcW w:w="10015" w:type="dxa"/>
            <w:gridSpan w:val="7"/>
            <w:shd w:val="clear" w:color="auto" w:fill="auto"/>
            <w:vAlign w:val="center"/>
          </w:tcPr>
          <w:p>
            <w:pPr>
              <w:spacing w:before="12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审核员：肖新龙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审核日期：202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2-09-26</w:t>
            </w:r>
          </w:p>
        </w:tc>
        <w:tc>
          <w:tcPr>
            <w:tcW w:w="1266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79" w:type="dxa"/>
            <w:gridSpan w:val="2"/>
            <w:vMerge w:val="continue"/>
            <w:shd w:val="clear" w:color="auto" w:fill="auto"/>
            <w:vAlign w:val="center"/>
          </w:tcPr>
          <w:p/>
        </w:tc>
        <w:tc>
          <w:tcPr>
            <w:tcW w:w="930" w:type="dxa"/>
            <w:gridSpan w:val="3"/>
            <w:vMerge w:val="continue"/>
            <w:shd w:val="clear" w:color="auto" w:fill="auto"/>
            <w:vAlign w:val="center"/>
          </w:tcPr>
          <w:p/>
        </w:tc>
        <w:tc>
          <w:tcPr>
            <w:tcW w:w="10015" w:type="dxa"/>
            <w:gridSpan w:val="7"/>
            <w:shd w:val="clear" w:color="auto" w:fill="auto"/>
            <w:vAlign w:val="center"/>
          </w:tcPr>
          <w:p>
            <w:pPr>
              <w:pStyle w:val="11"/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</w:rPr>
              <w:t>审核条款：FSMS:5.3/6.2/7.1.3/7.1.4</w:t>
            </w:r>
            <w:r>
              <w:rPr>
                <w:rFonts w:hint="eastAsia"/>
                <w:highlight w:val="none"/>
                <w:lang w:val="en-US" w:eastAsia="zh-CN"/>
              </w:rPr>
              <w:t>/</w:t>
            </w:r>
            <w:r>
              <w:rPr>
                <w:rFonts w:hint="eastAsia"/>
                <w:highlight w:val="none"/>
              </w:rPr>
              <w:t>8.2/8.3/8.4/8.5.4</w:t>
            </w:r>
            <w:r>
              <w:rPr>
                <w:rFonts w:hint="eastAsia"/>
                <w:highlight w:val="none"/>
                <w:lang w:val="en-US" w:eastAsia="zh-CN"/>
              </w:rPr>
              <w:t>.5/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8.9.5</w:t>
            </w:r>
          </w:p>
        </w:tc>
        <w:tc>
          <w:tcPr>
            <w:tcW w:w="1266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79" w:type="dxa"/>
            <w:gridSpan w:val="2"/>
            <w:vMerge w:val="restart"/>
            <w:shd w:val="clear" w:color="auto" w:fill="auto"/>
          </w:tcPr>
          <w:p>
            <w:r>
              <w:rPr>
                <w:rFonts w:hint="eastAsia"/>
              </w:rPr>
              <w:t>组织的角色、职责和权限</w:t>
            </w:r>
          </w:p>
          <w:p/>
        </w:tc>
        <w:tc>
          <w:tcPr>
            <w:tcW w:w="930" w:type="dxa"/>
            <w:gridSpan w:val="3"/>
            <w:vMerge w:val="restart"/>
            <w:shd w:val="clear" w:color="auto" w:fill="auto"/>
          </w:tcPr>
          <w:p>
            <w:r>
              <w:rPr>
                <w:rFonts w:hint="eastAsia"/>
              </w:rPr>
              <w:t>F5.3</w:t>
            </w:r>
          </w:p>
          <w:p/>
        </w:tc>
        <w:tc>
          <w:tcPr>
            <w:tcW w:w="762" w:type="dxa"/>
            <w:gridSpan w:val="5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3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管理手册第5.3章</w:t>
            </w:r>
          </w:p>
        </w:tc>
        <w:tc>
          <w:tcPr>
            <w:tcW w:w="1266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符合 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2179" w:type="dxa"/>
            <w:gridSpan w:val="2"/>
            <w:vMerge w:val="continue"/>
            <w:shd w:val="clear" w:color="auto" w:fill="auto"/>
          </w:tcPr>
          <w:p/>
        </w:tc>
        <w:tc>
          <w:tcPr>
            <w:tcW w:w="930" w:type="dxa"/>
            <w:gridSpan w:val="3"/>
            <w:vMerge w:val="continue"/>
            <w:shd w:val="clear" w:color="auto" w:fill="auto"/>
          </w:tcPr>
          <w:p/>
        </w:tc>
        <w:tc>
          <w:tcPr>
            <w:tcW w:w="762" w:type="dxa"/>
            <w:gridSpan w:val="5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3" w:type="dxa"/>
            <w:gridSpan w:val="2"/>
            <w:shd w:val="clear" w:color="auto" w:fill="auto"/>
          </w:tcPr>
          <w:p>
            <w:pPr>
              <w:pStyle w:val="11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主要负责接受客户订单，</w:t>
            </w:r>
            <w:r>
              <w:rPr>
                <w:rFonts w:hint="eastAsia"/>
              </w:rPr>
              <w:t>基础设施和工作环境管理、</w:t>
            </w:r>
            <w:r>
              <w:rPr>
                <w:rFonts w:hint="eastAsia"/>
                <w:lang w:val="en-US" w:eastAsia="zh-CN"/>
              </w:rPr>
              <w:t>车辆维保、负责组织产品</w:t>
            </w:r>
            <w:r>
              <w:rPr>
                <w:rFonts w:hint="eastAsia"/>
              </w:rPr>
              <w:t>追溯、产品召回、</w:t>
            </w:r>
            <w:r>
              <w:rPr>
                <w:rFonts w:hint="eastAsia"/>
                <w:lang w:val="en-US" w:eastAsia="zh-CN"/>
              </w:rPr>
              <w:t>危害控制计划的实施、纠偏等工作。</w:t>
            </w:r>
          </w:p>
          <w:p>
            <w:pPr>
              <w:pStyle w:val="11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经询问了解本部门职责未发生变化。</w:t>
            </w:r>
          </w:p>
        </w:tc>
        <w:tc>
          <w:tcPr>
            <w:tcW w:w="1266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79" w:type="dxa"/>
            <w:gridSpan w:val="2"/>
            <w:vMerge w:val="restart"/>
            <w:shd w:val="clear" w:color="auto" w:fill="auto"/>
          </w:tcPr>
          <w:p>
            <w:r>
              <w:rPr>
                <w:rFonts w:hint="eastAsia"/>
                <w:color w:val="000000"/>
                <w:szCs w:val="21"/>
              </w:rPr>
              <w:t>食品安全管理体系目标及其实现的策划</w:t>
            </w:r>
          </w:p>
        </w:tc>
        <w:tc>
          <w:tcPr>
            <w:tcW w:w="930" w:type="dxa"/>
            <w:gridSpan w:val="3"/>
            <w:vMerge w:val="restart"/>
            <w:shd w:val="clear" w:color="auto" w:fill="auto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F6.2</w:t>
            </w:r>
          </w:p>
          <w:p/>
        </w:tc>
        <w:tc>
          <w:tcPr>
            <w:tcW w:w="762" w:type="dxa"/>
            <w:gridSpan w:val="5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3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手册第6.2条款、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lang w:val="en-US" w:eastAsia="zh-CN"/>
              </w:rPr>
              <w:t>管理目标</w:t>
            </w:r>
            <w:r>
              <w:rPr>
                <w:rFonts w:hint="eastAsia"/>
              </w:rPr>
              <w:t>》</w:t>
            </w:r>
          </w:p>
        </w:tc>
        <w:tc>
          <w:tcPr>
            <w:tcW w:w="1266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符合 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2179" w:type="dxa"/>
            <w:gridSpan w:val="2"/>
            <w:vMerge w:val="continue"/>
            <w:shd w:val="clear" w:color="auto" w:fill="auto"/>
          </w:tcPr>
          <w:p/>
        </w:tc>
        <w:tc>
          <w:tcPr>
            <w:tcW w:w="930" w:type="dxa"/>
            <w:gridSpan w:val="3"/>
            <w:vMerge w:val="continue"/>
            <w:shd w:val="clear" w:color="auto" w:fill="auto"/>
          </w:tcPr>
          <w:p/>
        </w:tc>
        <w:tc>
          <w:tcPr>
            <w:tcW w:w="762" w:type="dxa"/>
            <w:gridSpan w:val="5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3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组织建立了与方针一致的文件化的管理目标。为实现总食品安全目标而建立的各层级食品安全目标具体、有针对性、可测量并且可实现。</w:t>
            </w:r>
          </w:p>
          <w:p>
            <w:r>
              <w:rPr>
                <w:rFonts w:hint="eastAsia"/>
                <w:lang w:val="en-US" w:eastAsia="zh-CN"/>
              </w:rPr>
              <w:t>抽取本部门</w:t>
            </w:r>
            <w:r>
              <w:rPr>
                <w:rFonts w:hint="eastAsia"/>
              </w:rPr>
              <w:t>食品安全目标实现情况的评价，及其测量方法是：</w:t>
            </w:r>
          </w:p>
          <w:tbl>
            <w:tblPr>
              <w:tblStyle w:val="8"/>
              <w:tblW w:w="899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61"/>
              <w:gridCol w:w="1055"/>
              <w:gridCol w:w="2422"/>
              <w:gridCol w:w="1156"/>
              <w:gridCol w:w="240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2" w:hRule="atLeast"/>
              </w:trPr>
              <w:tc>
                <w:tcPr>
                  <w:tcW w:w="1961" w:type="dxa"/>
                  <w:shd w:val="clear" w:color="auto" w:fill="auto"/>
                </w:tcPr>
                <w:p>
                  <w:pPr>
                    <w:jc w:val="center"/>
                    <w:rPr>
                      <w:rFonts w:ascii="宋体" w:hAnsi="宋体"/>
                      <w:szCs w:val="24"/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食品安全</w:t>
                  </w:r>
                  <w:r>
                    <w:rPr>
                      <w:rFonts w:hint="eastAsia" w:ascii="宋体" w:hAnsi="宋体"/>
                      <w:szCs w:val="24"/>
                      <w:highlight w:val="none"/>
                    </w:rPr>
                    <w:t>目标</w:t>
                  </w:r>
                </w:p>
              </w:tc>
              <w:tc>
                <w:tcPr>
                  <w:tcW w:w="1055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  <w:highlight w:val="none"/>
                    </w:rPr>
                  </w:pPr>
                  <w:r>
                    <w:rPr>
                      <w:rFonts w:hint="eastAsia" w:ascii="宋体" w:hAnsi="宋体"/>
                      <w:szCs w:val="24"/>
                      <w:highlight w:val="none"/>
                    </w:rPr>
                    <w:t>考核周期</w:t>
                  </w:r>
                </w:p>
              </w:tc>
              <w:tc>
                <w:tcPr>
                  <w:tcW w:w="2422" w:type="dxa"/>
                  <w:shd w:val="clear" w:color="auto" w:fill="auto"/>
                </w:tcPr>
                <w:p>
                  <w:pPr>
                    <w:rPr>
                      <w:rFonts w:hint="eastAsia" w:ascii="宋体" w:hAnsi="宋体" w:eastAsia="宋体"/>
                      <w:szCs w:val="24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4"/>
                      <w:highlight w:val="none"/>
                      <w:lang w:val="en-US" w:eastAsia="zh-CN"/>
                    </w:rPr>
                    <w:t>计算方法</w:t>
                  </w:r>
                </w:p>
              </w:tc>
              <w:tc>
                <w:tcPr>
                  <w:tcW w:w="1156" w:type="dxa"/>
                  <w:shd w:val="clear" w:color="auto" w:fill="auto"/>
                  <w:vAlign w:val="top"/>
                </w:tcPr>
                <w:p>
                  <w:pPr>
                    <w:rPr>
                      <w:rFonts w:ascii="宋体" w:hAnsi="宋体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Cs w:val="24"/>
                      <w:highlight w:val="none"/>
                    </w:rPr>
                    <w:t>责任部门</w:t>
                  </w:r>
                </w:p>
              </w:tc>
              <w:tc>
                <w:tcPr>
                  <w:tcW w:w="2404" w:type="dxa"/>
                  <w:shd w:val="clear" w:color="auto" w:fill="auto"/>
                  <w:vAlign w:val="top"/>
                </w:tcPr>
                <w:p>
                  <w:pPr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Cs w:val="24"/>
                      <w:highlight w:val="none"/>
                    </w:rPr>
                    <w:t>目标实际完成（</w:t>
                  </w:r>
                  <w:r>
                    <w:rPr>
                      <w:rFonts w:hint="eastAsia" w:ascii="宋体" w:hAnsi="宋体"/>
                      <w:szCs w:val="24"/>
                      <w:highlight w:val="none"/>
                      <w:lang w:val="en-US" w:eastAsia="zh-CN"/>
                    </w:rPr>
                    <w:t>2022.01-2022.08</w:t>
                  </w:r>
                  <w:r>
                    <w:rPr>
                      <w:rFonts w:hint="eastAsia" w:ascii="宋体" w:hAnsi="宋体"/>
                      <w:szCs w:val="24"/>
                      <w:highlight w:val="none"/>
                    </w:rPr>
                    <w:t>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6" w:hRule="atLeast"/>
              </w:trPr>
              <w:tc>
                <w:tcPr>
                  <w:tcW w:w="1961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sz w:val="21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顾客满意度</w:t>
                  </w:r>
                  <w:r>
                    <w:rPr>
                      <w:rStyle w:val="18"/>
                      <w:rFonts w:hint="eastAsia" w:ascii="宋体" w:hAnsi="宋体" w:eastAsia="宋体" w:cs="宋体"/>
                      <w:sz w:val="21"/>
                      <w:szCs w:val="21"/>
                      <w:lang w:val="en-US" w:eastAsia="zh-CN" w:bidi="ar"/>
                    </w:rPr>
                    <w:t>≥90</w:t>
                  </w:r>
                  <w:r>
                    <w:rPr>
                      <w:rStyle w:val="19"/>
                      <w:rFonts w:hint="eastAsia" w:ascii="宋体" w:hAnsi="宋体" w:eastAsia="宋体" w:cs="宋体"/>
                      <w:sz w:val="21"/>
                      <w:szCs w:val="21"/>
                      <w:lang w:val="en-US" w:eastAsia="zh-CN" w:bidi="ar"/>
                    </w:rPr>
                    <w:t>分</w:t>
                  </w:r>
                </w:p>
              </w:tc>
              <w:tc>
                <w:tcPr>
                  <w:tcW w:w="1055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highlight w:val="none"/>
                      <w:lang w:val="en-US" w:eastAsia="zh-CN"/>
                    </w:rPr>
                    <w:t>每月</w:t>
                  </w:r>
                </w:p>
              </w:tc>
              <w:tc>
                <w:tcPr>
                  <w:tcW w:w="2422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1"/>
                      <w:szCs w:val="21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顾客满意度调查回收份数总分/发放总数X100%</w:t>
                  </w:r>
                </w:p>
              </w:tc>
              <w:tc>
                <w:tcPr>
                  <w:tcW w:w="1156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  <w:t>销售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highlight w:val="none"/>
                      <w:lang w:val="en-US" w:eastAsia="zh-CN"/>
                    </w:rPr>
                    <w:t>部</w:t>
                  </w:r>
                </w:p>
              </w:tc>
              <w:tc>
                <w:tcPr>
                  <w:tcW w:w="240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Calibri" w:hAnsi="Calibri" w:eastAsia="宋体" w:cs="Calibri"/>
                      <w:i w:val="0"/>
                      <w:iCs w:val="0"/>
                      <w:color w:val="000000"/>
                      <w:kern w:val="2"/>
                      <w:sz w:val="21"/>
                      <w:szCs w:val="21"/>
                      <w:u w:val="none"/>
                      <w:lang w:val="en-US" w:eastAsia="zh-CN" w:bidi="ar-SA"/>
                    </w:rPr>
                  </w:pPr>
                  <w:r>
                    <w:rPr>
                      <w:rStyle w:val="20"/>
                      <w:rFonts w:eastAsia="宋体"/>
                      <w:sz w:val="21"/>
                      <w:szCs w:val="21"/>
                      <w:lang w:val="en-US" w:eastAsia="zh-CN" w:bidi="ar"/>
                    </w:rPr>
                    <w:t>96.25</w:t>
                  </w:r>
                  <w:r>
                    <w:rPr>
                      <w:rStyle w:val="19"/>
                      <w:sz w:val="21"/>
                      <w:szCs w:val="21"/>
                      <w:lang w:val="en-US" w:eastAsia="zh-CN" w:bidi="ar"/>
                    </w:rPr>
                    <w:t>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6" w:hRule="atLeast"/>
              </w:trPr>
              <w:tc>
                <w:tcPr>
                  <w:tcW w:w="1961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sz w:val="21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Style w:val="19"/>
                      <w:rFonts w:hint="eastAsia" w:ascii="宋体" w:hAnsi="宋体" w:eastAsia="宋体" w:cs="宋体"/>
                      <w:sz w:val="21"/>
                      <w:szCs w:val="21"/>
                      <w:lang w:val="en-US" w:eastAsia="zh-CN" w:bidi="ar"/>
                    </w:rPr>
                    <w:t xml:space="preserve">   食品安全事故为零</w:t>
                  </w:r>
                </w:p>
              </w:tc>
              <w:tc>
                <w:tcPr>
                  <w:tcW w:w="1055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highlight w:val="none"/>
                      <w:lang w:val="en-US" w:eastAsia="zh-CN"/>
                    </w:rPr>
                    <w:t>每月</w:t>
                  </w:r>
                </w:p>
              </w:tc>
              <w:tc>
                <w:tcPr>
                  <w:tcW w:w="2422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1"/>
                      <w:szCs w:val="21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食品安全事故由人事部每半年统计一次</w:t>
                  </w:r>
                </w:p>
              </w:tc>
              <w:tc>
                <w:tcPr>
                  <w:tcW w:w="1156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  <w:t>销售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highlight w:val="none"/>
                      <w:lang w:val="en-US" w:eastAsia="zh-CN"/>
                    </w:rPr>
                    <w:t>部</w:t>
                  </w:r>
                </w:p>
              </w:tc>
              <w:tc>
                <w:tcPr>
                  <w:tcW w:w="240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宋体" w:cs="Times New Roman"/>
                      <w:i w:val="0"/>
                      <w:iCs w:val="0"/>
                      <w:color w:val="000000"/>
                      <w:kern w:val="2"/>
                      <w:sz w:val="21"/>
                      <w:szCs w:val="21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3" w:hRule="atLeast"/>
              </w:trPr>
              <w:tc>
                <w:tcPr>
                  <w:tcW w:w="1961" w:type="dxa"/>
                  <w:shd w:val="clear" w:color="auto" w:fill="auto"/>
                  <w:vAlign w:val="center"/>
                </w:tcPr>
                <w:p>
                  <w:pPr>
                    <w:adjustRightInd w:val="0"/>
                    <w:snapToGrid w:val="0"/>
                    <w:spacing w:line="300" w:lineRule="auto"/>
                    <w:jc w:val="center"/>
                    <w:rPr>
                      <w:rFonts w:hint="eastAsia" w:ascii="宋体" w:hAnsi="宋体" w:eastAsia="宋体" w:cs="宋体"/>
                      <w:bCs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客户投诉率≤4%</w:t>
                  </w:r>
                </w:p>
              </w:tc>
              <w:tc>
                <w:tcPr>
                  <w:tcW w:w="1055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highlight w:val="none"/>
                      <w:lang w:val="en-US" w:eastAsia="zh-CN"/>
                    </w:rPr>
                    <w:t>每月</w:t>
                  </w:r>
                </w:p>
              </w:tc>
              <w:tc>
                <w:tcPr>
                  <w:tcW w:w="2422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1"/>
                      <w:szCs w:val="21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客户投诉率/客户总数*100%</w:t>
                  </w:r>
                </w:p>
              </w:tc>
              <w:tc>
                <w:tcPr>
                  <w:tcW w:w="1156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  <w:t>销售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highlight w:val="none"/>
                      <w:lang w:val="en-US" w:eastAsia="zh-CN"/>
                    </w:rPr>
                    <w:t>部</w:t>
                  </w:r>
                </w:p>
              </w:tc>
              <w:tc>
                <w:tcPr>
                  <w:tcW w:w="240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宋体" w:cs="Times New Roman"/>
                      <w:i w:val="0"/>
                      <w:iCs w:val="0"/>
                      <w:color w:val="000000"/>
                      <w:kern w:val="2"/>
                      <w:sz w:val="21"/>
                      <w:szCs w:val="21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6" w:hRule="atLeast"/>
              </w:trPr>
              <w:tc>
                <w:tcPr>
                  <w:tcW w:w="1961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055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/>
                      <w:szCs w:val="21"/>
                      <w:highlight w:val="none"/>
                      <w:lang w:val="en-US"/>
                    </w:rPr>
                  </w:pPr>
                </w:p>
              </w:tc>
              <w:tc>
                <w:tcPr>
                  <w:tcW w:w="2422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1156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2404" w:type="dxa"/>
                  <w:shd w:val="clear" w:color="auto" w:fill="auto"/>
                  <w:vAlign w:val="center"/>
                </w:tcPr>
                <w:p>
                  <w:pPr>
                    <w:autoSpaceDN w:val="0"/>
                    <w:jc w:val="center"/>
                    <w:textAlignment w:val="center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6" w:hRule="atLeast"/>
              </w:trPr>
              <w:tc>
                <w:tcPr>
                  <w:tcW w:w="1961" w:type="dxa"/>
                  <w:shd w:val="clear" w:color="auto" w:fill="auto"/>
                  <w:vAlign w:val="center"/>
                </w:tcPr>
                <w:p>
                  <w:pPr>
                    <w:rPr>
                      <w:rFonts w:ascii="Times New Roman" w:hAnsi="Times New Roman" w:eastAsia="宋体" w:cs="Times New Roman"/>
                      <w:bCs/>
                      <w:kern w:val="2"/>
                      <w:sz w:val="24"/>
                      <w:lang w:val="en-US" w:eastAsia="zh-CN" w:bidi="ar-SA"/>
                    </w:rPr>
                  </w:pPr>
                </w:p>
              </w:tc>
              <w:tc>
                <w:tcPr>
                  <w:tcW w:w="1055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2422" w:type="dxa"/>
                  <w:shd w:val="clear" w:color="auto" w:fill="auto"/>
                  <w:vAlign w:val="center"/>
                </w:tcPr>
                <w:p>
                  <w:pPr>
                    <w:rPr>
                      <w:szCs w:val="24"/>
                    </w:rPr>
                  </w:pPr>
                </w:p>
              </w:tc>
              <w:tc>
                <w:tcPr>
                  <w:tcW w:w="1156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2404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6" w:hRule="atLeast"/>
              </w:trPr>
              <w:tc>
                <w:tcPr>
                  <w:tcW w:w="1961" w:type="dxa"/>
                  <w:shd w:val="clear" w:color="auto" w:fill="auto"/>
                  <w:vAlign w:val="center"/>
                </w:tcPr>
                <w:p>
                  <w:pPr>
                    <w:rPr>
                      <w:rFonts w:ascii="Times New Roman" w:hAnsi="Times New Roman" w:eastAsia="宋体" w:cs="Times New Roman"/>
                      <w:bCs/>
                      <w:kern w:val="2"/>
                      <w:sz w:val="24"/>
                      <w:lang w:val="en-US" w:eastAsia="zh-CN" w:bidi="ar-SA"/>
                    </w:rPr>
                  </w:pPr>
                </w:p>
              </w:tc>
              <w:tc>
                <w:tcPr>
                  <w:tcW w:w="1055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2422" w:type="dxa"/>
                  <w:shd w:val="clear" w:color="auto" w:fill="auto"/>
                  <w:vAlign w:val="center"/>
                </w:tcPr>
                <w:p>
                  <w:pPr>
                    <w:rPr>
                      <w:szCs w:val="24"/>
                    </w:rPr>
                  </w:pPr>
                </w:p>
              </w:tc>
              <w:tc>
                <w:tcPr>
                  <w:tcW w:w="1156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2404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6" w:hRule="atLeast"/>
              </w:trPr>
              <w:tc>
                <w:tcPr>
                  <w:tcW w:w="1961" w:type="dxa"/>
                  <w:shd w:val="clear" w:color="auto" w:fill="auto"/>
                  <w:vAlign w:val="center"/>
                </w:tcPr>
                <w:p>
                  <w:pPr>
                    <w:rPr>
                      <w:rFonts w:ascii="Times New Roman" w:hAnsi="Times New Roman" w:eastAsia="宋体" w:cs="Times New Roman"/>
                      <w:bCs/>
                      <w:kern w:val="2"/>
                      <w:sz w:val="24"/>
                      <w:lang w:val="en-US" w:eastAsia="zh-CN" w:bidi="ar-SA"/>
                    </w:rPr>
                  </w:pPr>
                </w:p>
              </w:tc>
              <w:tc>
                <w:tcPr>
                  <w:tcW w:w="1055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2422" w:type="dxa"/>
                  <w:shd w:val="clear" w:color="auto" w:fill="auto"/>
                  <w:vAlign w:val="center"/>
                </w:tcPr>
                <w:p>
                  <w:pPr>
                    <w:rPr>
                      <w:szCs w:val="24"/>
                    </w:rPr>
                  </w:pPr>
                </w:p>
              </w:tc>
              <w:tc>
                <w:tcPr>
                  <w:tcW w:w="1156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2404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szCs w:val="21"/>
                    </w:rPr>
                  </w:pPr>
                </w:p>
              </w:tc>
            </w:tr>
          </w:tbl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u w:val="single"/>
                <w:lang w:val="en-US" w:eastAsia="zh-CN"/>
              </w:rPr>
              <w:t>目标完成，2021年度目标本部门已经完成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目标没有实现的，组织在内部及时进行原因分析并采取了改进措施。</w:t>
            </w:r>
          </w:p>
        </w:tc>
        <w:tc>
          <w:tcPr>
            <w:tcW w:w="1266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79" w:type="dxa"/>
            <w:gridSpan w:val="2"/>
            <w:vMerge w:val="restart"/>
            <w:shd w:val="clear" w:color="auto" w:fill="auto"/>
          </w:tcPr>
          <w:p>
            <w:r>
              <w:rPr>
                <w:rFonts w:hint="eastAsia"/>
              </w:rPr>
              <w:t>基础设施</w:t>
            </w:r>
          </w:p>
        </w:tc>
        <w:tc>
          <w:tcPr>
            <w:tcW w:w="930" w:type="dxa"/>
            <w:gridSpan w:val="3"/>
            <w:vMerge w:val="restart"/>
            <w:shd w:val="clear" w:color="auto" w:fill="auto"/>
          </w:tcPr>
          <w:p>
            <w:r>
              <w:rPr>
                <w:rFonts w:hint="eastAsia"/>
              </w:rPr>
              <w:t xml:space="preserve">F7.1.3 </w:t>
            </w:r>
          </w:p>
          <w:p>
            <w:r>
              <w:rPr>
                <w:rFonts w:hint="eastAsia"/>
              </w:rPr>
              <w:t>H6.6</w:t>
            </w:r>
          </w:p>
        </w:tc>
        <w:tc>
          <w:tcPr>
            <w:tcW w:w="762" w:type="dxa"/>
            <w:gridSpan w:val="5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3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 xml:space="preserve">如：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手册第7.1条款、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前提方案</w:t>
            </w:r>
            <w:r>
              <w:rPr>
                <w:rFonts w:hint="eastAsia"/>
              </w:rPr>
              <w:t>》、</w:t>
            </w:r>
          </w:p>
          <w:p/>
        </w:tc>
        <w:tc>
          <w:tcPr>
            <w:tcW w:w="1266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符合 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  <w:p/>
          <w:p/>
          <w:p/>
          <w:p/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</w:trPr>
        <w:tc>
          <w:tcPr>
            <w:tcW w:w="2179" w:type="dxa"/>
            <w:gridSpan w:val="2"/>
            <w:vMerge w:val="continue"/>
            <w:shd w:val="clear" w:color="auto" w:fill="auto"/>
          </w:tcPr>
          <w:p/>
        </w:tc>
        <w:tc>
          <w:tcPr>
            <w:tcW w:w="930" w:type="dxa"/>
            <w:gridSpan w:val="3"/>
            <w:vMerge w:val="continue"/>
            <w:shd w:val="clear" w:color="auto" w:fill="auto"/>
          </w:tcPr>
          <w:p/>
        </w:tc>
        <w:tc>
          <w:tcPr>
            <w:tcW w:w="762" w:type="dxa"/>
            <w:gridSpan w:val="5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3" w:type="dxa"/>
            <w:gridSpan w:val="2"/>
            <w:shd w:val="clear" w:color="auto" w:fill="auto"/>
          </w:tcPr>
          <w:p>
            <w:pPr>
              <w:ind w:left="1470" w:hanging="1470" w:hangingChars="700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基础设施包括：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  <w:highlight w:val="none"/>
              </w:rPr>
              <w:t xml:space="preserve">办公楼（室） </w:t>
            </w:r>
            <w:r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 xml:space="preserve">加工间 </w:t>
            </w:r>
            <w:r>
              <w:rPr>
                <w:rFonts w:hint="eastAsia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highlight w:val="none"/>
              </w:rPr>
              <w:t xml:space="preserve"> 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 xml:space="preserve">库房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 xml:space="preserve">加工设备 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 xml:space="preserve">特种设备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动力设</w:t>
            </w:r>
            <w:r>
              <w:rPr>
                <w:rFonts w:hint="eastAsia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>检验</w:t>
            </w:r>
            <w:r>
              <w:rPr>
                <w:rFonts w:hint="eastAsia"/>
                <w:highlight w:val="none"/>
              </w:rPr>
              <w:t>设备</w:t>
            </w:r>
            <w:r>
              <w:rPr>
                <w:rFonts w:hint="eastAsia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highlight w:val="none"/>
              </w:rPr>
              <w:t xml:space="preserve">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 xml:space="preserve">辅助设施  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  <w:lang w:val="en-US" w:eastAsia="zh-CN"/>
              </w:rPr>
              <w:t>车辆</w:t>
            </w:r>
          </w:p>
          <w:p>
            <w:pPr>
              <w:pStyle w:val="11"/>
            </w:pP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查看对设备采购的控制</w:t>
            </w:r>
          </w:p>
          <w:tbl>
            <w:tblPr>
              <w:tblStyle w:val="9"/>
              <w:tblW w:w="871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37"/>
              <w:gridCol w:w="2140"/>
              <w:gridCol w:w="2090"/>
              <w:gridCol w:w="205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8" w:hRule="atLeast"/>
              </w:trPr>
              <w:tc>
                <w:tcPr>
                  <w:tcW w:w="243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新采购的设备名称/型号</w:t>
                  </w:r>
                </w:p>
              </w:tc>
              <w:tc>
                <w:tcPr>
                  <w:tcW w:w="214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设备申购单号/日期</w:t>
                  </w:r>
                </w:p>
              </w:tc>
              <w:tc>
                <w:tcPr>
                  <w:tcW w:w="209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设备验收单号/日期</w:t>
                  </w:r>
                </w:p>
              </w:tc>
              <w:tc>
                <w:tcPr>
                  <w:tcW w:w="2051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设备档案齐全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3" w:hRule="atLeast"/>
              </w:trPr>
              <w:tc>
                <w:tcPr>
                  <w:tcW w:w="243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无</w:t>
                  </w:r>
                </w:p>
              </w:tc>
              <w:tc>
                <w:tcPr>
                  <w:tcW w:w="2140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090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051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ascii="Calibri" w:hAnsi="Calibri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齐全    </w:t>
                  </w:r>
                  <w:r>
                    <w:rPr>
                      <w:rFonts w:ascii="Calibri" w:hAnsi="Calibri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缺少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3" w:hRule="atLeast"/>
              </w:trPr>
              <w:tc>
                <w:tcPr>
                  <w:tcW w:w="2437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140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090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051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ascii="Calibri" w:hAnsi="Calibri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齐全    </w:t>
                  </w:r>
                  <w:r>
                    <w:rPr>
                      <w:rFonts w:ascii="Calibri" w:hAnsi="Calibri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缺少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3" w:hRule="atLeast"/>
              </w:trPr>
              <w:tc>
                <w:tcPr>
                  <w:tcW w:w="2437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140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090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051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ascii="Calibri" w:hAnsi="Calibri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齐全    </w:t>
                  </w:r>
                  <w:r>
                    <w:rPr>
                      <w:rFonts w:ascii="Calibri" w:hAnsi="Calibri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缺少</w:t>
                  </w:r>
                </w:p>
              </w:tc>
            </w:tr>
          </w:tbl>
          <w:p/>
          <w:p>
            <w:pPr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</w:rPr>
              <w:t>查看对设备维保的控制；</w:t>
            </w:r>
            <w:r>
              <w:rPr>
                <w:rFonts w:hint="eastAsia"/>
                <w:highlight w:val="none"/>
                <w:lang w:val="en-US" w:eastAsia="zh-CN"/>
              </w:rPr>
              <w:t>车辆维保主要在制定的4s店进行，提供有结算清单，随机抽取车辆：</w:t>
            </w:r>
          </w:p>
          <w:tbl>
            <w:tblPr>
              <w:tblStyle w:val="9"/>
              <w:tblW w:w="897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15"/>
              <w:gridCol w:w="1309"/>
              <w:gridCol w:w="1737"/>
              <w:gridCol w:w="3842"/>
              <w:gridCol w:w="77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315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309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维保车辆</w:t>
                  </w:r>
                </w:p>
              </w:tc>
              <w:tc>
                <w:tcPr>
                  <w:tcW w:w="1737" w:type="dxa"/>
                </w:tcPr>
                <w:p>
                  <w:pPr>
                    <w:rPr>
                      <w:rFonts w:hint="eastAsia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维保时间</w:t>
                  </w:r>
                </w:p>
              </w:tc>
              <w:tc>
                <w:tcPr>
                  <w:tcW w:w="3842" w:type="dxa"/>
                </w:tcPr>
                <w:p>
                  <w:pPr>
                    <w:rPr>
                      <w:rFonts w:hint="eastAsia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维保内容</w:t>
                  </w:r>
                </w:p>
              </w:tc>
              <w:tc>
                <w:tcPr>
                  <w:tcW w:w="774" w:type="dxa"/>
                </w:tcPr>
                <w:p>
                  <w:pPr>
                    <w:rPr>
                      <w:rFonts w:hint="eastAsia" w:eastAsia="宋体"/>
                      <w:highlight w:val="no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6" w:hRule="atLeast"/>
              </w:trPr>
              <w:tc>
                <w:tcPr>
                  <w:tcW w:w="131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维保记录</w:t>
                  </w:r>
                </w:p>
              </w:tc>
              <w:tc>
                <w:tcPr>
                  <w:tcW w:w="1309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闽DE0Y32</w:t>
                  </w:r>
                </w:p>
              </w:tc>
              <w:tc>
                <w:tcPr>
                  <w:tcW w:w="1737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2022-08-10</w:t>
                  </w:r>
                </w:p>
              </w:tc>
              <w:tc>
                <w:tcPr>
                  <w:tcW w:w="3842" w:type="dxa"/>
                </w:tcPr>
                <w:p>
                  <w:pPr>
                    <w:rPr>
                      <w:rFonts w:hint="default" w:ascii="Calibri" w:hAnsi="Calibri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Calibri" w:hAnsi="Calibri"/>
                      <w:highlight w:val="none"/>
                      <w:lang w:val="en-US" w:eastAsia="zh-CN"/>
                    </w:rPr>
                    <w:t>更换气门室盖垫、进气支管垫、机油等</w:t>
                  </w:r>
                </w:p>
              </w:tc>
              <w:tc>
                <w:tcPr>
                  <w:tcW w:w="774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31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维保记录</w:t>
                  </w:r>
                </w:p>
              </w:tc>
              <w:tc>
                <w:tcPr>
                  <w:tcW w:w="1309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闽D0QE08</w:t>
                  </w:r>
                </w:p>
              </w:tc>
              <w:tc>
                <w:tcPr>
                  <w:tcW w:w="1737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2022-05-22</w:t>
                  </w:r>
                </w:p>
              </w:tc>
              <w:tc>
                <w:tcPr>
                  <w:tcW w:w="3842" w:type="dxa"/>
                  <w:vAlign w:val="top"/>
                </w:tcPr>
                <w:p>
                  <w:pPr>
                    <w:rPr>
                      <w:rFonts w:hint="default" w:ascii="Calibri" w:hAnsi="Calibri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Calibri" w:hAnsi="Calibri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>更换拆装座椅、压缩机更换发电机等</w:t>
                  </w:r>
                </w:p>
              </w:tc>
              <w:tc>
                <w:tcPr>
                  <w:tcW w:w="774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7" w:hRule="atLeast"/>
              </w:trPr>
              <w:tc>
                <w:tcPr>
                  <w:tcW w:w="131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维保记录</w:t>
                  </w:r>
                </w:p>
              </w:tc>
              <w:tc>
                <w:tcPr>
                  <w:tcW w:w="1309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——</w:t>
                  </w:r>
                </w:p>
              </w:tc>
              <w:tc>
                <w:tcPr>
                  <w:tcW w:w="1737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3842" w:type="dxa"/>
                </w:tcPr>
                <w:p>
                  <w:pPr>
                    <w:pStyle w:val="11"/>
                    <w:rPr>
                      <w:rFonts w:hint="default" w:ascii="Calibri" w:hAnsi="Calibri" w:eastAsia="宋体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774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7" w:hRule="atLeast"/>
              </w:trPr>
              <w:tc>
                <w:tcPr>
                  <w:tcW w:w="1315" w:type="dxa"/>
                </w:tcPr>
                <w:p>
                  <w:pPr>
                    <w:rPr>
                      <w:rFonts w:hint="eastAsia"/>
                      <w:highlight w:val="none"/>
                    </w:rPr>
                  </w:pPr>
                </w:p>
              </w:tc>
              <w:tc>
                <w:tcPr>
                  <w:tcW w:w="1309" w:type="dxa"/>
                </w:tcPr>
                <w:p>
                  <w:pPr>
                    <w:rPr>
                      <w:rFonts w:hint="eastAsia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737" w:type="dxa"/>
                </w:tcPr>
                <w:p>
                  <w:pPr>
                    <w:rPr>
                      <w:rFonts w:hint="eastAsia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3842" w:type="dxa"/>
                </w:tcPr>
                <w:p>
                  <w:pPr>
                    <w:rPr>
                      <w:rFonts w:hint="eastAsia" w:ascii="Calibri" w:hAnsi="Calibri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774" w:type="dxa"/>
                </w:tcPr>
                <w:p>
                  <w:pPr>
                    <w:rPr>
                      <w:rFonts w:hint="eastAsia"/>
                      <w:highlight w:val="none"/>
                      <w:lang w:val="en-US" w:eastAsia="zh-CN"/>
                    </w:rPr>
                  </w:pPr>
                </w:p>
              </w:tc>
            </w:tr>
          </w:tbl>
          <w:p>
            <w:pPr>
              <w:rPr>
                <w:rFonts w:hint="default" w:eastAsia="宋体"/>
                <w:u w:val="single"/>
                <w:lang w:val="en-US" w:eastAsia="zh-CN"/>
              </w:rPr>
            </w:pPr>
            <w:r>
              <w:rPr>
                <w:rFonts w:hint="eastAsia"/>
                <w:u w:val="single"/>
                <w:lang w:val="en-US" w:eastAsia="zh-CN"/>
              </w:rPr>
              <w:t>《配送车辆安全检查表》，抽查2021-11-20/2022-02-28/2022-05-10/2022-03-10日的检查表，未见异常。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查看对设备维修的控制</w:t>
            </w:r>
          </w:p>
          <w:tbl>
            <w:tblPr>
              <w:tblStyle w:val="9"/>
              <w:tblW w:w="912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87"/>
              <w:gridCol w:w="2370"/>
              <w:gridCol w:w="1174"/>
              <w:gridCol w:w="1898"/>
              <w:gridCol w:w="189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317" w:hRule="atLeast"/>
              </w:trPr>
              <w:tc>
                <w:tcPr>
                  <w:tcW w:w="178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设备维修记录</w:t>
                  </w:r>
                </w:p>
              </w:tc>
              <w:tc>
                <w:tcPr>
                  <w:tcW w:w="237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设备名称</w:t>
                  </w:r>
                </w:p>
              </w:tc>
              <w:tc>
                <w:tcPr>
                  <w:tcW w:w="1174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维修日期</w:t>
                  </w:r>
                </w:p>
              </w:tc>
              <w:tc>
                <w:tcPr>
                  <w:tcW w:w="189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维修内容</w:t>
                  </w:r>
                </w:p>
              </w:tc>
              <w:tc>
                <w:tcPr>
                  <w:tcW w:w="189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 w:ascii="Calibri" w:hAnsi="Calibri"/>
                      <w:highlight w:val="none"/>
                    </w:rPr>
                    <w:t>验收结果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78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设备维保记录</w:t>
                  </w:r>
                </w:p>
              </w:tc>
              <w:tc>
                <w:tcPr>
                  <w:tcW w:w="2370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——审核周期内未发生</w:t>
                  </w:r>
                </w:p>
              </w:tc>
              <w:tc>
                <w:tcPr>
                  <w:tcW w:w="1174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898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89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ascii="Calibri" w:hAnsi="Calibri"/>
                      <w:highlight w:val="none"/>
                    </w:rPr>
                    <w:sym w:font="Wingdings 2" w:char="00A3"/>
                  </w:r>
                  <w:r>
                    <w:rPr>
                      <w:rFonts w:hint="eastAsia"/>
                      <w:highlight w:val="none"/>
                    </w:rPr>
                    <w:t xml:space="preserve">合格  </w:t>
                  </w:r>
                  <w:r>
                    <w:rPr>
                      <w:rFonts w:ascii="Calibri" w:hAnsi="Calibri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缺少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317" w:hRule="atLeast"/>
              </w:trPr>
              <w:tc>
                <w:tcPr>
                  <w:tcW w:w="178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设备维保记录</w:t>
                  </w:r>
                </w:p>
              </w:tc>
              <w:tc>
                <w:tcPr>
                  <w:tcW w:w="2370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174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898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898" w:type="dxa"/>
                </w:tcPr>
                <w:p>
                  <w:pPr>
                    <w:rPr>
                      <w:rFonts w:ascii="Calibri" w:hAnsi="Calibri"/>
                      <w:highlight w:val="none"/>
                    </w:rPr>
                  </w:pPr>
                  <w:r>
                    <w:rPr>
                      <w:rFonts w:ascii="Calibri" w:hAnsi="Calibri"/>
                      <w:highlight w:val="none"/>
                    </w:rPr>
                    <w:sym w:font="Wingdings 2" w:char="00A3"/>
                  </w:r>
                  <w:r>
                    <w:rPr>
                      <w:rFonts w:hint="eastAsia"/>
                      <w:highlight w:val="none"/>
                    </w:rPr>
                    <w:t xml:space="preserve">合格  </w:t>
                  </w:r>
                  <w:r>
                    <w:rPr>
                      <w:rFonts w:ascii="Calibri" w:hAnsi="Calibri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缺少</w:t>
                  </w:r>
                </w:p>
              </w:tc>
            </w:tr>
          </w:tbl>
          <w:p/>
          <w:p>
            <w:pPr>
              <w:pStyle w:val="2"/>
            </w:pP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设备完好情况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u w:val="single"/>
                <w:lang w:eastAsia="zh-CN"/>
              </w:rPr>
              <w:t>——</w:t>
            </w:r>
            <w:r>
              <w:rPr>
                <w:rFonts w:hint="eastAsia"/>
                <w:u w:val="single"/>
                <w:lang w:val="en-US" w:eastAsia="zh-CN"/>
              </w:rPr>
              <w:t>现场观察车辆完好、车厢内部完好；</w:t>
            </w:r>
          </w:p>
          <w:p>
            <w:r>
              <w:rPr>
                <w:rFonts w:hint="eastAsia"/>
              </w:rPr>
              <w:t>是否发生设备故障引起停产：</w:t>
            </w:r>
            <w:r>
              <w:rPr>
                <w:rFonts w:hint="eastAsia" w:ascii="Calibri" w:hAnsi="Calibri"/>
              </w:rPr>
              <w:t>☑</w:t>
            </w:r>
            <w:r>
              <w:rPr>
                <w:rFonts w:hint="eastAsia"/>
              </w:rPr>
              <w:t xml:space="preserve">未发生 </w:t>
            </w:r>
            <w:r>
              <w:rPr>
                <w:rFonts w:hint="eastAsia" w:ascii="Calibri" w:hAnsi="Calibri"/>
              </w:rPr>
              <w:t>□</w:t>
            </w:r>
            <w:r>
              <w:rPr>
                <w:rFonts w:hint="eastAsia"/>
              </w:rPr>
              <w:t>已发生</w:t>
            </w:r>
          </w:p>
          <w:tbl>
            <w:tblPr>
              <w:tblStyle w:val="9"/>
              <w:tblW w:w="897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79"/>
              <w:gridCol w:w="1363"/>
              <w:gridCol w:w="1817"/>
              <w:gridCol w:w="1920"/>
              <w:gridCol w:w="189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979" w:type="dxa"/>
                </w:tcPr>
                <w:p>
                  <w:r>
                    <w:rPr>
                      <w:rFonts w:hint="eastAsia"/>
                    </w:rPr>
                    <w:t>设备故障引起停产描述</w:t>
                  </w:r>
                </w:p>
              </w:tc>
              <w:tc>
                <w:tcPr>
                  <w:tcW w:w="1363" w:type="dxa"/>
                </w:tcPr>
                <w:p>
                  <w:r>
                    <w:rPr>
                      <w:rFonts w:hint="eastAsia"/>
                    </w:rPr>
                    <w:t>发生日期</w:t>
                  </w:r>
                </w:p>
              </w:tc>
              <w:tc>
                <w:tcPr>
                  <w:tcW w:w="1817" w:type="dxa"/>
                </w:tcPr>
                <w:p>
                  <w:r>
                    <w:rPr>
                      <w:rFonts w:hint="eastAsia" w:ascii="Calibri" w:hAnsi="Calibri"/>
                    </w:rPr>
                    <w:t>停机时间（小时）</w:t>
                  </w:r>
                </w:p>
              </w:tc>
              <w:tc>
                <w:tcPr>
                  <w:tcW w:w="1920" w:type="dxa"/>
                </w:tcPr>
                <w:p>
                  <w:pPr>
                    <w:rPr>
                      <w:rFonts w:ascii="Calibri" w:hAnsi="Calibri"/>
                    </w:rPr>
                  </w:pPr>
                  <w:r>
                    <w:rPr>
                      <w:rFonts w:hint="eastAsia" w:ascii="Calibri" w:hAnsi="Calibri"/>
                    </w:rPr>
                    <w:t>是否影响产品质量</w:t>
                  </w:r>
                </w:p>
              </w:tc>
              <w:tc>
                <w:tcPr>
                  <w:tcW w:w="1898" w:type="dxa"/>
                </w:tcPr>
                <w:p>
                  <w:pPr>
                    <w:rPr>
                      <w:rFonts w:ascii="Calibri" w:hAnsi="Calibri"/>
                    </w:rPr>
                  </w:pPr>
                  <w:r>
                    <w:rPr>
                      <w:rFonts w:hint="eastAsia" w:ascii="Calibri" w:hAnsi="Calibri"/>
                    </w:rPr>
                    <w:t>是否影响交付进度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7" w:hRule="atLeast"/>
              </w:trPr>
              <w:tc>
                <w:tcPr>
                  <w:tcW w:w="1979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——</w:t>
                  </w:r>
                </w:p>
              </w:tc>
              <w:tc>
                <w:tcPr>
                  <w:tcW w:w="1363" w:type="dxa"/>
                </w:tcPr>
                <w:p>
                  <w:r>
                    <w:rPr>
                      <w:rFonts w:hint="eastAsia"/>
                      <w:highlight w:val="none"/>
                      <w:lang w:val="en-US" w:eastAsia="zh-CN"/>
                    </w:rPr>
                    <w:t>审核周期内未发生</w:t>
                  </w:r>
                </w:p>
              </w:tc>
              <w:tc>
                <w:tcPr>
                  <w:tcW w:w="1817" w:type="dxa"/>
                </w:tcPr>
                <w:p/>
              </w:tc>
              <w:tc>
                <w:tcPr>
                  <w:tcW w:w="1920" w:type="dxa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898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7" w:hRule="atLeast"/>
              </w:trPr>
              <w:tc>
                <w:tcPr>
                  <w:tcW w:w="1979" w:type="dxa"/>
                </w:tcPr>
                <w:p/>
              </w:tc>
              <w:tc>
                <w:tcPr>
                  <w:tcW w:w="1363" w:type="dxa"/>
                </w:tcPr>
                <w:p/>
              </w:tc>
              <w:tc>
                <w:tcPr>
                  <w:tcW w:w="1817" w:type="dxa"/>
                </w:tcPr>
                <w:p/>
              </w:tc>
              <w:tc>
                <w:tcPr>
                  <w:tcW w:w="1920" w:type="dxa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898" w:type="dxa"/>
                </w:tcPr>
                <w:p/>
              </w:tc>
            </w:tr>
          </w:tbl>
          <w:p/>
          <w:p>
            <w:pPr>
              <w:pStyle w:val="11"/>
            </w:pPr>
          </w:p>
          <w:p>
            <w:r>
              <w:rPr>
                <w:rFonts w:hint="eastAsia"/>
              </w:rPr>
              <w:t>特种设备控制</w:t>
            </w:r>
          </w:p>
          <w:p>
            <w:r>
              <w:rPr>
                <w:rFonts w:hint="eastAsia"/>
              </w:rPr>
              <w:t>特种设备种类：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叉车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行车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锅炉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电梯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压力容器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压力管道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不适用  </w:t>
            </w:r>
          </w:p>
          <w:tbl>
            <w:tblPr>
              <w:tblStyle w:val="9"/>
              <w:tblW w:w="9039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42"/>
              <w:gridCol w:w="1000"/>
              <w:gridCol w:w="1744"/>
              <w:gridCol w:w="1820"/>
              <w:gridCol w:w="1706"/>
              <w:gridCol w:w="132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5" w:hRule="atLeast"/>
              </w:trPr>
              <w:tc>
                <w:tcPr>
                  <w:tcW w:w="1442" w:type="dxa"/>
                </w:tcPr>
                <w:p>
                  <w:r>
                    <w:rPr>
                      <w:rFonts w:hint="eastAsia"/>
                    </w:rPr>
                    <w:t>设备名称</w:t>
                  </w:r>
                </w:p>
              </w:tc>
              <w:tc>
                <w:tcPr>
                  <w:tcW w:w="1000" w:type="dxa"/>
                </w:tcPr>
                <w:p>
                  <w:r>
                    <w:rPr>
                      <w:rFonts w:hint="eastAsia"/>
                    </w:rPr>
                    <w:t>编号</w:t>
                  </w:r>
                </w:p>
              </w:tc>
              <w:tc>
                <w:tcPr>
                  <w:tcW w:w="1744" w:type="dxa"/>
                </w:tcPr>
                <w:p>
                  <w:r>
                    <w:rPr>
                      <w:rFonts w:hint="eastAsia"/>
                    </w:rPr>
                    <w:t>《定期检测报告》编号</w:t>
                  </w:r>
                </w:p>
              </w:tc>
              <w:tc>
                <w:tcPr>
                  <w:tcW w:w="1820" w:type="dxa"/>
                </w:tcPr>
                <w:p>
                  <w:r>
                    <w:rPr>
                      <w:rFonts w:hint="eastAsia"/>
                    </w:rPr>
                    <w:t>有效期期限</w:t>
                  </w:r>
                </w:p>
              </w:tc>
              <w:tc>
                <w:tcPr>
                  <w:tcW w:w="1706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1327" w:type="dxa"/>
                </w:tcPr>
                <w:p>
                  <w:r>
                    <w:rPr>
                      <w:rFonts w:hint="eastAsia"/>
                    </w:rPr>
                    <w:t>《使用登记证》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6" w:hRule="atLeast"/>
              </w:trPr>
              <w:tc>
                <w:tcPr>
                  <w:tcW w:w="1442" w:type="dxa"/>
                </w:tcPr>
                <w:p>
                  <w:r>
                    <w:rPr>
                      <w:rFonts w:hint="eastAsia"/>
                    </w:rPr>
                    <w:t>叉车</w:t>
                  </w:r>
                </w:p>
              </w:tc>
              <w:tc>
                <w:tcPr>
                  <w:tcW w:w="1000" w:type="dxa"/>
                </w:tcPr>
                <w:p/>
              </w:tc>
              <w:tc>
                <w:tcPr>
                  <w:tcW w:w="1744" w:type="dxa"/>
                </w:tcPr>
                <w:p>
                  <w:r>
                    <w:rPr>
                      <w:rFonts w:hint="eastAsia"/>
                    </w:rPr>
                    <w:t xml:space="preserve">          </w:t>
                  </w:r>
                </w:p>
              </w:tc>
              <w:tc>
                <w:tcPr>
                  <w:tcW w:w="1820" w:type="dxa"/>
                </w:tcPr>
                <w:p>
                  <w:pPr>
                    <w:ind w:firstLine="420" w:firstLineChars="200"/>
                  </w:pPr>
                  <w:r>
                    <w:rPr>
                      <w:rFonts w:hint="eastAsia"/>
                    </w:rPr>
                    <w:t>年  月  日</w:t>
                  </w:r>
                </w:p>
              </w:tc>
              <w:tc>
                <w:tcPr>
                  <w:tcW w:w="1706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1442" w:type="dxa"/>
                </w:tcPr>
                <w:p>
                  <w:r>
                    <w:rPr>
                      <w:rFonts w:hint="eastAsia"/>
                    </w:rPr>
                    <w:t>压力容器</w:t>
                  </w:r>
                </w:p>
              </w:tc>
              <w:tc>
                <w:tcPr>
                  <w:tcW w:w="1000" w:type="dxa"/>
                </w:tcPr>
                <w:p/>
              </w:tc>
              <w:tc>
                <w:tcPr>
                  <w:tcW w:w="1744" w:type="dxa"/>
                </w:tcPr>
                <w:p/>
              </w:tc>
              <w:tc>
                <w:tcPr>
                  <w:tcW w:w="1820" w:type="dxa"/>
                </w:tcPr>
                <w:p>
                  <w:pPr>
                    <w:ind w:firstLine="420" w:firstLineChars="200"/>
                  </w:pPr>
                  <w:r>
                    <w:rPr>
                      <w:rFonts w:hint="eastAsia"/>
                    </w:rPr>
                    <w:t>年  月  日</w:t>
                  </w:r>
                </w:p>
              </w:tc>
              <w:tc>
                <w:tcPr>
                  <w:tcW w:w="1706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8" w:hRule="atLeast"/>
              </w:trPr>
              <w:tc>
                <w:tcPr>
                  <w:tcW w:w="1442" w:type="dxa"/>
                </w:tcPr>
                <w:p>
                  <w:r>
                    <w:rPr>
                      <w:rFonts w:hint="eastAsia"/>
                    </w:rPr>
                    <w:t>锅炉</w:t>
                  </w:r>
                </w:p>
              </w:tc>
              <w:tc>
                <w:tcPr>
                  <w:tcW w:w="1000" w:type="dxa"/>
                </w:tcPr>
                <w:p/>
              </w:tc>
              <w:tc>
                <w:tcPr>
                  <w:tcW w:w="1744" w:type="dxa"/>
                </w:tcPr>
                <w:p/>
              </w:tc>
              <w:tc>
                <w:tcPr>
                  <w:tcW w:w="1820" w:type="dxa"/>
                </w:tcPr>
                <w:p>
                  <w:pPr>
                    <w:ind w:firstLine="420" w:firstLineChars="200"/>
                  </w:pPr>
                  <w:r>
                    <w:rPr>
                      <w:rFonts w:hint="eastAsia"/>
                    </w:rPr>
                    <w:t>年  月  日</w:t>
                  </w:r>
                </w:p>
              </w:tc>
              <w:tc>
                <w:tcPr>
                  <w:tcW w:w="1706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4" w:hRule="atLeast"/>
              </w:trPr>
              <w:tc>
                <w:tcPr>
                  <w:tcW w:w="1442" w:type="dxa"/>
                </w:tcPr>
                <w:p>
                  <w:r>
                    <w:rPr>
                      <w:rFonts w:hint="eastAsia"/>
                    </w:rPr>
                    <w:t>压力管道</w:t>
                  </w:r>
                </w:p>
              </w:tc>
              <w:tc>
                <w:tcPr>
                  <w:tcW w:w="1000" w:type="dxa"/>
                </w:tcPr>
                <w:p/>
              </w:tc>
              <w:tc>
                <w:tcPr>
                  <w:tcW w:w="1744" w:type="dxa"/>
                </w:tcPr>
                <w:p/>
              </w:tc>
              <w:tc>
                <w:tcPr>
                  <w:tcW w:w="1820" w:type="dxa"/>
                </w:tcPr>
                <w:p>
                  <w:pPr>
                    <w:ind w:firstLine="420" w:firstLineChars="200"/>
                  </w:pPr>
                  <w:r>
                    <w:rPr>
                      <w:rFonts w:hint="eastAsia"/>
                    </w:rPr>
                    <w:t>年  月  日</w:t>
                  </w:r>
                </w:p>
              </w:tc>
              <w:tc>
                <w:tcPr>
                  <w:tcW w:w="1706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8" w:hRule="atLeast"/>
              </w:trPr>
              <w:tc>
                <w:tcPr>
                  <w:tcW w:w="1442" w:type="dxa"/>
                </w:tcPr>
                <w:p>
                  <w:r>
                    <w:rPr>
                      <w:rFonts w:hint="eastAsia"/>
                    </w:rPr>
                    <w:t>电梯</w:t>
                  </w:r>
                </w:p>
              </w:tc>
              <w:tc>
                <w:tcPr>
                  <w:tcW w:w="1000" w:type="dxa"/>
                </w:tcPr>
                <w:p/>
              </w:tc>
              <w:tc>
                <w:tcPr>
                  <w:tcW w:w="1744" w:type="dxa"/>
                </w:tcPr>
                <w:p/>
              </w:tc>
              <w:tc>
                <w:tcPr>
                  <w:tcW w:w="1820" w:type="dxa"/>
                </w:tcPr>
                <w:p>
                  <w:pPr>
                    <w:ind w:firstLine="420" w:firstLineChars="200"/>
                  </w:pPr>
                  <w:r>
                    <w:rPr>
                      <w:rFonts w:hint="eastAsia"/>
                    </w:rPr>
                    <w:t>年  月  日</w:t>
                  </w:r>
                </w:p>
              </w:tc>
              <w:tc>
                <w:tcPr>
                  <w:tcW w:w="1706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6" w:hRule="atLeast"/>
              </w:trPr>
              <w:tc>
                <w:tcPr>
                  <w:tcW w:w="1442" w:type="dxa"/>
                </w:tcPr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电梯</w:t>
                  </w:r>
                  <w:r>
                    <w:rPr>
                      <w:rFonts w:hint="eastAsia"/>
                      <w:lang w:eastAsia="zh-CN"/>
                    </w:rPr>
                    <w:t>（</w:t>
                  </w:r>
                  <w:r>
                    <w:rPr>
                      <w:rFonts w:hint="eastAsia"/>
                      <w:lang w:val="en-US" w:eastAsia="zh-CN"/>
                    </w:rPr>
                    <w:t>客梯</w:t>
                  </w:r>
                  <w:r>
                    <w:rPr>
                      <w:rFonts w:hint="eastAsia"/>
                      <w:lang w:eastAsia="zh-CN"/>
                    </w:rPr>
                    <w:t>）</w:t>
                  </w:r>
                </w:p>
              </w:tc>
              <w:tc>
                <w:tcPr>
                  <w:tcW w:w="1000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</w:p>
              </w:tc>
              <w:tc>
                <w:tcPr>
                  <w:tcW w:w="1744" w:type="dxa"/>
                </w:tcPr>
                <w:p>
                  <w:pPr>
                    <w:rPr>
                      <w:rFonts w:hint="default"/>
                      <w:lang w:val="en-US"/>
                    </w:rPr>
                  </w:pPr>
                </w:p>
              </w:tc>
              <w:tc>
                <w:tcPr>
                  <w:tcW w:w="1820" w:type="dxa"/>
                </w:tcPr>
                <w:p/>
              </w:tc>
              <w:tc>
                <w:tcPr>
                  <w:tcW w:w="1706" w:type="dxa"/>
                </w:tcPr>
                <w:p>
                  <w:r>
                    <w:rPr>
                      <w:rFonts w:ascii="Calibri" w:hAnsi="Calibri"/>
                    </w:rPr>
                    <w:sym w:font="Wingdings 2" w:char="00A3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>
                  <w:r>
                    <w:rPr>
                      <w:rFonts w:ascii="Calibri" w:hAnsi="Calibri"/>
                    </w:rPr>
                    <w:sym w:font="Wingdings 2" w:char="00A3"/>
                  </w:r>
                  <w:r>
                    <w:rPr>
                      <w:rFonts w:hint="eastAsia"/>
                    </w:rPr>
                    <w:t xml:space="preserve">有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6" w:hRule="atLeast"/>
              </w:trPr>
              <w:tc>
                <w:tcPr>
                  <w:tcW w:w="1442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电梯（货梯）</w:t>
                  </w:r>
                </w:p>
              </w:tc>
              <w:tc>
                <w:tcPr>
                  <w:tcW w:w="1000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174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182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1706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ascii="Calibri" w:hAnsi="Calibri"/>
                    </w:rPr>
                    <w:sym w:font="Wingdings 2" w:char="00A3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327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ascii="Calibri" w:hAnsi="Calibri"/>
                    </w:rPr>
                    <w:sym w:font="Wingdings 2" w:char="00A3"/>
                  </w:r>
                  <w:r>
                    <w:rPr>
                      <w:rFonts w:hint="eastAsia"/>
                    </w:rPr>
                    <w:t xml:space="preserve">有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无</w:t>
                  </w:r>
                </w:p>
              </w:tc>
            </w:tr>
          </w:tbl>
          <w:p/>
          <w:p>
            <w:pPr>
              <w:pStyle w:val="11"/>
            </w:pP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不适用  </w:t>
            </w:r>
          </w:p>
          <w:tbl>
            <w:tblPr>
              <w:tblStyle w:val="9"/>
              <w:tblW w:w="897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51"/>
              <w:gridCol w:w="713"/>
              <w:gridCol w:w="1993"/>
              <w:gridCol w:w="1808"/>
              <w:gridCol w:w="1638"/>
              <w:gridCol w:w="137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64" w:type="dxa"/>
                  <w:gridSpan w:val="2"/>
                  <w:shd w:val="clear" w:color="auto" w:fill="auto"/>
                </w:tcPr>
                <w:p>
                  <w:pPr>
                    <w:rPr>
                      <w:b/>
                      <w:highlight w:val="none"/>
                    </w:rPr>
                  </w:pPr>
                  <w:r>
                    <w:rPr>
                      <w:rFonts w:hint="eastAsia"/>
                      <w:b/>
                      <w:highlight w:val="none"/>
                    </w:rPr>
                    <w:t>特种设备维护保养</w:t>
                  </w:r>
                </w:p>
              </w:tc>
              <w:tc>
                <w:tcPr>
                  <w:tcW w:w="1993" w:type="dxa"/>
                  <w:shd w:val="clear" w:color="auto" w:fill="auto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808" w:type="dxa"/>
                  <w:shd w:val="clear" w:color="auto" w:fill="auto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638" w:type="dxa"/>
                  <w:shd w:val="clear" w:color="auto" w:fill="auto"/>
                </w:tcPr>
                <w:p>
                  <w:pPr>
                    <w:rPr>
                      <w:rFonts w:ascii="Calibri" w:hAnsi="Calibri"/>
                      <w:highlight w:val="none"/>
                    </w:rPr>
                  </w:pPr>
                </w:p>
              </w:tc>
              <w:tc>
                <w:tcPr>
                  <w:tcW w:w="1374" w:type="dxa"/>
                  <w:shd w:val="clear" w:color="auto" w:fill="auto"/>
                </w:tcPr>
                <w:p>
                  <w:pPr>
                    <w:rPr>
                      <w:rFonts w:ascii="Calibri" w:hAnsi="Calibri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2164" w:type="dxa"/>
                  <w:gridSpan w:val="2"/>
                  <w:vMerge w:val="restart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自检</w:t>
                  </w:r>
                </w:p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993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维保计划</w:t>
                  </w:r>
                </w:p>
              </w:tc>
              <w:tc>
                <w:tcPr>
                  <w:tcW w:w="180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 w:ascii="Calibri" w:hAnsi="Calibri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有  </w:t>
                  </w:r>
                  <w:r>
                    <w:rPr>
                      <w:rFonts w:hint="eastAsia" w:ascii="Calibri" w:hAnsi="Calibri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无</w:t>
                  </w:r>
                </w:p>
              </w:tc>
              <w:tc>
                <w:tcPr>
                  <w:tcW w:w="1638" w:type="dxa"/>
                </w:tcPr>
                <w:p>
                  <w:pPr>
                    <w:rPr>
                      <w:rFonts w:ascii="Calibri" w:hAnsi="Calibri"/>
                      <w:highlight w:val="none"/>
                    </w:rPr>
                  </w:pPr>
                </w:p>
              </w:tc>
              <w:tc>
                <w:tcPr>
                  <w:tcW w:w="1374" w:type="dxa"/>
                </w:tcPr>
                <w:p>
                  <w:pPr>
                    <w:rPr>
                      <w:rFonts w:ascii="Calibri" w:hAnsi="Calibri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2164" w:type="dxa"/>
                  <w:gridSpan w:val="2"/>
                  <w:vMerge w:val="continue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993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808" w:type="dxa"/>
                </w:tcPr>
                <w:p>
                  <w:pPr>
                    <w:rPr>
                      <w:rFonts w:ascii="Calibri" w:hAnsi="Calibri"/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维保日期</w:t>
                  </w:r>
                </w:p>
              </w:tc>
              <w:tc>
                <w:tcPr>
                  <w:tcW w:w="1638" w:type="dxa"/>
                </w:tcPr>
                <w:p>
                  <w:pPr>
                    <w:rPr>
                      <w:rFonts w:ascii="Calibri" w:hAnsi="Calibri"/>
                      <w:highlight w:val="none"/>
                    </w:rPr>
                  </w:pPr>
                  <w:r>
                    <w:rPr>
                      <w:rFonts w:hint="eastAsia" w:ascii="Calibri" w:hAnsi="Calibri"/>
                      <w:highlight w:val="none"/>
                    </w:rPr>
                    <w:t>维修内容</w:t>
                  </w:r>
                </w:p>
              </w:tc>
              <w:tc>
                <w:tcPr>
                  <w:tcW w:w="1374" w:type="dxa"/>
                </w:tcPr>
                <w:p>
                  <w:pPr>
                    <w:rPr>
                      <w:rFonts w:ascii="Calibri" w:hAnsi="Calibri"/>
                      <w:highlight w:val="none"/>
                    </w:rPr>
                  </w:pPr>
                  <w:r>
                    <w:rPr>
                      <w:rFonts w:hint="eastAsia" w:ascii="Calibri" w:hAnsi="Calibri"/>
                      <w:highlight w:val="none"/>
                    </w:rPr>
                    <w:t>验证结果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319" w:hRule="atLeast"/>
              </w:trPr>
              <w:tc>
                <w:tcPr>
                  <w:tcW w:w="2164" w:type="dxa"/>
                  <w:gridSpan w:val="2"/>
                  <w:vMerge w:val="continue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993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维保记录</w:t>
                  </w:r>
                </w:p>
              </w:tc>
              <w:tc>
                <w:tcPr>
                  <w:tcW w:w="1808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638" w:type="dxa"/>
                </w:tcPr>
                <w:p>
                  <w:pPr>
                    <w:rPr>
                      <w:rFonts w:hint="default" w:ascii="Calibri" w:hAnsi="Calibri" w:eastAsia="宋体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374" w:type="dxa"/>
                </w:tcPr>
                <w:p>
                  <w:pPr>
                    <w:rPr>
                      <w:rFonts w:ascii="Calibri" w:hAnsi="Calibri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9" w:hRule="atLeast"/>
              </w:trPr>
              <w:tc>
                <w:tcPr>
                  <w:tcW w:w="2164" w:type="dxa"/>
                  <w:gridSpan w:val="2"/>
                  <w:vMerge w:val="continue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993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维保记录</w:t>
                  </w:r>
                </w:p>
              </w:tc>
              <w:tc>
                <w:tcPr>
                  <w:tcW w:w="1808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638" w:type="dxa"/>
                </w:tcPr>
                <w:p>
                  <w:pPr>
                    <w:rPr>
                      <w:rFonts w:ascii="Calibri" w:hAnsi="Calibri"/>
                      <w:highlight w:val="none"/>
                    </w:rPr>
                  </w:pPr>
                </w:p>
              </w:tc>
              <w:tc>
                <w:tcPr>
                  <w:tcW w:w="1374" w:type="dxa"/>
                </w:tcPr>
                <w:p>
                  <w:pPr>
                    <w:rPr>
                      <w:rFonts w:ascii="Calibri" w:hAnsi="Calibri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64" w:type="dxa"/>
                  <w:gridSpan w:val="2"/>
                  <w:vMerge w:val="restart"/>
                </w:tcPr>
                <w:p>
                  <w:pPr>
                    <w:rPr>
                      <w:rFonts w:hint="eastAsia" w:eastAsia="宋体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t>外包</w:t>
                  </w:r>
                  <w:r>
                    <w:rPr>
                      <w:rFonts w:hint="eastAsia"/>
                      <w:highlight w:val="none"/>
                      <w:lang w:eastAsia="zh-CN"/>
                    </w:rPr>
                    <w:t>（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电梯</w:t>
                  </w:r>
                  <w:r>
                    <w:rPr>
                      <w:rFonts w:hint="eastAsia"/>
                      <w:highlight w:val="none"/>
                      <w:lang w:eastAsia="zh-CN"/>
                    </w:rPr>
                    <w:t>）</w:t>
                  </w:r>
                </w:p>
              </w:tc>
              <w:tc>
                <w:tcPr>
                  <w:tcW w:w="1993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供</w:t>
                  </w:r>
                  <w:r>
                    <w:rPr>
                      <w:rFonts w:hint="eastAsia"/>
                      <w:highlight w:val="none"/>
                    </w:rPr>
                    <w:t>方名称：</w:t>
                  </w:r>
                </w:p>
              </w:tc>
              <w:tc>
                <w:tcPr>
                  <w:tcW w:w="180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维保合同期限</w:t>
                  </w:r>
                </w:p>
              </w:tc>
              <w:tc>
                <w:tcPr>
                  <w:tcW w:w="1638" w:type="dxa"/>
                </w:tcPr>
                <w:p>
                  <w:pPr>
                    <w:rPr>
                      <w:rFonts w:ascii="Calibri" w:hAnsi="Calibri"/>
                      <w:highlight w:val="none"/>
                    </w:rPr>
                  </w:pPr>
                  <w:r>
                    <w:rPr>
                      <w:rFonts w:hint="eastAsia" w:ascii="Calibri" w:hAnsi="Calibri"/>
                      <w:highlight w:val="none"/>
                    </w:rPr>
                    <w:t>相关资质证书</w:t>
                  </w:r>
                </w:p>
              </w:tc>
              <w:tc>
                <w:tcPr>
                  <w:tcW w:w="1374" w:type="dxa"/>
                </w:tcPr>
                <w:p>
                  <w:pPr>
                    <w:rPr>
                      <w:rFonts w:ascii="Calibri" w:hAnsi="Calibri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64" w:type="dxa"/>
                  <w:gridSpan w:val="2"/>
                  <w:vMerge w:val="continue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993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808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638" w:type="dxa"/>
                </w:tcPr>
                <w:p>
                  <w:pPr>
                    <w:rPr>
                      <w:rFonts w:ascii="Calibri" w:hAnsi="Calibri"/>
                      <w:highlight w:val="none"/>
                    </w:rPr>
                  </w:pPr>
                </w:p>
              </w:tc>
              <w:tc>
                <w:tcPr>
                  <w:tcW w:w="1374" w:type="dxa"/>
                </w:tcPr>
                <w:p>
                  <w:pPr>
                    <w:rPr>
                      <w:rFonts w:ascii="Calibri" w:hAnsi="Calibri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64" w:type="dxa"/>
                  <w:gridSpan w:val="2"/>
                  <w:shd w:val="clear" w:color="auto" w:fill="auto"/>
                </w:tcPr>
                <w:p>
                  <w:pPr>
                    <w:rPr>
                      <w:b/>
                      <w:highlight w:val="none"/>
                    </w:rPr>
                  </w:pPr>
                  <w:r>
                    <w:rPr>
                      <w:rFonts w:hint="eastAsia"/>
                      <w:b/>
                      <w:highlight w:val="none"/>
                    </w:rPr>
                    <w:t>特种设备日常点检</w:t>
                  </w:r>
                </w:p>
              </w:tc>
              <w:tc>
                <w:tcPr>
                  <w:tcW w:w="1993" w:type="dxa"/>
                  <w:shd w:val="clear" w:color="auto" w:fill="auto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808" w:type="dxa"/>
                  <w:shd w:val="clear" w:color="auto" w:fill="auto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638" w:type="dxa"/>
                  <w:shd w:val="clear" w:color="auto" w:fill="auto"/>
                </w:tcPr>
                <w:p>
                  <w:pPr>
                    <w:rPr>
                      <w:rFonts w:ascii="Calibri" w:hAnsi="Calibri"/>
                      <w:highlight w:val="none"/>
                    </w:rPr>
                  </w:pPr>
                </w:p>
              </w:tc>
              <w:tc>
                <w:tcPr>
                  <w:tcW w:w="1374" w:type="dxa"/>
                  <w:shd w:val="clear" w:color="auto" w:fill="auto"/>
                </w:tcPr>
                <w:p>
                  <w:pPr>
                    <w:rPr>
                      <w:rFonts w:ascii="Calibri" w:hAnsi="Calibri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51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抽查设备</w:t>
                  </w:r>
                </w:p>
              </w:tc>
              <w:tc>
                <w:tcPr>
                  <w:tcW w:w="713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编号</w:t>
                  </w:r>
                </w:p>
              </w:tc>
              <w:tc>
                <w:tcPr>
                  <w:tcW w:w="1993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抽查点检记录的月份</w:t>
                  </w:r>
                </w:p>
              </w:tc>
              <w:tc>
                <w:tcPr>
                  <w:tcW w:w="180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现场查看设备的完好情况</w:t>
                  </w:r>
                </w:p>
              </w:tc>
              <w:tc>
                <w:tcPr>
                  <w:tcW w:w="163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结论</w:t>
                  </w:r>
                </w:p>
              </w:tc>
              <w:tc>
                <w:tcPr>
                  <w:tcW w:w="1374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51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叉车牌</w:t>
                  </w:r>
                </w:p>
              </w:tc>
              <w:tc>
                <w:tcPr>
                  <w:tcW w:w="713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 xml:space="preserve">         </w:t>
                  </w:r>
                </w:p>
              </w:tc>
              <w:tc>
                <w:tcPr>
                  <w:tcW w:w="1993" w:type="dxa"/>
                </w:tcPr>
                <w:p>
                  <w:pPr>
                    <w:ind w:firstLine="420" w:firstLineChars="200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年  月  日</w:t>
                  </w:r>
                </w:p>
              </w:tc>
              <w:tc>
                <w:tcPr>
                  <w:tcW w:w="1808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63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ascii="Calibri" w:hAnsi="Calibri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完好</w:t>
                  </w:r>
                  <w:r>
                    <w:rPr>
                      <w:rFonts w:ascii="Calibri" w:hAnsi="Calibri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51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压力容器</w:t>
                  </w:r>
                </w:p>
              </w:tc>
              <w:tc>
                <w:tcPr>
                  <w:tcW w:w="713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993" w:type="dxa"/>
                </w:tcPr>
                <w:p>
                  <w:pPr>
                    <w:ind w:firstLine="420" w:firstLineChars="200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年  月  日</w:t>
                  </w:r>
                </w:p>
              </w:tc>
              <w:tc>
                <w:tcPr>
                  <w:tcW w:w="1808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63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ascii="Calibri" w:hAnsi="Calibri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完好</w:t>
                  </w:r>
                  <w:r>
                    <w:rPr>
                      <w:rFonts w:ascii="Calibri" w:hAnsi="Calibri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51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锅炉</w:t>
                  </w:r>
                </w:p>
              </w:tc>
              <w:tc>
                <w:tcPr>
                  <w:tcW w:w="713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993" w:type="dxa"/>
                </w:tcPr>
                <w:p>
                  <w:pPr>
                    <w:ind w:firstLine="420" w:firstLineChars="200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年  月  日</w:t>
                  </w:r>
                </w:p>
              </w:tc>
              <w:tc>
                <w:tcPr>
                  <w:tcW w:w="1808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63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ascii="Calibri" w:hAnsi="Calibri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完好</w:t>
                  </w:r>
                  <w:r>
                    <w:rPr>
                      <w:rFonts w:ascii="Calibri" w:hAnsi="Calibri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51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压力管道</w:t>
                  </w:r>
                </w:p>
              </w:tc>
              <w:tc>
                <w:tcPr>
                  <w:tcW w:w="713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993" w:type="dxa"/>
                </w:tcPr>
                <w:p>
                  <w:pPr>
                    <w:ind w:firstLine="420" w:firstLineChars="200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年  月  日</w:t>
                  </w:r>
                </w:p>
              </w:tc>
              <w:tc>
                <w:tcPr>
                  <w:tcW w:w="1808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63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ascii="Calibri" w:hAnsi="Calibri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完好</w:t>
                  </w:r>
                  <w:r>
                    <w:rPr>
                      <w:rFonts w:ascii="Calibri" w:hAnsi="Calibri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51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电梯（客梯）</w:t>
                  </w:r>
                </w:p>
              </w:tc>
              <w:tc>
                <w:tcPr>
                  <w:tcW w:w="713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1993" w:type="dxa"/>
                </w:tcPr>
                <w:p>
                  <w:pPr>
                    <w:ind w:firstLine="420" w:firstLineChars="200"/>
                    <w:rPr>
                      <w:highlight w:val="none"/>
                    </w:rPr>
                  </w:pPr>
                </w:p>
              </w:tc>
              <w:tc>
                <w:tcPr>
                  <w:tcW w:w="1808" w:type="dxa"/>
                </w:tcPr>
                <w:p>
                  <w:pPr>
                    <w:rPr>
                      <w:rFonts w:hint="eastAsia" w:eastAsia="宋体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63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ascii="Calibri" w:hAnsi="Calibri"/>
                      <w:highlight w:val="none"/>
                    </w:rPr>
                    <w:sym w:font="Wingdings 2" w:char="00A3"/>
                  </w:r>
                  <w:r>
                    <w:rPr>
                      <w:rFonts w:hint="eastAsia"/>
                      <w:highlight w:val="none"/>
                    </w:rPr>
                    <w:t>完好</w:t>
                  </w:r>
                  <w:r>
                    <w:rPr>
                      <w:rFonts w:ascii="Calibri" w:hAnsi="Calibri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51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电梯（货梯）</w:t>
                  </w:r>
                </w:p>
              </w:tc>
              <w:tc>
                <w:tcPr>
                  <w:tcW w:w="713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1993" w:type="dxa"/>
                </w:tcPr>
                <w:p>
                  <w:pPr>
                    <w:ind w:firstLine="420" w:firstLineChars="200"/>
                    <w:rPr>
                      <w:highlight w:val="none"/>
                    </w:rPr>
                  </w:pPr>
                </w:p>
              </w:tc>
              <w:tc>
                <w:tcPr>
                  <w:tcW w:w="1808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63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ascii="Calibri" w:hAnsi="Calibri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完好</w:t>
                  </w:r>
                  <w:r>
                    <w:rPr>
                      <w:rFonts w:ascii="Calibri" w:hAnsi="Calibri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</w:tbl>
          <w:p/>
        </w:tc>
        <w:tc>
          <w:tcPr>
            <w:tcW w:w="1266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79" w:type="dxa"/>
            <w:gridSpan w:val="2"/>
            <w:vMerge w:val="restart"/>
            <w:shd w:val="clear" w:color="auto" w:fill="auto"/>
          </w:tcPr>
          <w:p>
            <w:r>
              <w:rPr>
                <w:rFonts w:hint="eastAsia"/>
              </w:rPr>
              <w:t>过程运行环境</w:t>
            </w:r>
          </w:p>
          <w:p/>
        </w:tc>
        <w:tc>
          <w:tcPr>
            <w:tcW w:w="930" w:type="dxa"/>
            <w:gridSpan w:val="3"/>
            <w:vMerge w:val="restart"/>
            <w:shd w:val="clear" w:color="auto" w:fill="auto"/>
          </w:tcPr>
          <w:p>
            <w:r>
              <w:rPr>
                <w:rFonts w:hint="eastAsia"/>
              </w:rPr>
              <w:t xml:space="preserve">F7.1.4 </w:t>
            </w:r>
          </w:p>
        </w:tc>
        <w:tc>
          <w:tcPr>
            <w:tcW w:w="762" w:type="dxa"/>
            <w:gridSpan w:val="5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3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 xml:space="preserve">如：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手册第7.1.4条款</w:t>
            </w:r>
          </w:p>
        </w:tc>
        <w:tc>
          <w:tcPr>
            <w:tcW w:w="1266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符合 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2179" w:type="dxa"/>
            <w:gridSpan w:val="2"/>
            <w:vMerge w:val="continue"/>
            <w:shd w:val="clear" w:color="auto" w:fill="auto"/>
          </w:tcPr>
          <w:p/>
        </w:tc>
        <w:tc>
          <w:tcPr>
            <w:tcW w:w="930" w:type="dxa"/>
            <w:gridSpan w:val="3"/>
            <w:vMerge w:val="continue"/>
            <w:shd w:val="clear" w:color="auto" w:fill="auto"/>
          </w:tcPr>
          <w:p/>
        </w:tc>
        <w:tc>
          <w:tcPr>
            <w:tcW w:w="762" w:type="dxa"/>
            <w:gridSpan w:val="5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3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组织确定、提供和保持建立、管理和维护工作环境所需的资源，以实现与FSMS要求的一致性。</w:t>
            </w:r>
          </w:p>
          <w:p>
            <w:r>
              <w:rPr>
                <w:rFonts w:hint="eastAsia"/>
              </w:rPr>
              <w:t xml:space="preserve"> 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33"/>
              <w:gridCol w:w="3840"/>
              <w:gridCol w:w="307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r>
                    <w:rPr>
                      <w:rFonts w:hint="eastAsia"/>
                    </w:rPr>
                    <w:t>过程运行环境因素</w:t>
                  </w:r>
                </w:p>
              </w:tc>
              <w:tc>
                <w:tcPr>
                  <w:tcW w:w="3840" w:type="dxa"/>
                </w:tcPr>
                <w:p/>
              </w:tc>
              <w:tc>
                <w:tcPr>
                  <w:tcW w:w="3070" w:type="dxa"/>
                </w:tcPr>
                <w:p>
                  <w:r>
                    <w:rPr>
                      <w:rFonts w:hint="eastAsia"/>
                    </w:rPr>
                    <w:t>控制方法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r>
                    <w:rPr>
                      <w:rFonts w:hint="eastAsia"/>
                    </w:rPr>
                    <w:t>社会因素</w:t>
                  </w:r>
                </w:p>
              </w:tc>
              <w:tc>
                <w:tcPr>
                  <w:tcW w:w="3840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非歧视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安定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非对抗</w:t>
                  </w:r>
                </w:p>
              </w:tc>
              <w:tc>
                <w:tcPr>
                  <w:tcW w:w="3070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尊重员工，建立沟通渠道</w:t>
                  </w:r>
                  <w:r>
                    <w:rPr>
                      <w:rFonts w:hint="eastAsia"/>
                      <w:lang w:eastAsia="zh-CN"/>
                    </w:rPr>
                    <w:t>，</w:t>
                  </w:r>
                  <w:r>
                    <w:rPr>
                      <w:rFonts w:hint="eastAsia"/>
                      <w:lang w:val="en-US" w:eastAsia="zh-CN"/>
                    </w:rPr>
                    <w:t>关注员工身心健康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r>
                    <w:rPr>
                      <w:rFonts w:hint="eastAsia"/>
                    </w:rPr>
                    <w:t>心理因素</w:t>
                  </w:r>
                </w:p>
              </w:tc>
              <w:tc>
                <w:tcPr>
                  <w:tcW w:w="3840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减压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预防过度疲劳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稳定情绪</w:t>
                  </w:r>
                </w:p>
              </w:tc>
              <w:tc>
                <w:tcPr>
                  <w:tcW w:w="3070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调整上班时间、合理安排员工休息，定期组织团建活动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r>
                    <w:rPr>
                      <w:rFonts w:hint="eastAsia"/>
                    </w:rPr>
                    <w:t>物理因素</w:t>
                  </w:r>
                </w:p>
              </w:tc>
              <w:tc>
                <w:tcPr>
                  <w:tcW w:w="3840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温度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湿度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照明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空气流通  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卫生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噪声等</w:t>
                  </w:r>
                </w:p>
              </w:tc>
              <w:tc>
                <w:tcPr>
                  <w:tcW w:w="3070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按照《前提方案</w:t>
                  </w:r>
                  <w:r>
                    <w:rPr>
                      <w:rFonts w:hint="eastAsia"/>
                      <w:lang w:val="en-US" w:eastAsia="zh-CN"/>
                    </w:rPr>
                    <w:t>RPR</w:t>
                  </w:r>
                  <w:r>
                    <w:rPr>
                      <w:rFonts w:hint="eastAsia"/>
                    </w:rPr>
                    <w:t>和《</w:t>
                  </w:r>
                  <w:r>
                    <w:rPr>
                      <w:rFonts w:hint="eastAsia"/>
                      <w:lang w:val="en-US" w:eastAsia="zh-CN"/>
                    </w:rPr>
                    <w:t>SSOP</w:t>
                  </w:r>
                  <w:r>
                    <w:rPr>
                      <w:rFonts w:hint="eastAsia"/>
                    </w:rPr>
                    <w:t>》进行控制</w:t>
                  </w:r>
                </w:p>
              </w:tc>
            </w:tr>
          </w:tbl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>现场观察销售分拣区工作环境基本干净，无异味等，但湿度较大，已与企业沟通；</w:t>
            </w:r>
          </w:p>
        </w:tc>
        <w:tc>
          <w:tcPr>
            <w:tcW w:w="1266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79" w:type="dxa"/>
            <w:gridSpan w:val="2"/>
            <w:vMerge w:val="restart"/>
            <w:shd w:val="clear" w:color="auto" w:fill="auto"/>
          </w:tcPr>
          <w:p>
            <w:r>
              <w:rPr>
                <w:rFonts w:hint="eastAsia"/>
              </w:rPr>
              <w:t>前提方案（PRP）</w:t>
            </w:r>
          </w:p>
        </w:tc>
        <w:tc>
          <w:tcPr>
            <w:tcW w:w="930" w:type="dxa"/>
            <w:gridSpan w:val="3"/>
            <w:vMerge w:val="restart"/>
            <w:shd w:val="clear" w:color="auto" w:fill="auto"/>
          </w:tcPr>
          <w:p>
            <w:r>
              <w:rPr>
                <w:rFonts w:hint="eastAsia"/>
              </w:rPr>
              <w:t>F8.2</w:t>
            </w:r>
          </w:p>
          <w:p/>
        </w:tc>
        <w:tc>
          <w:tcPr>
            <w:tcW w:w="762" w:type="dxa"/>
            <w:gridSpan w:val="5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3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《前提方案》</w:t>
            </w:r>
          </w:p>
        </w:tc>
        <w:tc>
          <w:tcPr>
            <w:tcW w:w="1266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符合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>
            <w:pPr>
              <w:pStyle w:val="11"/>
              <w:rPr>
                <w:rFonts w:hint="eastAsia"/>
              </w:rPr>
            </w:pPr>
          </w:p>
          <w:p>
            <w:pPr>
              <w:pStyle w:val="11"/>
              <w:rPr>
                <w:rFonts w:hint="eastAsia"/>
              </w:rPr>
            </w:pPr>
          </w:p>
          <w:p>
            <w:pPr>
              <w:pStyle w:val="11"/>
              <w:rPr>
                <w:rFonts w:hint="eastAsia"/>
              </w:rPr>
            </w:pPr>
          </w:p>
          <w:p>
            <w:pPr>
              <w:pStyle w:val="11"/>
              <w:rPr>
                <w:rFonts w:hint="eastAsia"/>
              </w:rPr>
            </w:pPr>
          </w:p>
          <w:p>
            <w:pPr>
              <w:pStyle w:val="11"/>
              <w:rPr>
                <w:rFonts w:hint="eastAsia"/>
              </w:rPr>
            </w:pPr>
          </w:p>
          <w:p>
            <w:pPr>
              <w:pStyle w:val="11"/>
              <w:rPr>
                <w:rFonts w:hint="eastAsia"/>
              </w:rPr>
            </w:pPr>
          </w:p>
          <w:p>
            <w:pPr>
              <w:pStyle w:val="11"/>
              <w:rPr>
                <w:rFonts w:hint="eastAsia"/>
              </w:rPr>
            </w:pPr>
          </w:p>
          <w:p>
            <w:pPr>
              <w:pStyle w:val="11"/>
              <w:rPr>
                <w:rFonts w:hint="eastAsia"/>
              </w:rPr>
            </w:pPr>
          </w:p>
          <w:p>
            <w:pPr>
              <w:pStyle w:val="11"/>
              <w:rPr>
                <w:rFonts w:hint="eastAsia"/>
              </w:rPr>
            </w:pPr>
          </w:p>
          <w:p>
            <w:pPr>
              <w:pStyle w:val="11"/>
              <w:rPr>
                <w:rFonts w:hint="eastAsia"/>
              </w:rPr>
            </w:pPr>
          </w:p>
          <w:p>
            <w:pPr>
              <w:pStyle w:val="11"/>
              <w:rPr>
                <w:rFonts w:hint="eastAsia"/>
              </w:rPr>
            </w:pPr>
          </w:p>
          <w:p>
            <w:pPr>
              <w:pStyle w:val="11"/>
              <w:rPr>
                <w:rFonts w:hint="eastAsia"/>
              </w:rPr>
            </w:pPr>
          </w:p>
          <w:p>
            <w:pPr>
              <w:pStyle w:val="11"/>
              <w:rPr>
                <w:rFonts w:hint="eastAsia"/>
              </w:rPr>
            </w:pPr>
          </w:p>
          <w:p>
            <w:pPr>
              <w:pStyle w:val="11"/>
              <w:rPr>
                <w:rFonts w:hint="eastAsia"/>
              </w:rPr>
            </w:pPr>
          </w:p>
          <w:p>
            <w:pPr>
              <w:pStyle w:val="11"/>
              <w:rPr>
                <w:rFonts w:hint="eastAsia"/>
              </w:rPr>
            </w:pPr>
          </w:p>
          <w:p>
            <w:pPr>
              <w:pStyle w:val="11"/>
              <w:rPr>
                <w:rFonts w:hint="eastAsia"/>
              </w:rPr>
            </w:pPr>
          </w:p>
          <w:p>
            <w:pPr>
              <w:pStyle w:val="11"/>
              <w:rPr>
                <w:rFonts w:hint="eastAsia"/>
              </w:rPr>
            </w:pPr>
          </w:p>
          <w:p>
            <w:pPr>
              <w:pStyle w:val="11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79" w:type="dxa"/>
            <w:gridSpan w:val="2"/>
            <w:vMerge w:val="continue"/>
            <w:shd w:val="clear" w:color="auto" w:fill="auto"/>
          </w:tcPr>
          <w:p/>
        </w:tc>
        <w:tc>
          <w:tcPr>
            <w:tcW w:w="930" w:type="dxa"/>
            <w:gridSpan w:val="3"/>
            <w:vMerge w:val="continue"/>
            <w:shd w:val="clear" w:color="auto" w:fill="auto"/>
          </w:tcPr>
          <w:p/>
        </w:tc>
        <w:tc>
          <w:tcPr>
            <w:tcW w:w="762" w:type="dxa"/>
            <w:gridSpan w:val="5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3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前提方案的实施情况包括：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建筑物和相关设施的构造与布局；</w:t>
            </w:r>
            <w:r>
              <w:rPr>
                <w:rFonts w:hint="eastAsia"/>
                <w:b/>
                <w:bCs/>
              </w:rPr>
              <w:t xml:space="preserve">   </w:t>
            </w:r>
            <w:r>
              <w:rPr>
                <w:rFonts w:hint="eastAsia"/>
              </w:rPr>
              <w:t xml:space="preserve">       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与文件一致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与文件不一致</w:t>
            </w:r>
          </w:p>
          <w:p>
            <w:pPr>
              <w:ind w:firstLine="210" w:firstLineChars="100"/>
              <w:rPr>
                <w:rFonts w:hint="eastAsia" w:asciiTheme="minorEastAsia" w:hAnsiTheme="minorEastAsia" w:eastAsiaTheme="minorEastAsia"/>
                <w:sz w:val="21"/>
                <w:szCs w:val="21"/>
                <w:u w:val="single"/>
                <w:lang w:eastAsia="zh-CN"/>
              </w:rPr>
            </w:pPr>
            <w:r>
              <w:rPr>
                <w:rFonts w:hint="eastAsia"/>
                <w:szCs w:val="21"/>
                <w:u w:val="single"/>
              </w:rPr>
              <w:t>公司位于</w:t>
            </w:r>
            <w:bookmarkStart w:id="0" w:name="生产地址"/>
            <w:r>
              <w:rPr>
                <w:rFonts w:hint="eastAsia"/>
                <w:szCs w:val="21"/>
                <w:u w:val="single"/>
              </w:rPr>
              <w:t>福建省中国(福建)自由贸易试验区厦门片区高殿社区高崎社3502-113号</w:t>
            </w:r>
            <w:bookmarkEnd w:id="0"/>
            <w:r>
              <w:rPr>
                <w:rFonts w:hint="eastAsia" w:asciiTheme="minorEastAsia" w:hAnsiTheme="minorEastAsia" w:eastAsiaTheme="minorEastAsia"/>
                <w:sz w:val="21"/>
                <w:szCs w:val="21"/>
                <w:u w:val="single"/>
                <w:lang w:eastAsia="zh-CN"/>
              </w:rPr>
              <w:t>。</w:t>
            </w:r>
          </w:p>
          <w:p>
            <w:pPr>
              <w:ind w:firstLine="210" w:firstLineChars="10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与公司地理位置图、平面图、设备台账一致。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审核周期内未发生变化。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包括工作空间和员工设施在内的厂房布局；</w:t>
            </w: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与文件一致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与文件不一</w:t>
            </w:r>
            <w:r>
              <w:rPr>
                <w:rFonts w:hint="eastAsia"/>
                <w:lang w:val="en-US" w:eastAsia="zh-CN"/>
              </w:rPr>
              <w:t>执</w:t>
            </w:r>
          </w:p>
          <w:p>
            <w:pPr>
              <w:ind w:firstLine="420" w:firstLineChars="200"/>
              <w:rPr>
                <w:rFonts w:hint="default" w:ascii="宋体" w:hAnsi="宋体" w:eastAsia="宋体"/>
                <w:szCs w:val="21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highlight w:val="none"/>
                <w:u w:val="single"/>
              </w:rPr>
              <w:t xml:space="preserve">仓库配送场地 1 个；其中冷藏库 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1</w:t>
            </w:r>
            <w:r>
              <w:rPr>
                <w:rFonts w:hint="eastAsia"/>
                <w:highlight w:val="none"/>
                <w:u w:val="single"/>
              </w:rPr>
              <w:t xml:space="preserve">个；冷冻库 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1</w:t>
            </w:r>
            <w:r>
              <w:rPr>
                <w:rFonts w:hint="eastAsia"/>
                <w:highlight w:val="none"/>
                <w:u w:val="single"/>
              </w:rPr>
              <w:t>个；配送车辆：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6</w:t>
            </w:r>
            <w:r>
              <w:rPr>
                <w:rFonts w:hint="eastAsia"/>
                <w:highlight w:val="none"/>
                <w:u w:val="single"/>
              </w:rPr>
              <w:t>辆</w:t>
            </w:r>
            <w:r>
              <w:rPr>
                <w:rFonts w:hint="eastAsia" w:ascii="宋体" w:hAnsi="宋体"/>
                <w:szCs w:val="21"/>
                <w:highlight w:val="none"/>
                <w:u w:val="single"/>
              </w:rPr>
              <w:t>；与平面图一致。</w:t>
            </w:r>
          </w:p>
          <w:p>
            <w:pPr>
              <w:ind w:firstLine="420" w:firstLineChars="200"/>
              <w:rPr>
                <w:rFonts w:hint="default" w:ascii="宋体" w:hAnsi="宋体"/>
                <w:szCs w:val="21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highlight w:val="none"/>
                <w:u w:val="single"/>
                <w:lang w:val="en-US" w:eastAsia="zh-CN"/>
              </w:rPr>
              <w:t>现场观察分拣区的农副产品（果蔬、鲜畜禽肉、水产品）的销售、预包装食品（粮油、调味品、肉类冻品）的销售基本符合要求，公司主要销售畜禽肉类为主，预包装量比较小；</w:t>
            </w:r>
          </w:p>
          <w:p>
            <w:pPr>
              <w:ind w:firstLine="420" w:firstLineChars="200"/>
              <w:rPr>
                <w:rFonts w:ascii="宋体" w:hAnsi="宋体"/>
                <w:szCs w:val="21"/>
                <w:highlight w:val="none"/>
                <w:u w:val="single"/>
              </w:rPr>
            </w:pPr>
            <w:r>
              <w:rPr>
                <w:rFonts w:hint="eastAsia" w:ascii="宋体" w:hAnsi="宋体"/>
                <w:szCs w:val="21"/>
                <w:highlight w:val="none"/>
                <w:u w:val="single"/>
              </w:rPr>
              <w:t>提供</w:t>
            </w:r>
            <w:r>
              <w:rPr>
                <w:rFonts w:hint="eastAsia" w:ascii="宋体" w:hAnsi="宋体"/>
                <w:szCs w:val="21"/>
                <w:highlight w:val="none"/>
                <w:u w:val="single"/>
                <w:lang w:val="en-US" w:eastAsia="zh-CN"/>
              </w:rPr>
              <w:t>销售</w:t>
            </w:r>
            <w:r>
              <w:rPr>
                <w:rFonts w:hint="eastAsia" w:ascii="宋体" w:hAnsi="宋体"/>
                <w:szCs w:val="21"/>
                <w:highlight w:val="none"/>
                <w:u w:val="single"/>
              </w:rPr>
              <w:t>过程管理，与流程图基本一致。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空气、水、能源和其他基础条件的供给；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满足要求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u w:val="single"/>
              </w:rPr>
              <w:t>使用城市用水；只用于清洁（洗手、清洗食品周转箱、车辆清洁、仓库清洁、卫生间）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包括虫害控制、 废弃物和污水处理在内的支持性服务；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与文件一致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与文件不一致</w:t>
            </w:r>
          </w:p>
          <w:p>
            <w:pPr>
              <w:pStyle w:val="11"/>
              <w:rPr>
                <w:rFonts w:hint="eastAsia"/>
                <w:color w:val="000000" w:themeColor="text1"/>
                <w:highlight w:val="none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/>
                <w:color w:val="000000" w:themeColor="text1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  <w:t>现场检查</w:t>
            </w:r>
            <w:r>
              <w:rPr>
                <w:rFonts w:hint="eastAsia"/>
                <w:color w:val="000000" w:themeColor="text1"/>
                <w:highlight w:val="none"/>
                <w:u w:val="single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/>
                <w:color w:val="000000" w:themeColor="text1"/>
                <w:highlight w:val="none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配置有灭蝇灯，</w:t>
            </w:r>
            <w:r>
              <w:rPr>
                <w:rFonts w:hint="eastAsia"/>
                <w:u w:val="single"/>
                <w:lang w:val="en-US" w:eastAsia="zh-CN"/>
              </w:rPr>
              <w:t>提供有《虫鼠害检查记录表》，抽查2021年11月、2022年1月、2022-06月，每天检查，检查人：郑宗添；</w:t>
            </w:r>
          </w:p>
          <w:p>
            <w:pPr>
              <w:ind w:firstLine="210" w:firstLineChars="100"/>
              <w:rPr>
                <w:rFonts w:hint="default" w:eastAsia="宋体"/>
                <w:color w:val="000000" w:themeColor="text1"/>
                <w:highlight w:val="none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highlight w:val="none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现场有灭火器；按照日期进行检查；</w:t>
            </w:r>
          </w:p>
          <w:p>
            <w:pPr>
              <w:ind w:firstLine="210" w:firstLineChars="10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highlight w:val="none"/>
                <w:u w:val="single"/>
              </w:rPr>
              <w:t>垃圾桶在室外；无污水；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设备的适宜性，及其清洁、保养和预防性维护的可实现性；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与文件一致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与文件不一致</w:t>
            </w:r>
          </w:p>
          <w:p>
            <w:pPr>
              <w:pStyle w:val="11"/>
              <w:ind w:firstLine="230" w:firstLineChars="100"/>
              <w:jc w:val="left"/>
              <w:rPr>
                <w:rFonts w:hint="default"/>
                <w:u w:val="single"/>
                <w:lang w:val="en-US"/>
              </w:rPr>
            </w:pPr>
            <w:r>
              <w:rPr>
                <w:rFonts w:hint="eastAsia"/>
                <w:u w:val="single"/>
                <w:lang w:val="en-US" w:eastAsia="zh-CN"/>
              </w:rPr>
              <w:t>设备主要是车辆、冷冻库、冷藏库，见F7.1.4条款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供应商保证过程（如原料、 辅料、 化学品和包装材料） ；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满足要求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u w:val="single"/>
              </w:rPr>
              <w:t>见“</w:t>
            </w:r>
            <w:r>
              <w:rPr>
                <w:rFonts w:hint="eastAsia"/>
                <w:u w:val="single"/>
                <w:lang w:val="en-US" w:eastAsia="zh-CN"/>
              </w:rPr>
              <w:t>采购部 F7.1.6条款</w:t>
            </w:r>
            <w:r>
              <w:rPr>
                <w:rFonts w:hint="eastAsia"/>
                <w:u w:val="single"/>
              </w:rPr>
              <w:t>”审核记录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来料的接收、储存、发运、运输和产品的搬运；</w:t>
            </w:r>
            <w:r>
              <w:rPr>
                <w:rFonts w:hint="eastAsia"/>
              </w:rPr>
              <w:t xml:space="preserve">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满足要求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u w:val="single"/>
              </w:rPr>
              <w:t>见“</w:t>
            </w:r>
            <w:r>
              <w:rPr>
                <w:rFonts w:hint="eastAsia"/>
                <w:u w:val="single"/>
                <w:lang w:val="en-US" w:eastAsia="zh-CN"/>
              </w:rPr>
              <w:t>采购部8.9.2 条款</w:t>
            </w:r>
            <w:r>
              <w:rPr>
                <w:rFonts w:hint="eastAsia"/>
                <w:u w:val="single"/>
              </w:rPr>
              <w:t>”审核记录</w:t>
            </w:r>
          </w:p>
          <w:p>
            <w:pPr>
              <w:ind w:firstLine="210" w:firstLineChars="100"/>
              <w:rPr>
                <w:rFonts w:hint="eastAsia" w:ascii="宋体" w:hAnsi="宋体"/>
                <w:szCs w:val="21"/>
                <w:highlight w:val="none"/>
                <w:u w:val="single"/>
              </w:rPr>
            </w:pPr>
            <w:r>
              <w:rPr>
                <w:rFonts w:hint="eastAsia" w:ascii="宋体" w:hAnsi="宋体"/>
                <w:szCs w:val="21"/>
                <w:highlight w:val="none"/>
                <w:u w:val="single"/>
                <w:lang w:val="en-US" w:eastAsia="zh-CN"/>
              </w:rPr>
              <w:t>现场</w:t>
            </w:r>
            <w:r>
              <w:rPr>
                <w:rFonts w:hint="eastAsia" w:ascii="宋体" w:hAnsi="宋体"/>
                <w:szCs w:val="21"/>
                <w:highlight w:val="none"/>
                <w:u w:val="single"/>
              </w:rPr>
              <w:t>观察——</w:t>
            </w:r>
            <w:r>
              <w:rPr>
                <w:rFonts w:hint="eastAsia" w:ascii="宋体" w:hAnsi="宋体"/>
                <w:szCs w:val="21"/>
                <w:highlight w:val="none"/>
                <w:u w:val="single"/>
                <w:lang w:val="en-US" w:eastAsia="zh-CN"/>
              </w:rPr>
              <w:t>分拣区域</w:t>
            </w:r>
            <w:r>
              <w:rPr>
                <w:rFonts w:hint="eastAsia" w:ascii="宋体" w:hAnsi="宋体"/>
                <w:szCs w:val="21"/>
                <w:highlight w:val="none"/>
                <w:u w:val="single"/>
              </w:rPr>
              <w:t>基本干净整洁、分区域存放</w:t>
            </w:r>
            <w:r>
              <w:rPr>
                <w:rFonts w:hint="eastAsia" w:ascii="宋体" w:hAnsi="宋体"/>
                <w:szCs w:val="21"/>
                <w:highlight w:val="none"/>
                <w:u w:val="single"/>
                <w:lang w:val="en-US" w:eastAsia="zh-CN"/>
              </w:rPr>
              <w:t>分类整齐</w:t>
            </w:r>
            <w:r>
              <w:rPr>
                <w:rFonts w:hint="eastAsia" w:ascii="宋体" w:hAnsi="宋体"/>
                <w:szCs w:val="21"/>
                <w:highlight w:val="none"/>
                <w:u w:val="single"/>
              </w:rPr>
              <w:t>、灭火器完好，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防止交叉污染的措施；</w:t>
            </w:r>
            <w:r>
              <w:rPr>
                <w:rFonts w:hint="eastAsia"/>
              </w:rPr>
              <w:t xml:space="preserve">                      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满足要求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>
            <w:pPr>
              <w:ind w:left="1680" w:leftChars="100" w:hanging="1470" w:hangingChars="700"/>
              <w:rPr>
                <w:rFonts w:hint="default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highlight w:val="none"/>
                <w:u w:val="single"/>
                <w:lang w:val="en-US" w:eastAsia="zh-CN"/>
              </w:rPr>
              <w:t>食材当时采买，当时配送，畜禽肉类分区存放，基本可以防止交叉污染；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清洁和消毒；</w:t>
            </w:r>
            <w:r>
              <w:rPr>
                <w:rFonts w:hint="eastAsia"/>
              </w:rPr>
              <w:t xml:space="preserve">                              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满足要求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>
            <w:pPr>
              <w:ind w:firstLine="210" w:firstLineChars="100"/>
              <w:rPr>
                <w:rFonts w:hint="eastAsia"/>
                <w:u w:val="single"/>
                <w:lang w:val="en-US" w:eastAsia="zh-CN"/>
              </w:rPr>
            </w:pPr>
            <w:r>
              <w:rPr>
                <w:rFonts w:hint="eastAsia"/>
                <w:u w:val="single"/>
                <w:lang w:val="en-US" w:eastAsia="zh-CN"/>
              </w:rPr>
              <w:t>提供有《场地清洁消毒记录表》，覆盖范围：冻库、分拣区，抽查2021-12、2022-08，操作人：黄***，未记录消毒方式，已与企业沟通；</w:t>
            </w:r>
          </w:p>
          <w:p>
            <w:pPr>
              <w:shd w:val="clear" w:fill="FFFFFF" w:themeFill="background1"/>
              <w:ind w:firstLine="210" w:firstLineChars="100"/>
              <w:rPr>
                <w:rFonts w:hint="eastAsia"/>
                <w:highlight w:val="none"/>
                <w:u w:val="single"/>
                <w:shd w:val="clear" w:fill="EBF1DE" w:themeFill="accent3" w:themeFillTint="32"/>
                <w:lang w:val="en-US" w:eastAsia="zh-CN"/>
              </w:rPr>
            </w:pPr>
            <w:r>
              <w:rPr>
                <w:rFonts w:hint="eastAsia"/>
                <w:u w:val="single"/>
                <w:lang w:val="en-US" w:eastAsia="zh-CN"/>
              </w:rPr>
              <w:t>车辆，每天进行1次消毒，84消毒液喷洒消毒，提供有《车辆安全检查表》，见F7.1.3条款；</w:t>
            </w:r>
          </w:p>
          <w:p>
            <w:pPr>
              <w:pStyle w:val="2"/>
              <w:shd w:val="clear"/>
              <w:ind w:left="0" w:leftChars="0" w:firstLine="210" w:firstLineChars="100"/>
              <w:rPr>
                <w:rFonts w:hint="default"/>
                <w:highlight w:val="none"/>
                <w:u w:val="single"/>
                <w:shd w:val="clear" w:fill="EBF1DE" w:themeFill="accent3" w:themeFillTint="32"/>
                <w:lang w:val="en-US" w:eastAsia="zh-CN"/>
              </w:rPr>
            </w:pPr>
            <w:r>
              <w:rPr>
                <w:rFonts w:hint="eastAsia"/>
                <w:highlight w:val="none"/>
                <w:u w:val="single"/>
                <w:shd w:val="clear" w:fill="EBF1DE" w:themeFill="accent3" w:themeFillTint="32"/>
                <w:lang w:val="en-US" w:eastAsia="zh-CN"/>
              </w:rPr>
              <w:t>刀具主要通过刀具消毒柜消毒，每次使用完毕后进行。</w:t>
            </w:r>
          </w:p>
          <w:p>
            <w:pPr>
              <w:numPr>
                <w:ilvl w:val="0"/>
                <w:numId w:val="1"/>
              </w:numPr>
              <w:shd w:val="clear"/>
            </w:pPr>
            <w:r>
              <w:rPr>
                <w:b/>
                <w:bCs/>
              </w:rPr>
              <w:t>人员卫生；</w:t>
            </w:r>
            <w:r>
              <w:rPr>
                <w:rFonts w:hint="eastAsia"/>
              </w:rPr>
              <w:t xml:space="preserve">                                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满足要求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>
            <w:pPr>
              <w:shd w:val="clear"/>
              <w:rPr>
                <w:rFonts w:hint="eastAsia" w:eastAsia="宋体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</w:rPr>
              <w:t xml:space="preserve">  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见“人事部”F7.2条款审核记录</w:t>
            </w:r>
            <w:r>
              <w:rPr>
                <w:rFonts w:hint="eastAsia"/>
                <w:highlight w:val="none"/>
                <w:lang w:eastAsia="zh-CN"/>
              </w:rPr>
              <w:t>；</w:t>
            </w:r>
          </w:p>
          <w:p>
            <w:pPr>
              <w:shd w:val="clear"/>
              <w:ind w:firstLine="210" w:firstLineChars="100"/>
              <w:rPr>
                <w:rFonts w:hint="default"/>
                <w:highlight w:val="none"/>
                <w:u w:val="single"/>
                <w:lang w:val="en-US"/>
              </w:rPr>
            </w:pPr>
            <w:r>
              <w:rPr>
                <w:rFonts w:hint="eastAsia"/>
                <w:highlight w:val="none"/>
                <w:u w:val="single"/>
              </w:rPr>
              <w:t>每日进行晨检，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检查身体状况，无异常方可上岗，提供有《员工个人卫生检查表》；</w:t>
            </w:r>
          </w:p>
          <w:p>
            <w:pPr>
              <w:pStyle w:val="11"/>
              <w:shd w:val="clear"/>
              <w:ind w:firstLine="230" w:firstLineChars="100"/>
              <w:rPr>
                <w:highlight w:val="none"/>
                <w:u w:val="single"/>
              </w:rPr>
            </w:pPr>
            <w:r>
              <w:rPr>
                <w:rFonts w:hint="eastAsia"/>
                <w:highlight w:val="none"/>
                <w:u w:val="single"/>
              </w:rPr>
              <w:t>外来人员身体的健康告知：</w:t>
            </w:r>
            <w:r>
              <w:rPr>
                <w:rFonts w:hint="eastAsia"/>
                <w:highlight w:val="none"/>
                <w:u w:val="single"/>
              </w:rPr>
              <w:sym w:font="Wingdings" w:char="00A8"/>
            </w:r>
            <w:r>
              <w:rPr>
                <w:rFonts w:hint="eastAsia"/>
                <w:highlight w:val="none"/>
                <w:u w:val="single"/>
              </w:rPr>
              <w:t xml:space="preserve">健康证  </w:t>
            </w:r>
            <w:r>
              <w:rPr>
                <w:rFonts w:hint="eastAsia"/>
                <w:highlight w:val="none"/>
                <w:u w:val="single"/>
              </w:rPr>
              <w:sym w:font="Wingdings 2" w:char="0052"/>
            </w:r>
            <w:r>
              <w:rPr>
                <w:rFonts w:hint="eastAsia"/>
                <w:highlight w:val="none"/>
                <w:u w:val="single"/>
              </w:rPr>
              <w:t>良好身体健康告知（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核酸、健康码等，但未保留记录，已与企业沟通</w:t>
            </w:r>
            <w:r>
              <w:rPr>
                <w:rFonts w:hint="eastAsia"/>
                <w:highlight w:val="none"/>
                <w:u w:val="single"/>
              </w:rPr>
              <w:t>）</w:t>
            </w:r>
          </w:p>
          <w:p>
            <w:pPr>
              <w:numPr>
                <w:ilvl w:val="0"/>
                <w:numId w:val="1"/>
              </w:numPr>
              <w:shd w:val="clear"/>
            </w:pPr>
            <w:r>
              <w:rPr>
                <w:b/>
                <w:bCs/>
              </w:rPr>
              <w:t>产品信息/消费者意识；</w:t>
            </w: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</w:rPr>
              <w:t xml:space="preserve">                   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满足要求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>
            <w:pPr>
              <w:shd w:val="clear"/>
              <w:rPr>
                <w:u w:val="single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u w:val="single"/>
              </w:rPr>
              <w:t>该企业的产品主要</w:t>
            </w:r>
            <w:r>
              <w:rPr>
                <w:rFonts w:hint="eastAsia"/>
                <w:u w:val="single"/>
                <w:lang w:val="en-US" w:eastAsia="zh-CN"/>
              </w:rPr>
              <w:t>为采购各类食材</w:t>
            </w:r>
            <w:r>
              <w:rPr>
                <w:rFonts w:hint="eastAsia"/>
                <w:u w:val="single"/>
              </w:rPr>
              <w:t>；</w:t>
            </w:r>
          </w:p>
          <w:p>
            <w:pPr>
              <w:pStyle w:val="11"/>
              <w:shd w:val="clear"/>
              <w:ind w:firstLine="230" w:firstLineChars="100"/>
            </w:pPr>
            <w:r>
              <w:rPr>
                <w:rFonts w:hint="eastAsia"/>
                <w:u w:val="single"/>
              </w:rPr>
              <w:t>客户群体主要</w:t>
            </w:r>
            <w:r>
              <w:rPr>
                <w:rFonts w:hint="eastAsia"/>
                <w:u w:val="single"/>
                <w:lang w:eastAsia="zh-CN"/>
              </w:rPr>
              <w:t>：</w:t>
            </w:r>
            <w:r>
              <w:rPr>
                <w:rFonts w:hint="eastAsia"/>
                <w:u w:val="single"/>
                <w:lang w:val="en-US" w:eastAsia="zh-CN"/>
              </w:rPr>
              <w:t>主要是酒店</w:t>
            </w:r>
            <w:r>
              <w:rPr>
                <w:rFonts w:hint="eastAsia"/>
                <w:u w:val="single"/>
              </w:rPr>
              <w:t>；</w:t>
            </w:r>
          </w:p>
          <w:p>
            <w:pPr>
              <w:numPr>
                <w:ilvl w:val="0"/>
                <w:numId w:val="1"/>
              </w:numPr>
              <w:shd w:val="clear"/>
            </w:pPr>
            <w:r>
              <w:rPr>
                <w:b/>
                <w:bCs/>
              </w:rPr>
              <w:t>l) 其他有关方面。</w:t>
            </w: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</w:rPr>
              <w:t xml:space="preserve">                        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满足要求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>
            <w:pPr>
              <w:shd w:val="clear"/>
            </w:pPr>
            <w:r>
              <w:rPr>
                <w:rFonts w:hint="eastAsia" w:ascii="宋体" w:hAnsi="宋体"/>
                <w:szCs w:val="21"/>
              </w:rPr>
              <w:t xml:space="preserve">  无</w:t>
            </w:r>
          </w:p>
        </w:tc>
        <w:tc>
          <w:tcPr>
            <w:tcW w:w="1266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97" w:type="dxa"/>
            <w:gridSpan w:val="4"/>
            <w:vMerge w:val="restart"/>
            <w:shd w:val="clear" w:color="auto" w:fill="auto"/>
          </w:tcPr>
          <w:p>
            <w:r>
              <w:t>标识和可追溯性</w:t>
            </w:r>
          </w:p>
        </w:tc>
        <w:tc>
          <w:tcPr>
            <w:tcW w:w="922" w:type="dxa"/>
            <w:gridSpan w:val="3"/>
            <w:vMerge w:val="restart"/>
            <w:shd w:val="clear" w:color="auto" w:fill="auto"/>
          </w:tcPr>
          <w:p>
            <w:r>
              <w:t>F8.3</w:t>
            </w:r>
          </w:p>
          <w:p/>
        </w:tc>
        <w:tc>
          <w:tcPr>
            <w:tcW w:w="745" w:type="dxa"/>
            <w:gridSpan w:val="2"/>
            <w:shd w:val="clear" w:color="auto" w:fill="auto"/>
          </w:tcPr>
          <w:p>
            <w:r>
              <w:t>文件名称</w:t>
            </w:r>
          </w:p>
        </w:tc>
        <w:tc>
          <w:tcPr>
            <w:tcW w:w="9255" w:type="dxa"/>
            <w:gridSpan w:val="2"/>
            <w:shd w:val="clear" w:color="auto" w:fill="auto"/>
          </w:tcPr>
          <w:p>
            <w:pPr>
              <w:rPr>
                <w:rFonts w:hint="eastAsia" w:eastAsia="宋体"/>
                <w:lang w:eastAsia="zh-CN"/>
              </w:rPr>
            </w:pPr>
            <w:r>
              <w:t>如：</w:t>
            </w:r>
            <w:r>
              <w:fldChar w:fldCharType="begin"/>
            </w:r>
            <w:r>
              <w:instrText xml:space="preserve"> eq \o\ac(□,√)</w:instrText>
            </w:r>
            <w:r>
              <w:fldChar w:fldCharType="end"/>
            </w:r>
            <w:r>
              <w:t>手册</w:t>
            </w:r>
            <w:r>
              <w:rPr>
                <w:rFonts w:hint="eastAsia"/>
                <w:lang w:val="en-US" w:eastAsia="zh-CN"/>
              </w:rPr>
              <w:t>8.3</w:t>
            </w:r>
            <w:r>
              <w:t>条款、</w:t>
            </w:r>
            <w:r>
              <w:fldChar w:fldCharType="begin"/>
            </w:r>
            <w:r>
              <w:instrText xml:space="preserve"> eq \o\ac(□,√)</w:instrText>
            </w:r>
            <w:r>
              <w:fldChar w:fldCharType="end"/>
            </w:r>
            <w:r>
              <w:rPr>
                <w:rFonts w:hint="eastAsia"/>
              </w:rPr>
              <w:t>《产品标识、追溯和召回程序</w:t>
            </w:r>
            <w:r>
              <w:rPr>
                <w:szCs w:val="16"/>
              </w:rPr>
              <w:t>》</w:t>
            </w:r>
            <w:r>
              <w:t>、《产品/服务提供控制程序》、《标识和可追溯性控制程序》、《产品留样制度》、</w:t>
            </w:r>
            <w:r>
              <w:fldChar w:fldCharType="begin"/>
            </w:r>
            <w:r>
              <w:instrText xml:space="preserve"> eq \o\ac(□,√)</w:instrText>
            </w:r>
            <w:r>
              <w:fldChar w:fldCharType="end"/>
            </w:r>
            <w:r>
              <w:t>《前提方案》</w:t>
            </w:r>
            <w:r>
              <w:rPr>
                <w:rFonts w:hint="eastAsia"/>
                <w:lang w:eastAsia="zh-CN"/>
              </w:rPr>
              <w:t>、</w:t>
            </w:r>
            <w:r>
              <w:fldChar w:fldCharType="begin"/>
            </w:r>
            <w:r>
              <w:instrText xml:space="preserve"> eq \o\ac(□)</w:instrText>
            </w:r>
            <w:r>
              <w:fldChar w:fldCharType="end"/>
            </w:r>
            <w:r>
              <w:rPr>
                <w:rFonts w:hint="eastAsia"/>
                <w:lang w:eastAsia="zh-CN"/>
              </w:rPr>
              <w:t>《信息交流控制程序》</w:t>
            </w:r>
          </w:p>
        </w:tc>
        <w:tc>
          <w:tcPr>
            <w:tcW w:w="1271" w:type="dxa"/>
            <w:gridSpan w:val="2"/>
            <w:vMerge w:val="restart"/>
            <w:shd w:val="clear" w:color="auto" w:fill="auto"/>
          </w:tcPr>
          <w:p>
            <w:r>
              <w:fldChar w:fldCharType="begin"/>
            </w:r>
            <w:r>
              <w:instrText xml:space="preserve"> eq \o\ac(□,</w:instrText>
            </w:r>
            <w:r>
              <w:rPr>
                <w:position w:val="2"/>
                <w:sz w:val="13"/>
              </w:rPr>
              <w:instrText xml:space="preserve">√</w:instrText>
            </w:r>
            <w:r>
              <w:instrText xml:space="preserve">)</w:instrText>
            </w:r>
            <w:r>
              <w:fldChar w:fldCharType="end"/>
            </w:r>
            <w:r>
              <w:t>符合</w:t>
            </w:r>
          </w:p>
          <w:p>
            <w:r>
              <w:rPr/>
              <w:sym w:font="Wingdings" w:char="00A8"/>
            </w:r>
            <w:r>
              <w:t>不符合</w:t>
            </w: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2197" w:type="dxa"/>
            <w:gridSpan w:val="4"/>
            <w:vMerge w:val="continue"/>
            <w:shd w:val="clear" w:color="auto" w:fill="auto"/>
          </w:tcPr>
          <w:p/>
        </w:tc>
        <w:tc>
          <w:tcPr>
            <w:tcW w:w="922" w:type="dxa"/>
            <w:gridSpan w:val="3"/>
            <w:vMerge w:val="continue"/>
            <w:shd w:val="clear" w:color="auto" w:fill="auto"/>
          </w:tcPr>
          <w:p/>
        </w:tc>
        <w:tc>
          <w:tcPr>
            <w:tcW w:w="745" w:type="dxa"/>
            <w:gridSpan w:val="2"/>
            <w:shd w:val="clear" w:color="auto" w:fill="auto"/>
          </w:tcPr>
          <w:p>
            <w:r>
              <w:t>运行证据</w:t>
            </w:r>
          </w:p>
        </w:tc>
        <w:tc>
          <w:tcPr>
            <w:tcW w:w="9255" w:type="dxa"/>
            <w:gridSpan w:val="2"/>
            <w:shd w:val="clear" w:color="auto" w:fill="auto"/>
          </w:tcPr>
          <w:p>
            <w:r>
              <w:rPr>
                <w:highlight w:val="none"/>
              </w:rPr>
              <w:t>产品的检验状态标识：</w:t>
            </w:r>
            <w:r>
              <w:rPr>
                <w:highlight w:val="none"/>
              </w:rPr>
              <w:sym w:font="Wingdings" w:char="00A8"/>
            </w:r>
            <w:r>
              <w:rPr>
                <w:highlight w:val="none"/>
              </w:rPr>
              <w:t xml:space="preserve">待检 </w:t>
            </w:r>
            <w:r>
              <w:rPr>
                <w:highlight w:val="none"/>
              </w:rPr>
              <w:sym w:font="Wingdings" w:char="00A8"/>
            </w:r>
            <w:r>
              <w:rPr>
                <w:highlight w:val="none"/>
              </w:rPr>
              <w:t>待下结论</w:t>
            </w:r>
            <w:r>
              <w:t xml:space="preserve"> </w:t>
            </w:r>
            <w:r>
              <w:rPr/>
              <w:sym w:font="Wingdings" w:char="00FE"/>
            </w:r>
            <w:r>
              <w:t xml:space="preserve">合格  </w:t>
            </w:r>
            <w:r>
              <w:rPr/>
              <w:sym w:font="Wingdings" w:char="00FE"/>
            </w:r>
            <w:r>
              <w:t xml:space="preserve">不合格  </w:t>
            </w:r>
          </w:p>
          <w:p/>
          <w:p>
            <w:r>
              <w:t>在建立和实施可追溯性体系时，考虑了以下内容：</w:t>
            </w:r>
          </w:p>
          <w:p>
            <w:r>
              <w:t xml:space="preserve"> </w:t>
            </w:r>
            <w:r>
              <w:rPr/>
              <w:sym w:font="Wingdings" w:char="00FE"/>
            </w:r>
            <w:r>
              <w:t>接收物料、配料、中间产品批量与最终产品的关系；</w:t>
            </w:r>
          </w:p>
          <w:p>
            <w:r>
              <w:t xml:space="preserve"> </w:t>
            </w:r>
            <w:r>
              <w:rPr/>
              <w:sym w:font="Wingdings" w:char="00A8"/>
            </w:r>
            <w:r>
              <w:t>材料/产品的返工；</w:t>
            </w:r>
          </w:p>
          <w:p>
            <w:r>
              <w:t xml:space="preserve"> </w:t>
            </w:r>
            <w:r>
              <w:rPr/>
              <w:sym w:font="Wingdings" w:char="00FE"/>
            </w:r>
            <w:r>
              <w:t>最终产品的分销。</w:t>
            </w:r>
          </w:p>
          <w:p/>
          <w:p>
            <w:r>
              <w:t xml:space="preserve">原材料的唯一性标识方式： 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/>
              <w:sym w:font="Wingdings" w:char="00A8"/>
            </w:r>
            <w:r>
              <w:t xml:space="preserve">容器编号  </w:t>
            </w:r>
            <w:r>
              <w:rPr/>
              <w:sym w:font="Wingdings" w:char="00FE"/>
            </w:r>
            <w:r>
              <w:t xml:space="preserve">标牌  </w:t>
            </w:r>
            <w:r>
              <w:rPr/>
              <w:sym w:font="Wingdings" w:char="00FE"/>
            </w:r>
            <w:r>
              <w:t xml:space="preserve">标签  </w:t>
            </w:r>
            <w:r>
              <w:fldChar w:fldCharType="begin"/>
            </w:r>
            <w:r>
              <w:instrText xml:space="preserve"> eq \o\ac(□</w:instrText>
            </w:r>
            <w:r>
              <w:rPr>
                <w:rFonts w:hint="eastAsia"/>
                <w:lang w:eastAsia="zh-CN"/>
              </w:rPr>
              <w:instrText xml:space="preserve">,</w:instrText>
            </w:r>
            <w:r>
              <w:rPr>
                <w:rFonts w:hint="eastAsia"/>
                <w:position w:val="2"/>
                <w:sz w:val="13"/>
                <w:lang w:eastAsia="zh-CN"/>
              </w:rPr>
              <w:instrText xml:space="preserve">√</w:instrText>
            </w:r>
            <w:r>
              <w:instrText xml:space="preserve">)</w:instrText>
            </w:r>
            <w:r>
              <w:fldChar w:fldCharType="end"/>
            </w:r>
            <w:r>
              <w:t xml:space="preserve">区域  </w:t>
            </w:r>
            <w:r>
              <w:rPr/>
              <w:sym w:font="Wingdings" w:char="00FE"/>
            </w:r>
            <w:r>
              <w:t xml:space="preserve">周装箱的颜色  </w:t>
            </w:r>
            <w:r>
              <w:rPr/>
              <w:sym w:font="Wingdings" w:char="00A8"/>
            </w:r>
            <w:r>
              <w:t xml:space="preserve">批号打码 </w:t>
            </w:r>
            <w:r>
              <w:rPr/>
              <w:sym w:font="Wingdings" w:char="00A8"/>
            </w:r>
            <w:r>
              <w:t xml:space="preserve">条形码 </w:t>
            </w:r>
            <w:r>
              <w:rPr/>
              <w:sym w:font="Wingdings" w:char="00A8"/>
            </w:r>
            <w:r>
              <w:t>二维码</w:t>
            </w:r>
            <w:r>
              <w:rPr/>
              <w:sym w:font="Wingdings" w:char="00A8"/>
            </w:r>
            <w:r>
              <w:t>其他</w:t>
            </w:r>
            <w:r>
              <w:rPr>
                <w:rFonts w:hint="eastAsia"/>
              </w:rPr>
              <w:t>——周转筐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泡沫箱</w:t>
            </w:r>
          </w:p>
          <w:p/>
          <w:p>
            <w:r>
              <w:t xml:space="preserve">半成品的唯一性标识方式： </w:t>
            </w:r>
            <w:r>
              <w:rPr>
                <w:rFonts w:hint="eastAsia"/>
              </w:rPr>
              <w:t>（不涉及）</w:t>
            </w:r>
          </w:p>
          <w:p>
            <w:r>
              <w:rPr/>
              <w:sym w:font="Wingdings" w:char="00A8"/>
            </w:r>
            <w:r>
              <w:t xml:space="preserve">容器编号  </w:t>
            </w:r>
            <w:r>
              <w:rPr/>
              <w:sym w:font="Wingdings" w:char="00A8"/>
            </w:r>
            <w:r>
              <w:t xml:space="preserve">标牌  </w:t>
            </w:r>
            <w:r>
              <w:rPr/>
              <w:sym w:font="Wingdings" w:char="00A8"/>
            </w:r>
            <w:r>
              <w:t xml:space="preserve">标签  </w:t>
            </w:r>
            <w:r>
              <w:rPr/>
              <w:sym w:font="Wingdings" w:char="00A8"/>
            </w:r>
            <w:r>
              <w:t xml:space="preserve">区域  </w:t>
            </w:r>
            <w:r>
              <w:rPr/>
              <w:sym w:font="Wingdings" w:char="00A8"/>
            </w:r>
            <w:r>
              <w:t xml:space="preserve">周装箱的颜色  </w:t>
            </w:r>
            <w:r>
              <w:rPr/>
              <w:sym w:font="Wingdings" w:char="00A8"/>
            </w:r>
            <w:r>
              <w:t xml:space="preserve">批号打码 </w:t>
            </w:r>
            <w:r>
              <w:rPr/>
              <w:sym w:font="Wingdings" w:char="00A8"/>
            </w:r>
            <w:r>
              <w:t xml:space="preserve">条形码 </w:t>
            </w:r>
            <w:r>
              <w:rPr/>
              <w:sym w:font="Wingdings" w:char="00A8"/>
            </w:r>
            <w:r>
              <w:t xml:space="preserve">二维码 </w:t>
            </w:r>
            <w:r>
              <w:rPr/>
              <w:sym w:font="Wingdings" w:char="00A8"/>
            </w:r>
            <w:r>
              <w:t>其他</w:t>
            </w:r>
          </w:p>
          <w:p/>
          <w:p>
            <w:r>
              <w:t xml:space="preserve">成品的唯一性标识方式： 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/>
              <w:sym w:font="Wingdings" w:char="00A8"/>
            </w:r>
            <w:r>
              <w:t xml:space="preserve">容器编号  </w:t>
            </w:r>
            <w:r>
              <w:rPr/>
              <w:sym w:font="Wingdings" w:char="00FE"/>
            </w:r>
            <w:r>
              <w:t xml:space="preserve">标牌  </w:t>
            </w:r>
            <w:r>
              <w:rPr/>
              <w:sym w:font="Wingdings" w:char="00FE"/>
            </w:r>
            <w:r>
              <w:t xml:space="preserve">标签  </w:t>
            </w:r>
            <w:r>
              <w:fldChar w:fldCharType="begin"/>
            </w:r>
            <w:r>
              <w:instrText xml:space="preserve"> eq \o\ac(□</w:instrText>
            </w:r>
            <w:r>
              <w:rPr>
                <w:rFonts w:hint="eastAsia"/>
                <w:lang w:eastAsia="zh-CN"/>
              </w:rPr>
              <w:instrText xml:space="preserve">,</w:instrText>
            </w:r>
            <w:r>
              <w:rPr>
                <w:rFonts w:hint="eastAsia"/>
                <w:position w:val="2"/>
                <w:sz w:val="13"/>
                <w:lang w:eastAsia="zh-CN"/>
              </w:rPr>
              <w:instrText xml:space="preserve">√</w:instrText>
            </w:r>
            <w:r>
              <w:instrText xml:space="preserve">)</w:instrText>
            </w:r>
            <w:r>
              <w:fldChar w:fldCharType="end"/>
            </w:r>
            <w:r>
              <w:t xml:space="preserve">区域  </w:t>
            </w:r>
            <w:r>
              <w:rPr/>
              <w:sym w:font="Wingdings" w:char="00FE"/>
            </w:r>
            <w:r>
              <w:t xml:space="preserve">周装箱的颜色  </w:t>
            </w:r>
            <w:r>
              <w:rPr/>
              <w:sym w:font="Wingdings" w:char="00A8"/>
            </w:r>
            <w:r>
              <w:t xml:space="preserve">批号打码 </w:t>
            </w:r>
            <w:r>
              <w:rPr/>
              <w:sym w:font="Wingdings" w:char="00A8"/>
            </w:r>
            <w:r>
              <w:t xml:space="preserve">条形码 </w:t>
            </w:r>
            <w:r>
              <w:rPr/>
              <w:sym w:font="Wingdings" w:char="00A8"/>
            </w:r>
            <w:r>
              <w:t xml:space="preserve">二维码 </w:t>
            </w:r>
            <w:r>
              <w:fldChar w:fldCharType="begin"/>
            </w:r>
            <w:r>
              <w:instrText xml:space="preserve"> eq \o\ac(□)</w:instrText>
            </w:r>
            <w:r>
              <w:fldChar w:fldCharType="end"/>
            </w:r>
            <w:r>
              <w:t>其他</w:t>
            </w:r>
            <w:r>
              <w:rPr>
                <w:rFonts w:hint="eastAsia"/>
              </w:rPr>
              <w:t>—周转筐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泡沫箱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r>
              <w:t xml:space="preserve">组织于 </w:t>
            </w:r>
            <w:r>
              <w:rPr>
                <w:rFonts w:hint="eastAsia" w:ascii="宋体" w:hAnsi="宋体"/>
                <w:bCs/>
                <w:sz w:val="20"/>
                <w:szCs w:val="20"/>
                <w:u w:val="single"/>
                <w:lang w:eastAsia="zh-CN"/>
              </w:rPr>
              <w:t>2022年5月25日</w:t>
            </w:r>
            <w:r>
              <w:t>验证和测试可追溯性体系的有效性。</w:t>
            </w:r>
          </w:p>
          <w:p>
            <w:r>
              <w:t>追溯原因：</w:t>
            </w:r>
            <w:r>
              <w:rPr/>
              <w:sym w:font="Wingdings" w:char="00FE"/>
            </w:r>
            <w:r>
              <w:t xml:space="preserve">演练  </w:t>
            </w:r>
            <w:r>
              <w:rPr/>
              <w:sym w:font="Wingdings" w:char="00A8"/>
            </w:r>
            <w:r>
              <w:t xml:space="preserve">质量事故 </w:t>
            </w:r>
            <w:r>
              <w:rPr/>
              <w:sym w:font="Wingdings" w:char="00A8"/>
            </w:r>
            <w:r>
              <w:t xml:space="preserve">顾客投诉  </w:t>
            </w:r>
            <w:r>
              <w:rPr/>
              <w:sym w:font="Wingdings" w:char="00A8"/>
            </w:r>
            <w:r>
              <w:t xml:space="preserve">市场抽查不合格 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20"/>
              <w:gridCol w:w="1580"/>
              <w:gridCol w:w="1210"/>
              <w:gridCol w:w="1560"/>
              <w:gridCol w:w="1244"/>
              <w:gridCol w:w="850"/>
              <w:gridCol w:w="157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20" w:type="dxa"/>
                </w:tcPr>
                <w:p>
                  <w:r>
                    <w:t>产品批号</w:t>
                  </w:r>
                </w:p>
              </w:tc>
              <w:tc>
                <w:tcPr>
                  <w:tcW w:w="1580" w:type="dxa"/>
                </w:tcPr>
                <w:p>
                  <w:r>
                    <w:t>不合格简述</w:t>
                  </w:r>
                </w:p>
              </w:tc>
              <w:tc>
                <w:tcPr>
                  <w:tcW w:w="1210" w:type="dxa"/>
                </w:tcPr>
                <w:p>
                  <w:r>
                    <w:t>生产记录情况</w:t>
                  </w:r>
                </w:p>
              </w:tc>
              <w:tc>
                <w:tcPr>
                  <w:tcW w:w="1560" w:type="dxa"/>
                </w:tcPr>
                <w:p>
                  <w:r>
                    <w:t>检验记录情况</w:t>
                  </w:r>
                </w:p>
              </w:tc>
              <w:tc>
                <w:tcPr>
                  <w:tcW w:w="1244" w:type="dxa"/>
                </w:tcPr>
                <w:p>
                  <w:r>
                    <w:t>采购记录情况</w:t>
                  </w:r>
                </w:p>
              </w:tc>
              <w:tc>
                <w:tcPr>
                  <w:tcW w:w="850" w:type="dxa"/>
                </w:tcPr>
                <w:p>
                  <w:r>
                    <w:t>产品留样确认</w:t>
                  </w:r>
                </w:p>
              </w:tc>
              <w:tc>
                <w:tcPr>
                  <w:tcW w:w="1579" w:type="dxa"/>
                </w:tcPr>
                <w:p>
                  <w:r>
                    <w:t>销售记录追踪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20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Cs/>
                      <w:sz w:val="20"/>
                      <w:szCs w:val="20"/>
                      <w:lang w:eastAsia="zh-CN"/>
                    </w:rPr>
                    <w:t>2022年5月25日</w:t>
                  </w:r>
                </w:p>
              </w:tc>
              <w:tc>
                <w:tcPr>
                  <w:tcW w:w="1580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Cs/>
                      <w:sz w:val="20"/>
                      <w:szCs w:val="20"/>
                      <w:lang w:val="en-US" w:eastAsia="zh-CN"/>
                    </w:rPr>
                    <w:t>罗非鱼兽药残留超标（模拟）</w:t>
                  </w:r>
                </w:p>
              </w:tc>
              <w:tc>
                <w:tcPr>
                  <w:tcW w:w="1210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560" w:type="dxa"/>
                </w:tcPr>
                <w:p>
                  <w:r>
                    <w:rPr>
                      <w:rFonts w:hint="eastAsia" w:ascii="宋体" w:hAnsi="宋体"/>
                      <w:bCs/>
                      <w:sz w:val="20"/>
                      <w:szCs w:val="20"/>
                      <w:lang w:eastAsia="zh-CN"/>
                    </w:rPr>
                    <w:t>2022年5月25日</w:t>
                  </w:r>
                </w:p>
              </w:tc>
              <w:tc>
                <w:tcPr>
                  <w:tcW w:w="1244" w:type="dxa"/>
                </w:tcPr>
                <w:p>
                  <w:r>
                    <w:rPr>
                      <w:rFonts w:hint="eastAsia" w:ascii="宋体" w:hAnsi="宋体"/>
                      <w:bCs/>
                      <w:sz w:val="20"/>
                      <w:szCs w:val="20"/>
                      <w:lang w:eastAsia="zh-CN"/>
                    </w:rPr>
                    <w:t>2022年5月25日</w:t>
                  </w:r>
                </w:p>
              </w:tc>
              <w:tc>
                <w:tcPr>
                  <w:tcW w:w="850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579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Cs/>
                      <w:sz w:val="20"/>
                      <w:szCs w:val="20"/>
                      <w:lang w:val="en-US" w:eastAsia="zh-CN"/>
                    </w:rPr>
                    <w:t>配送给福建东百访港大酒店有限公司的2只罗非鱼全部召回</w:t>
                  </w:r>
                  <w:r>
                    <w:rPr>
                      <w:rFonts w:hint="eastAsia" w:ascii="宋体" w:hAnsi="宋体"/>
                      <w:bCs/>
                      <w:sz w:val="20"/>
                      <w:szCs w:val="20"/>
                    </w:rPr>
                    <w:t>，道歉并重新</w:t>
                  </w:r>
                  <w:r>
                    <w:rPr>
                      <w:rFonts w:hint="eastAsia" w:ascii="宋体" w:hAnsi="宋体"/>
                      <w:bCs/>
                      <w:sz w:val="20"/>
                      <w:szCs w:val="20"/>
                      <w:lang w:val="en-US" w:eastAsia="zh-CN"/>
                    </w:rPr>
                    <w:t>配送给予客户</w:t>
                  </w:r>
                  <w:r>
                    <w:rPr>
                      <w:rFonts w:hint="eastAsia" w:ascii="宋体" w:hAnsi="宋体"/>
                      <w:bCs/>
                      <w:sz w:val="20"/>
                      <w:szCs w:val="20"/>
                    </w:rPr>
                    <w:t>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20" w:type="dxa"/>
                </w:tcPr>
                <w:p/>
              </w:tc>
              <w:tc>
                <w:tcPr>
                  <w:tcW w:w="1580" w:type="dxa"/>
                </w:tcPr>
                <w:p/>
              </w:tc>
              <w:tc>
                <w:tcPr>
                  <w:tcW w:w="1210" w:type="dxa"/>
                </w:tcPr>
                <w:p/>
              </w:tc>
              <w:tc>
                <w:tcPr>
                  <w:tcW w:w="1560" w:type="dxa"/>
                </w:tcPr>
                <w:p/>
              </w:tc>
              <w:tc>
                <w:tcPr>
                  <w:tcW w:w="1244" w:type="dxa"/>
                </w:tcPr>
                <w:p/>
              </w:tc>
              <w:tc>
                <w:tcPr>
                  <w:tcW w:w="850" w:type="dxa"/>
                </w:tcPr>
                <w:p/>
              </w:tc>
              <w:tc>
                <w:tcPr>
                  <w:tcW w:w="1579" w:type="dxa"/>
                </w:tcPr>
                <w:p/>
              </w:tc>
            </w:tr>
          </w:tbl>
          <w:p>
            <w:pPr>
              <w:rPr>
                <w:rFonts w:hint="default" w:eastAsia="宋体"/>
                <w:u w:val="single"/>
                <w:lang w:val="en-US" w:eastAsia="zh-CN"/>
              </w:rPr>
            </w:pPr>
            <w:r>
              <w:rPr>
                <w:rFonts w:hint="eastAsia"/>
                <w:u w:val="single"/>
                <w:lang w:val="en-US" w:eastAsia="zh-CN"/>
              </w:rPr>
              <w:t>召回产品涉及追溯的原始记录未提供，已现场沟通；</w:t>
            </w:r>
          </w:p>
          <w:p>
            <w:pPr>
              <w:pStyle w:val="2"/>
            </w:pPr>
          </w:p>
          <w:p>
            <w:r>
              <w:t>可追溯性系统证据的保留期限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24</w:t>
            </w:r>
            <w:r>
              <w:rPr>
                <w:u w:val="single"/>
              </w:rPr>
              <w:t xml:space="preserve"> </w:t>
            </w:r>
            <w:r>
              <w:t xml:space="preserve">个月，至少包括产品的保质期 </w:t>
            </w:r>
            <w:r>
              <w:rPr>
                <w:rFonts w:hint="eastAsia"/>
                <w:u w:val="single"/>
                <w:lang w:eastAsia="zh-CN"/>
              </w:rPr>
              <w:t>——</w:t>
            </w:r>
            <w:r>
              <w:rPr>
                <w:rFonts w:hint="eastAsia"/>
                <w:u w:val="single"/>
                <w:lang w:val="en-US" w:eastAsia="zh-CN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t>个月。</w:t>
            </w:r>
          </w:p>
          <w:p/>
          <w:p>
            <w:pPr>
              <w:rPr>
                <w:rFonts w:hint="default" w:eastAsia="宋体"/>
                <w:u w:val="single"/>
                <w:lang w:val="en-US" w:eastAsia="zh-CN"/>
              </w:rPr>
            </w:pPr>
            <w:r>
              <w:t>产品留样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u w:val="none"/>
                <w:lang w:val="en-US" w:eastAsia="zh-CN"/>
              </w:rPr>
              <w:t>——不涉及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08"/>
              <w:gridCol w:w="1808"/>
              <w:gridCol w:w="1809"/>
              <w:gridCol w:w="1809"/>
              <w:gridCol w:w="180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08" w:type="dxa"/>
                </w:tcPr>
                <w:p>
                  <w:r>
                    <w:t>产品名称</w:t>
                  </w:r>
                </w:p>
              </w:tc>
              <w:tc>
                <w:tcPr>
                  <w:tcW w:w="1808" w:type="dxa"/>
                </w:tcPr>
                <w:p>
                  <w:r>
                    <w:t>规格</w:t>
                  </w:r>
                </w:p>
              </w:tc>
              <w:tc>
                <w:tcPr>
                  <w:tcW w:w="1809" w:type="dxa"/>
                </w:tcPr>
                <w:p>
                  <w:r>
                    <w:t>生产日期</w:t>
                  </w:r>
                </w:p>
              </w:tc>
              <w:tc>
                <w:tcPr>
                  <w:tcW w:w="1809" w:type="dxa"/>
                </w:tcPr>
                <w:p>
                  <w:r>
                    <w:t>保存期限</w:t>
                  </w:r>
                </w:p>
              </w:tc>
              <w:tc>
                <w:tcPr>
                  <w:tcW w:w="1809" w:type="dxa"/>
                </w:tcPr>
                <w:p>
                  <w:r>
                    <w:t>保存状态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08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808" w:type="dxa"/>
                </w:tcPr>
                <w:p/>
              </w:tc>
              <w:tc>
                <w:tcPr>
                  <w:tcW w:w="1809" w:type="dxa"/>
                </w:tcPr>
                <w:p/>
              </w:tc>
              <w:tc>
                <w:tcPr>
                  <w:tcW w:w="1809" w:type="dxa"/>
                </w:tcPr>
                <w:p/>
              </w:tc>
              <w:tc>
                <w:tcPr>
                  <w:tcW w:w="1809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08" w:type="dxa"/>
                </w:tcPr>
                <w:p/>
              </w:tc>
              <w:tc>
                <w:tcPr>
                  <w:tcW w:w="1808" w:type="dxa"/>
                </w:tcPr>
                <w:p/>
              </w:tc>
              <w:tc>
                <w:tcPr>
                  <w:tcW w:w="1809" w:type="dxa"/>
                </w:tcPr>
                <w:p/>
              </w:tc>
              <w:tc>
                <w:tcPr>
                  <w:tcW w:w="1809" w:type="dxa"/>
                </w:tcPr>
                <w:p/>
              </w:tc>
              <w:tc>
                <w:tcPr>
                  <w:tcW w:w="1809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08" w:type="dxa"/>
                </w:tcPr>
                <w:p/>
              </w:tc>
              <w:tc>
                <w:tcPr>
                  <w:tcW w:w="1808" w:type="dxa"/>
                </w:tcPr>
                <w:p/>
              </w:tc>
              <w:tc>
                <w:tcPr>
                  <w:tcW w:w="1809" w:type="dxa"/>
                </w:tcPr>
                <w:p/>
              </w:tc>
              <w:tc>
                <w:tcPr>
                  <w:tcW w:w="1809" w:type="dxa"/>
                </w:tcPr>
                <w:p/>
              </w:tc>
              <w:tc>
                <w:tcPr>
                  <w:tcW w:w="1809" w:type="dxa"/>
                </w:tcPr>
                <w:p/>
              </w:tc>
            </w:tr>
          </w:tbl>
          <w:p/>
          <w:p>
            <w:r>
              <w:t>系统的验证包括最终产品数量与成分数量的核对，作为追溯性有效性的证据。</w:t>
            </w:r>
            <w:r>
              <w:rPr/>
              <w:sym w:font="Wingdings" w:char="00FE"/>
            </w:r>
            <w:r>
              <w:t xml:space="preserve">是  </w:t>
            </w:r>
            <w:r>
              <w:rPr/>
              <w:sym w:font="Wingdings" w:char="00A8"/>
            </w:r>
            <w:r>
              <w:t>否</w:t>
            </w:r>
          </w:p>
          <w:p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1271" w:type="dxa"/>
            <w:gridSpan w:val="2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2197" w:type="dxa"/>
            <w:gridSpan w:val="4"/>
            <w:vMerge w:val="continue"/>
            <w:shd w:val="clear" w:color="auto" w:fill="auto"/>
          </w:tcPr>
          <w:p/>
        </w:tc>
        <w:tc>
          <w:tcPr>
            <w:tcW w:w="922" w:type="dxa"/>
            <w:gridSpan w:val="3"/>
            <w:vMerge w:val="continue"/>
            <w:shd w:val="clear" w:color="auto" w:fill="auto"/>
          </w:tcPr>
          <w:p/>
        </w:tc>
        <w:tc>
          <w:tcPr>
            <w:tcW w:w="745" w:type="dxa"/>
            <w:gridSpan w:val="2"/>
            <w:shd w:val="clear" w:color="auto" w:fill="auto"/>
          </w:tcPr>
          <w:p>
            <w:r>
              <w:rPr>
                <w:rFonts w:hint="eastAsia"/>
                <w:lang w:val="en-US" w:eastAsia="zh-CN"/>
              </w:rPr>
              <w:t>视频</w:t>
            </w:r>
            <w:r>
              <w:t>观察</w:t>
            </w:r>
          </w:p>
        </w:tc>
        <w:tc>
          <w:tcPr>
            <w:tcW w:w="9255" w:type="dxa"/>
            <w:gridSpan w:val="2"/>
            <w:shd w:val="clear" w:color="auto" w:fill="auto"/>
          </w:tcPr>
          <w:p>
            <w:pPr>
              <w:rPr>
                <w:rFonts w:hint="default" w:eastAsia="宋体"/>
                <w:highlight w:val="none"/>
                <w:u w:val="single"/>
                <w:lang w:val="en-US" w:eastAsia="zh-CN"/>
              </w:rPr>
            </w:pPr>
            <w:r>
              <w:rPr>
                <w:highlight w:val="none"/>
              </w:rPr>
              <w:t>在生产或服务场所对原材料的标识情况：</w:t>
            </w:r>
            <w:r>
              <w:rPr>
                <w:highlight w:val="none"/>
              </w:rPr>
              <w:fldChar w:fldCharType="begin"/>
            </w:r>
            <w:r>
              <w:rPr>
                <w:highlight w:val="none"/>
              </w:rPr>
              <w:instrText xml:space="preserve"> eq \o\ac(□</w:instrText>
            </w:r>
            <w:r>
              <w:rPr>
                <w:rFonts w:hint="eastAsia"/>
                <w:highlight w:val="none"/>
                <w:lang w:eastAsia="zh-CN"/>
              </w:rPr>
              <w:instrText xml:space="preserve">,</w:instrText>
            </w:r>
            <w:r>
              <w:rPr>
                <w:rFonts w:hint="eastAsia"/>
                <w:position w:val="2"/>
                <w:sz w:val="13"/>
                <w:highlight w:val="none"/>
                <w:lang w:eastAsia="zh-CN"/>
              </w:rPr>
              <w:instrText xml:space="preserve">√</w:instrText>
            </w:r>
            <w:r>
              <w:rPr>
                <w:highlight w:val="none"/>
              </w:rPr>
              <w:instrText xml:space="preserve">)</w:instrText>
            </w:r>
            <w:r>
              <w:rPr>
                <w:highlight w:val="none"/>
              </w:rPr>
              <w:fldChar w:fldCharType="end"/>
            </w:r>
            <w:r>
              <w:rPr>
                <w:highlight w:val="none"/>
              </w:rPr>
              <w:t xml:space="preserve">区分清楚  </w:t>
            </w:r>
            <w:r>
              <w:rPr>
                <w:highlight w:val="none"/>
              </w:rPr>
              <w:fldChar w:fldCharType="begin"/>
            </w:r>
            <w:r>
              <w:rPr>
                <w:highlight w:val="none"/>
              </w:rPr>
              <w:instrText xml:space="preserve"> eq \o\ac(□</w:instrText>
            </w:r>
            <w:r>
              <w:rPr>
                <w:rFonts w:hint="eastAsia"/>
                <w:highlight w:val="none"/>
                <w:lang w:eastAsia="zh-CN"/>
              </w:rPr>
              <w:instrText xml:space="preserve">,</w:instrText>
            </w:r>
            <w:r>
              <w:rPr>
                <w:rFonts w:hint="eastAsia"/>
                <w:position w:val="2"/>
                <w:sz w:val="13"/>
                <w:highlight w:val="none"/>
                <w:lang w:eastAsia="zh-CN"/>
              </w:rPr>
              <w:instrText xml:space="preserve">√</w:instrText>
            </w:r>
            <w:r>
              <w:rPr>
                <w:highlight w:val="none"/>
              </w:rPr>
              <w:instrText xml:space="preserve">)</w:instrText>
            </w:r>
            <w:r>
              <w:rPr>
                <w:highlight w:val="none"/>
              </w:rPr>
              <w:fldChar w:fldCharType="end"/>
            </w:r>
            <w:r>
              <w:rPr>
                <w:highlight w:val="none"/>
              </w:rPr>
              <w:t xml:space="preserve">防护得当 </w:t>
            </w:r>
            <w:r>
              <w:rPr>
                <w:highlight w:val="none"/>
              </w:rPr>
              <w:sym w:font="Wingdings" w:char="00A8"/>
            </w:r>
            <w:r>
              <w:rPr>
                <w:highlight w:val="none"/>
              </w:rPr>
              <w:t>不适宜说明</w:t>
            </w:r>
            <w:r>
              <w:rPr>
                <w:highlight w:val="none"/>
                <w:u w:val="single"/>
              </w:rPr>
              <w:t>：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未存放原材料，已全部配送给客户</w:t>
            </w:r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  <w:t>在生产或服务场所对半成品的标识情况：</w:t>
            </w:r>
            <w:r>
              <w:rPr>
                <w:highlight w:val="none"/>
              </w:rPr>
              <w:sym w:font="Wingdings" w:char="00A8"/>
            </w:r>
            <w:r>
              <w:rPr>
                <w:highlight w:val="none"/>
              </w:rPr>
              <w:t xml:space="preserve">区分清楚  </w:t>
            </w:r>
            <w:r>
              <w:rPr>
                <w:highlight w:val="none"/>
              </w:rPr>
              <w:sym w:font="Wingdings" w:char="00A8"/>
            </w:r>
            <w:r>
              <w:rPr>
                <w:highlight w:val="none"/>
              </w:rPr>
              <w:t xml:space="preserve">防护得当 </w:t>
            </w:r>
            <w:r>
              <w:rPr>
                <w:highlight w:val="none"/>
              </w:rPr>
              <w:sym w:font="Wingdings" w:char="00A8"/>
            </w:r>
            <w:r>
              <w:rPr>
                <w:highlight w:val="none"/>
              </w:rPr>
              <w:t xml:space="preserve">不适宜说明： </w:t>
            </w:r>
            <w:r>
              <w:rPr>
                <w:rFonts w:hint="eastAsia"/>
                <w:highlight w:val="none"/>
              </w:rPr>
              <w:t>（不涉及）</w:t>
            </w:r>
          </w:p>
          <w:p>
            <w:pPr>
              <w:rPr>
                <w:rFonts w:hint="default" w:eastAsia="宋体"/>
                <w:highlight w:val="none"/>
                <w:u w:val="single"/>
                <w:lang w:val="en-US" w:eastAsia="zh-CN"/>
              </w:rPr>
            </w:pPr>
            <w:r>
              <w:rPr>
                <w:highlight w:val="none"/>
              </w:rPr>
              <w:t xml:space="preserve">在生产或服务场所对成品的标识情况：  </w:t>
            </w:r>
            <w:r>
              <w:rPr>
                <w:highlight w:val="none"/>
              </w:rPr>
              <w:fldChar w:fldCharType="begin"/>
            </w:r>
            <w:r>
              <w:rPr>
                <w:highlight w:val="none"/>
              </w:rPr>
              <w:instrText xml:space="preserve"> eq \o\ac(□)</w:instrText>
            </w:r>
            <w:r>
              <w:rPr>
                <w:highlight w:val="none"/>
              </w:rPr>
              <w:fldChar w:fldCharType="end"/>
            </w:r>
            <w:r>
              <w:rPr>
                <w:highlight w:val="none"/>
              </w:rPr>
              <w:t xml:space="preserve">区分清楚  </w:t>
            </w:r>
            <w:r>
              <w:rPr>
                <w:highlight w:val="none"/>
              </w:rPr>
              <w:fldChar w:fldCharType="begin"/>
            </w:r>
            <w:r>
              <w:rPr>
                <w:highlight w:val="none"/>
              </w:rPr>
              <w:instrText xml:space="preserve"> eq \o\ac(□)</w:instrText>
            </w:r>
            <w:r>
              <w:rPr>
                <w:highlight w:val="none"/>
              </w:rPr>
              <w:fldChar w:fldCharType="end"/>
            </w:r>
            <w:r>
              <w:rPr>
                <w:highlight w:val="none"/>
              </w:rPr>
              <w:t xml:space="preserve">防护得当 </w:t>
            </w:r>
            <w:r>
              <w:rPr>
                <w:highlight w:val="none"/>
              </w:rPr>
              <w:sym w:font="Wingdings" w:char="00A8"/>
            </w:r>
            <w:r>
              <w:rPr>
                <w:highlight w:val="none"/>
              </w:rPr>
              <w:t>不适宜说明：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同原材料</w:t>
            </w:r>
          </w:p>
          <w:p>
            <w:pPr>
              <w:rPr>
                <w:highlight w:val="none"/>
              </w:rPr>
            </w:pPr>
          </w:p>
          <w:p>
            <w:pPr>
              <w:rPr>
                <w:rFonts w:hint="eastAsia"/>
                <w:highlight w:val="none"/>
                <w:u w:val="single"/>
                <w:lang w:val="en-US" w:eastAsia="zh-CN"/>
              </w:rPr>
            </w:pPr>
            <w:r>
              <w:rPr>
                <w:highlight w:val="none"/>
              </w:rPr>
              <w:t>在原材料库房的标识情况：</w:t>
            </w:r>
            <w:r>
              <w:rPr>
                <w:highlight w:val="none"/>
              </w:rPr>
              <w:fldChar w:fldCharType="begin"/>
            </w:r>
            <w:r>
              <w:rPr>
                <w:highlight w:val="none"/>
              </w:rPr>
              <w:instrText xml:space="preserve"> eq \o\ac(□</w:instrText>
            </w:r>
            <w:r>
              <w:rPr>
                <w:rFonts w:hint="eastAsia"/>
                <w:highlight w:val="none"/>
                <w:lang w:eastAsia="zh-CN"/>
              </w:rPr>
              <w:instrText xml:space="preserve">,</w:instrText>
            </w:r>
            <w:r>
              <w:rPr>
                <w:rFonts w:hint="eastAsia"/>
                <w:position w:val="2"/>
                <w:sz w:val="13"/>
                <w:highlight w:val="none"/>
                <w:lang w:eastAsia="zh-CN"/>
              </w:rPr>
              <w:instrText xml:space="preserve">√</w:instrText>
            </w:r>
            <w:r>
              <w:rPr>
                <w:highlight w:val="none"/>
              </w:rPr>
              <w:instrText xml:space="preserve">)</w:instrText>
            </w:r>
            <w:r>
              <w:rPr>
                <w:highlight w:val="none"/>
              </w:rPr>
              <w:fldChar w:fldCharType="end"/>
            </w:r>
            <w:r>
              <w:rPr>
                <w:highlight w:val="none"/>
              </w:rPr>
              <w:t xml:space="preserve">区分清楚  </w:t>
            </w:r>
            <w:r>
              <w:rPr>
                <w:highlight w:val="none"/>
              </w:rPr>
              <w:fldChar w:fldCharType="begin"/>
            </w:r>
            <w:r>
              <w:rPr>
                <w:highlight w:val="none"/>
              </w:rPr>
              <w:instrText xml:space="preserve"> eq \o\ac(□</w:instrText>
            </w:r>
            <w:r>
              <w:rPr>
                <w:rFonts w:hint="eastAsia"/>
                <w:highlight w:val="none"/>
                <w:lang w:eastAsia="zh-CN"/>
              </w:rPr>
              <w:instrText xml:space="preserve">,</w:instrText>
            </w:r>
            <w:r>
              <w:rPr>
                <w:rFonts w:hint="eastAsia"/>
                <w:position w:val="2"/>
                <w:sz w:val="13"/>
                <w:highlight w:val="none"/>
                <w:lang w:eastAsia="zh-CN"/>
              </w:rPr>
              <w:instrText xml:space="preserve">√</w:instrText>
            </w:r>
            <w:r>
              <w:rPr>
                <w:highlight w:val="none"/>
              </w:rPr>
              <w:instrText xml:space="preserve">)</w:instrText>
            </w:r>
            <w:r>
              <w:rPr>
                <w:highlight w:val="none"/>
              </w:rPr>
              <w:fldChar w:fldCharType="end"/>
            </w:r>
            <w:r>
              <w:rPr>
                <w:highlight w:val="none"/>
              </w:rPr>
              <w:t xml:space="preserve">防护得当 </w:t>
            </w:r>
            <w:r>
              <w:rPr>
                <w:highlight w:val="none"/>
              </w:rPr>
              <w:sym w:font="Wingdings" w:char="00A8"/>
            </w:r>
            <w:r>
              <w:rPr>
                <w:highlight w:val="none"/>
              </w:rPr>
              <w:t>不适宜说明：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冷藏库存放有少量的畜肉、粗存放于货架上；</w:t>
            </w:r>
          </w:p>
          <w:p>
            <w:pPr>
              <w:rPr>
                <w:rFonts w:hint="eastAsia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highlight w:val="none"/>
                <w:u w:val="single"/>
                <w:lang w:val="en-US" w:eastAsia="zh-CN"/>
              </w:rPr>
              <w:t>冷冻库房存放有少量冷冻肉类，</w:t>
            </w:r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  <w:t>在半成品库房的标识情况：</w:t>
            </w:r>
            <w:r>
              <w:rPr>
                <w:highlight w:val="none"/>
              </w:rPr>
              <w:sym w:font="Wingdings" w:char="00A8"/>
            </w:r>
            <w:r>
              <w:rPr>
                <w:highlight w:val="none"/>
              </w:rPr>
              <w:t xml:space="preserve">区分清楚  </w:t>
            </w:r>
            <w:r>
              <w:rPr>
                <w:highlight w:val="none"/>
              </w:rPr>
              <w:sym w:font="Wingdings" w:char="00A8"/>
            </w:r>
            <w:r>
              <w:rPr>
                <w:highlight w:val="none"/>
              </w:rPr>
              <w:t xml:space="preserve">防护得当 </w:t>
            </w:r>
            <w:r>
              <w:rPr>
                <w:highlight w:val="none"/>
              </w:rPr>
              <w:sym w:font="Wingdings" w:char="00A8"/>
            </w:r>
            <w:r>
              <w:rPr>
                <w:highlight w:val="none"/>
              </w:rPr>
              <w:t xml:space="preserve">不适宜说明： </w:t>
            </w:r>
            <w:r>
              <w:rPr>
                <w:rFonts w:hint="eastAsia"/>
                <w:highlight w:val="none"/>
              </w:rPr>
              <w:t>（不涉及）</w:t>
            </w:r>
          </w:p>
          <w:p>
            <w:pPr>
              <w:rPr>
                <w:rFonts w:hint="default" w:eastAsia="宋体"/>
                <w:highlight w:val="none"/>
                <w:u w:val="single"/>
                <w:lang w:val="en-US" w:eastAsia="zh-CN"/>
              </w:rPr>
            </w:pPr>
            <w:r>
              <w:rPr>
                <w:highlight w:val="none"/>
              </w:rPr>
              <w:t xml:space="preserve">在成品库房的标识情况：  </w:t>
            </w:r>
            <w:r>
              <w:rPr>
                <w:highlight w:val="none"/>
              </w:rPr>
              <w:fldChar w:fldCharType="begin"/>
            </w:r>
            <w:r>
              <w:rPr>
                <w:highlight w:val="none"/>
              </w:rPr>
              <w:instrText xml:space="preserve"> eq \o\ac(□)</w:instrText>
            </w:r>
            <w:r>
              <w:rPr>
                <w:highlight w:val="none"/>
              </w:rPr>
              <w:fldChar w:fldCharType="end"/>
            </w:r>
            <w:r>
              <w:rPr>
                <w:highlight w:val="none"/>
              </w:rPr>
              <w:t xml:space="preserve">区分清楚  </w:t>
            </w:r>
            <w:r>
              <w:rPr>
                <w:highlight w:val="none"/>
              </w:rPr>
              <w:fldChar w:fldCharType="begin"/>
            </w:r>
            <w:r>
              <w:rPr>
                <w:highlight w:val="none"/>
              </w:rPr>
              <w:instrText xml:space="preserve"> eq \o\ac(□)</w:instrText>
            </w:r>
            <w:r>
              <w:rPr>
                <w:highlight w:val="none"/>
              </w:rPr>
              <w:fldChar w:fldCharType="end"/>
            </w:r>
            <w:r>
              <w:rPr>
                <w:highlight w:val="none"/>
              </w:rPr>
              <w:t xml:space="preserve">防护得当 </w:t>
            </w:r>
            <w:r>
              <w:rPr>
                <w:highlight w:val="none"/>
              </w:rPr>
              <w:sym w:font="Wingdings" w:char="00A8"/>
            </w:r>
            <w:r>
              <w:rPr>
                <w:highlight w:val="none"/>
              </w:rPr>
              <w:t>不适宜说明：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同原材料</w:t>
            </w:r>
          </w:p>
          <w:p/>
        </w:tc>
        <w:tc>
          <w:tcPr>
            <w:tcW w:w="1271" w:type="dxa"/>
            <w:gridSpan w:val="2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trHeight w:val="468" w:hRule="atLeast"/>
        </w:trPr>
        <w:tc>
          <w:tcPr>
            <w:tcW w:w="2174" w:type="dxa"/>
            <w:gridSpan w:val="2"/>
            <w:vMerge w:val="restart"/>
            <w:shd w:val="clear" w:color="auto" w:fill="auto"/>
          </w:tcPr>
          <w:p>
            <w:r>
              <w:t>应急预案</w:t>
            </w:r>
          </w:p>
        </w:tc>
        <w:tc>
          <w:tcPr>
            <w:tcW w:w="936" w:type="dxa"/>
            <w:gridSpan w:val="4"/>
            <w:vMerge w:val="restart"/>
            <w:shd w:val="clear" w:color="auto" w:fill="auto"/>
          </w:tcPr>
          <w:p>
            <w:r>
              <w:t>F8.4</w:t>
            </w:r>
          </w:p>
          <w:p/>
        </w:tc>
        <w:tc>
          <w:tcPr>
            <w:tcW w:w="745" w:type="dxa"/>
            <w:gridSpan w:val="2"/>
            <w:shd w:val="clear" w:color="auto" w:fill="auto"/>
          </w:tcPr>
          <w:p>
            <w:r>
              <w:t>文件名称</w:t>
            </w:r>
          </w:p>
        </w:tc>
        <w:tc>
          <w:tcPr>
            <w:tcW w:w="9255" w:type="dxa"/>
            <w:gridSpan w:val="2"/>
            <w:shd w:val="clear" w:color="auto" w:fill="auto"/>
          </w:tcPr>
          <w:p>
            <w:r>
              <w:t>如：</w:t>
            </w:r>
            <w:r>
              <w:rPr/>
              <w:sym w:font="Wingdings" w:char="00FE"/>
            </w:r>
            <w:r>
              <w:t>《应急准备和响应控制程序》、</w:t>
            </w:r>
            <w:r>
              <w:rPr/>
              <w:sym w:font="Wingdings" w:char="00A8"/>
            </w:r>
            <w:r>
              <w:t>《应急预案》、</w:t>
            </w:r>
            <w:r>
              <w:rPr/>
              <w:sym w:font="Wingdings" w:char="00A8"/>
            </w:r>
            <w:r>
              <w:t>《突发事件准备和响应控制程序》</w:t>
            </w:r>
          </w:p>
        </w:tc>
        <w:tc>
          <w:tcPr>
            <w:tcW w:w="1271" w:type="dxa"/>
            <w:gridSpan w:val="2"/>
            <w:vMerge w:val="restart"/>
            <w:shd w:val="clear" w:color="auto" w:fill="auto"/>
          </w:tcPr>
          <w:p>
            <w:r>
              <w:rPr/>
              <w:sym w:font="Wingdings" w:char="00FE"/>
            </w:r>
            <w:r>
              <w:t>符合</w:t>
            </w:r>
          </w:p>
          <w:p>
            <w:r>
              <w:rPr/>
              <w:sym w:font="Wingdings" w:char="00A8"/>
            </w:r>
            <w: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trHeight w:val="180" w:hRule="atLeast"/>
        </w:trPr>
        <w:tc>
          <w:tcPr>
            <w:tcW w:w="2174" w:type="dxa"/>
            <w:gridSpan w:val="2"/>
            <w:vMerge w:val="continue"/>
            <w:shd w:val="clear" w:color="auto" w:fill="auto"/>
          </w:tcPr>
          <w:p/>
        </w:tc>
        <w:tc>
          <w:tcPr>
            <w:tcW w:w="936" w:type="dxa"/>
            <w:gridSpan w:val="4"/>
            <w:vMerge w:val="continue"/>
            <w:shd w:val="clear" w:color="auto" w:fill="auto"/>
          </w:tcPr>
          <w:p/>
        </w:tc>
        <w:tc>
          <w:tcPr>
            <w:tcW w:w="745" w:type="dxa"/>
            <w:gridSpan w:val="2"/>
            <w:shd w:val="clear" w:color="auto" w:fill="auto"/>
          </w:tcPr>
          <w:p>
            <w:r>
              <w:t>运行证据</w:t>
            </w:r>
          </w:p>
        </w:tc>
        <w:tc>
          <w:tcPr>
            <w:tcW w:w="9255" w:type="dxa"/>
            <w:gridSpan w:val="2"/>
            <w:shd w:val="clear" w:color="auto" w:fill="auto"/>
          </w:tcPr>
          <w:p>
            <w:r>
              <w:t>可能影响食品安全事故和/或紧急情况的示例包括：</w:t>
            </w:r>
          </w:p>
          <w:p>
            <w:r>
              <w:rPr/>
              <w:sym w:font="Wingdings" w:char="00FE"/>
            </w:r>
            <w:r>
              <w:t xml:space="preserve">自然灾害        </w:t>
            </w:r>
            <w:r>
              <w:rPr/>
              <w:sym w:font="Wingdings" w:char="00FE"/>
            </w:r>
            <w:r>
              <w:t xml:space="preserve">环境事故      </w:t>
            </w:r>
            <w:r>
              <w:rPr/>
              <w:sym w:font="Wingdings" w:char="00FE"/>
            </w:r>
            <w:r>
              <w:t xml:space="preserve">生物恐怖主义   </w:t>
            </w:r>
            <w:r>
              <w:rPr/>
              <w:sym w:font="Wingdings" w:char="00FE"/>
            </w:r>
            <w:r>
              <w:t xml:space="preserve">工作场所事故       </w:t>
            </w:r>
            <w:r>
              <w:rPr/>
              <w:sym w:font="Wingdings" w:char="00FE"/>
            </w:r>
            <w:r>
              <w:t>食品中毒</w:t>
            </w:r>
          </w:p>
          <w:p>
            <w:r>
              <w:rPr/>
              <w:sym w:font="Wingdings" w:char="00FE"/>
            </w:r>
            <w:r>
              <w:t xml:space="preserve">突发公共卫生事件   </w:t>
            </w:r>
            <w:r>
              <w:rPr/>
              <w:sym w:font="Wingdings" w:char="00A8"/>
            </w:r>
            <w:r>
              <w:t xml:space="preserve">水的中断    </w:t>
            </w:r>
            <w:r>
              <w:rPr/>
              <w:sym w:font="Wingdings" w:char="00FE"/>
            </w:r>
            <w:r>
              <w:t xml:space="preserve">电的中断     </w:t>
            </w:r>
            <w:r>
              <w:rPr/>
              <w:sym w:font="Wingdings" w:char="00FE"/>
            </w:r>
            <w:r>
              <w:t xml:space="preserve">制冷供应服务中断   </w:t>
            </w:r>
            <w:r>
              <w:rPr/>
              <w:sym w:font="Wingdings" w:char="00FE"/>
            </w:r>
            <w:r>
              <w:t>其他—食品供应链的突变</w:t>
            </w:r>
          </w:p>
          <w:p/>
          <w:p>
            <w:r>
              <w:t>组织应预先制定应对的方案和措施，必要时做出响应，以减少食品可能发生安全危害的影响。</w:t>
            </w:r>
          </w:p>
          <w:p>
            <w:r>
              <w:t>见</w:t>
            </w:r>
            <w:r>
              <w:rPr/>
              <w:sym w:font="Wingdings" w:char="00FE"/>
            </w:r>
            <w:r>
              <w:t>《应急准备和响应控制程序》、</w:t>
            </w:r>
            <w:r>
              <w:rPr/>
              <w:sym w:font="Wingdings" w:char="00FE"/>
            </w:r>
            <w:r>
              <w:t>《应急预案》、</w:t>
            </w:r>
            <w:r>
              <w:rPr/>
              <w:sym w:font="Wingdings" w:char="00A8"/>
            </w:r>
            <w:r>
              <w:t>《突发事件准备和响应控制程序》</w:t>
            </w:r>
          </w:p>
          <w:p/>
          <w:p>
            <w:r>
              <w:t>本部门是否发生食品安全方面的应急的情况：</w:t>
            </w:r>
          </w:p>
          <w:p>
            <w:pPr>
              <w:rPr>
                <w:u w:val="single"/>
              </w:rPr>
            </w:pPr>
            <w:r>
              <w:rPr/>
              <w:sym w:font="Wingdings" w:char="00FE"/>
            </w:r>
            <w:r>
              <w:t xml:space="preserve">未发生 </w:t>
            </w:r>
            <w:r>
              <w:rPr/>
              <w:sym w:font="Wingdings" w:char="00A8"/>
            </w:r>
            <w:r>
              <w:t>已发生，说明</w:t>
            </w:r>
            <w:r>
              <w:rPr>
                <w:u w:val="single"/>
              </w:rPr>
              <w:t xml:space="preserve">                      </w:t>
            </w:r>
          </w:p>
          <w:p/>
          <w:p>
            <w:r>
              <w:t>本部门是否发生食品安全方面的应急演练：</w:t>
            </w:r>
          </w:p>
          <w:p>
            <w:pPr>
              <w:rPr>
                <w:rFonts w:hint="default"/>
                <w:lang w:val="en-US"/>
              </w:rPr>
            </w:pPr>
            <w:r>
              <w:rPr/>
              <w:sym w:font="Wingdings" w:char="00FE"/>
            </w:r>
            <w:r>
              <w:t>参加公司组织的应急演练</w:t>
            </w:r>
            <w:r>
              <w:rPr>
                <w:u w:val="single"/>
              </w:rPr>
              <w:t xml:space="preserve">  </w:t>
            </w:r>
            <w:r>
              <w:rPr>
                <w:rFonts w:hint="eastAsia"/>
                <w:u w:val="single"/>
                <w:lang w:val="en-US" w:eastAsia="zh-CN"/>
              </w:rPr>
              <w:t xml:space="preserve">2022.06.20 </w:t>
            </w:r>
          </w:p>
          <w:p>
            <w:pPr>
              <w:rPr>
                <w:u w:val="single"/>
              </w:rPr>
            </w:pPr>
            <w:r>
              <w:rPr/>
              <w:sym w:font="Wingdings" w:char="00A8"/>
            </w:r>
            <w:r>
              <w:t>本部门组织的专项应急演练 ，说明</w:t>
            </w:r>
            <w:r>
              <w:rPr>
                <w:u w:val="single"/>
              </w:rPr>
              <w:t xml:space="preserve">                </w:t>
            </w:r>
          </w:p>
          <w:p>
            <w:pPr>
              <w:rPr>
                <w:u w:val="single"/>
              </w:rPr>
            </w:pP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36"/>
              <w:gridCol w:w="2084"/>
              <w:gridCol w:w="2913"/>
              <w:gridCol w:w="211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936" w:type="dxa"/>
                </w:tcPr>
                <w:p>
                  <w:r>
                    <w:t>紧急情况简述</w:t>
                  </w:r>
                </w:p>
              </w:tc>
              <w:tc>
                <w:tcPr>
                  <w:tcW w:w="2084" w:type="dxa"/>
                </w:tcPr>
                <w:p>
                  <w:r>
                    <w:t>性质</w:t>
                  </w:r>
                </w:p>
              </w:tc>
              <w:tc>
                <w:tcPr>
                  <w:tcW w:w="2913" w:type="dxa"/>
                </w:tcPr>
                <w:p>
                  <w:r>
                    <w:t>相应预案名称</w:t>
                  </w:r>
                </w:p>
              </w:tc>
              <w:tc>
                <w:tcPr>
                  <w:tcW w:w="2110" w:type="dxa"/>
                </w:tcPr>
                <w:p>
                  <w:r>
                    <w:t>效果评价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火灾应急演练2022.06.20</w:t>
                  </w:r>
                </w:p>
              </w:tc>
              <w:tc>
                <w:tcPr>
                  <w:tcW w:w="2084" w:type="dxa"/>
                </w:tcPr>
                <w:p>
                  <w:r>
                    <w:rPr/>
                    <w:sym w:font="Wingdings" w:char="00A8"/>
                  </w:r>
                  <w:r>
                    <w:t>实际发生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/>
                    <w:sym w:font="Wingdings" w:char="00FE"/>
                  </w:r>
                  <w:r>
                    <w:t>演练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消防应急预案</w:t>
                  </w:r>
                </w:p>
              </w:tc>
              <w:tc>
                <w:tcPr>
                  <w:tcW w:w="2110" w:type="dxa"/>
                </w:tcPr>
                <w:p>
                  <w:r>
                    <w:rPr/>
                    <w:sym w:font="Wingdings" w:char="00FE"/>
                  </w:r>
                  <w:r>
                    <w:t xml:space="preserve">有效  </w:t>
                  </w:r>
                  <w:r>
                    <w:rPr/>
                    <w:sym w:font="Wingdings" w:char="00A8"/>
                  </w:r>
                  <w:r>
                    <w:t>无效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</w:p>
              </w:tc>
              <w:tc>
                <w:tcPr>
                  <w:tcW w:w="2084" w:type="dxa"/>
                </w:tcPr>
                <w:p>
                  <w:r>
                    <w:rPr/>
                    <w:sym w:font="Wingdings" w:char="00A8"/>
                  </w:r>
                  <w:r>
                    <w:t>实际发生</w:t>
                  </w:r>
                  <w:r>
                    <w:rPr>
                      <w:rFonts w:hint="eastAsia"/>
                    </w:rPr>
                    <w:t xml:space="preserve"> </w:t>
                  </w:r>
                  <w:bookmarkStart w:id="1" w:name="_GoBack"/>
                  <w:bookmarkEnd w:id="1"/>
                  <w:r>
                    <w:rPr/>
                    <w:sym w:font="Wingdings" w:char="00A8"/>
                  </w:r>
                  <w:r>
                    <w:t>演练</w:t>
                  </w:r>
                </w:p>
              </w:tc>
              <w:tc>
                <w:tcPr>
                  <w:tcW w:w="2913" w:type="dxa"/>
                </w:tcPr>
                <w:p>
                  <w:r>
                    <w:rPr>
                      <w:rFonts w:hint="eastAsia"/>
                      <w:lang w:val="en-US" w:eastAsia="zh-CN"/>
                    </w:rPr>
                    <w:t>应急预案</w:t>
                  </w:r>
                </w:p>
              </w:tc>
              <w:tc>
                <w:tcPr>
                  <w:tcW w:w="2110" w:type="dxa"/>
                </w:tcPr>
                <w:p>
                  <w:r>
                    <w:rPr/>
                    <w:sym w:font="Wingdings" w:char="00A8"/>
                  </w:r>
                  <w:r>
                    <w:t xml:space="preserve">有效  </w:t>
                  </w:r>
                  <w:r>
                    <w:rPr/>
                    <w:sym w:font="Wingdings" w:char="00A8"/>
                  </w:r>
                  <w:r>
                    <w:t>无效</w:t>
                  </w:r>
                </w:p>
              </w:tc>
            </w:tr>
          </w:tbl>
          <w:p/>
          <w:p>
            <w:r>
              <w:t>对预案定期评审的日期：</w:t>
            </w:r>
            <w:r>
              <w:rPr>
                <w:u w:val="single"/>
              </w:rPr>
              <w:t xml:space="preserve">   </w:t>
            </w:r>
            <w:r>
              <w:rPr>
                <w:rFonts w:hint="eastAsia"/>
                <w:u w:val="single"/>
              </w:rPr>
              <w:t>2022.06.20</w:t>
            </w:r>
            <w:r>
              <w:rPr>
                <w:u w:val="single"/>
              </w:rPr>
              <w:t xml:space="preserve">       </w:t>
            </w:r>
          </w:p>
          <w:p>
            <w:r>
              <w:t>修订响应措施的内容：</w:t>
            </w:r>
            <w:r>
              <w:rPr>
                <w:u w:val="single"/>
              </w:rPr>
              <w:t xml:space="preserve">     </w:t>
            </w:r>
            <w:r>
              <w:rPr>
                <w:rFonts w:hint="eastAsia"/>
                <w:u w:val="single"/>
              </w:rPr>
              <w:t>无</w:t>
            </w:r>
            <w:r>
              <w:rPr>
                <w:u w:val="single"/>
              </w:rPr>
              <w:t xml:space="preserve">                          </w:t>
            </w:r>
            <w:r>
              <w:t>。</w:t>
            </w:r>
          </w:p>
          <w:p/>
        </w:tc>
        <w:tc>
          <w:tcPr>
            <w:tcW w:w="1271" w:type="dxa"/>
            <w:gridSpan w:val="2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trHeight w:val="671" w:hRule="atLeast"/>
        </w:trPr>
        <w:tc>
          <w:tcPr>
            <w:tcW w:w="2174" w:type="dxa"/>
            <w:gridSpan w:val="2"/>
            <w:vMerge w:val="restart"/>
            <w:shd w:val="clear" w:color="auto" w:fill="auto"/>
          </w:tcPr>
          <w:p>
            <w:pPr>
              <w:jc w:val="left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危害控制计划 (HACCP/OPRP 计划)</w:t>
            </w:r>
            <w:r>
              <w:rPr>
                <w:rFonts w:hint="eastAsia"/>
                <w:highlight w:val="none"/>
              </w:rPr>
              <w:br w:type="textWrapping"/>
            </w:r>
          </w:p>
        </w:tc>
        <w:tc>
          <w:tcPr>
            <w:tcW w:w="934" w:type="dxa"/>
            <w:gridSpan w:val="3"/>
            <w:vMerge w:val="restart"/>
            <w:shd w:val="clear" w:color="auto" w:fill="auto"/>
          </w:tcPr>
          <w:p>
            <w:pPr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</w:rPr>
              <w:t>F8.5.4</w:t>
            </w:r>
            <w:r>
              <w:rPr>
                <w:rFonts w:hint="eastAsia"/>
                <w:highlight w:val="none"/>
                <w:lang w:val="en-US" w:eastAsia="zh-CN"/>
              </w:rPr>
              <w:t>.5</w:t>
            </w:r>
          </w:p>
          <w:p>
            <w:pPr>
              <w:rPr>
                <w:highlight w:val="none"/>
              </w:rPr>
            </w:pPr>
          </w:p>
        </w:tc>
        <w:tc>
          <w:tcPr>
            <w:tcW w:w="745" w:type="dxa"/>
            <w:gridSpan w:val="2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文件名称</w:t>
            </w:r>
          </w:p>
        </w:tc>
        <w:tc>
          <w:tcPr>
            <w:tcW w:w="9257" w:type="dxa"/>
            <w:gridSpan w:val="3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如：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  <w:lang w:val="en-US" w:eastAsia="zh-CN"/>
              </w:rPr>
              <w:t>手册8.5条款、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>《</w:t>
            </w:r>
            <w:r>
              <w:rPr>
                <w:rFonts w:hint="eastAsia"/>
                <w:highlight w:val="none"/>
                <w:lang w:val="en-US" w:eastAsia="zh-CN"/>
              </w:rPr>
              <w:t>HACCP</w:t>
            </w:r>
            <w:r>
              <w:rPr>
                <w:rFonts w:hint="eastAsia"/>
                <w:highlight w:val="none"/>
              </w:rPr>
              <w:t>计划》</w:t>
            </w:r>
          </w:p>
        </w:tc>
        <w:tc>
          <w:tcPr>
            <w:tcW w:w="1271" w:type="dxa"/>
            <w:gridSpan w:val="2"/>
            <w:vMerge w:val="restart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 xml:space="preserve">符合 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不符合</w:t>
            </w:r>
          </w:p>
          <w:p>
            <w:pPr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trHeight w:val="487" w:hRule="atLeast"/>
        </w:trPr>
        <w:tc>
          <w:tcPr>
            <w:tcW w:w="2174" w:type="dxa"/>
            <w:gridSpan w:val="2"/>
            <w:vMerge w:val="continue"/>
            <w:shd w:val="clear" w:color="auto" w:fill="auto"/>
          </w:tcPr>
          <w:p>
            <w:pPr>
              <w:rPr>
                <w:highlight w:val="none"/>
              </w:rPr>
            </w:pPr>
          </w:p>
        </w:tc>
        <w:tc>
          <w:tcPr>
            <w:tcW w:w="934" w:type="dxa"/>
            <w:gridSpan w:val="3"/>
            <w:vMerge w:val="continue"/>
            <w:shd w:val="clear" w:color="auto" w:fill="auto"/>
          </w:tcPr>
          <w:p>
            <w:pPr>
              <w:rPr>
                <w:highlight w:val="none"/>
              </w:rPr>
            </w:pPr>
          </w:p>
        </w:tc>
        <w:tc>
          <w:tcPr>
            <w:tcW w:w="745" w:type="dxa"/>
            <w:gridSpan w:val="2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运行证据</w:t>
            </w:r>
          </w:p>
        </w:tc>
        <w:tc>
          <w:tcPr>
            <w:tcW w:w="9257" w:type="dxa"/>
            <w:gridSpan w:val="3"/>
            <w:shd w:val="clear" w:color="auto" w:fill="auto"/>
          </w:tcPr>
          <w:p>
            <w:pPr>
              <w:spacing w:before="240" w:after="120"/>
            </w:pPr>
            <w:r>
              <w:rPr>
                <w:rFonts w:hint="eastAsia"/>
              </w:rPr>
              <w:t>OPRP计划/</w:t>
            </w:r>
            <w:r>
              <w:rPr>
                <w:rFonts w:hint="eastAsia"/>
                <w:lang w:val="en-GB"/>
              </w:rPr>
              <w:t>HACCP计划</w:t>
            </w:r>
            <w:r>
              <w:rPr>
                <w:rFonts w:hint="eastAsia"/>
              </w:rPr>
              <w:t>的策划</w:t>
            </w:r>
            <w:r>
              <w:rPr>
                <w:rFonts w:hint="eastAsia"/>
                <w:lang w:val="en-GB"/>
              </w:rPr>
              <w:t>，</w:t>
            </w:r>
            <w:r>
              <w:rPr>
                <w:rFonts w:hint="eastAsia"/>
              </w:rPr>
              <w:t>见食品安全小组审核记录F</w:t>
            </w:r>
            <w:r>
              <w:t>8.5.4</w:t>
            </w:r>
          </w:p>
          <w:p>
            <w:pPr>
              <w:pStyle w:val="2"/>
            </w:pPr>
          </w:p>
        </w:tc>
        <w:tc>
          <w:tcPr>
            <w:tcW w:w="1271" w:type="dxa"/>
            <w:gridSpan w:val="2"/>
            <w:vMerge w:val="continue"/>
            <w:shd w:val="clear" w:color="auto" w:fill="auto"/>
          </w:tcPr>
          <w:p>
            <w:pPr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trHeight w:val="3833" w:hRule="atLeast"/>
        </w:trPr>
        <w:tc>
          <w:tcPr>
            <w:tcW w:w="2174" w:type="dxa"/>
            <w:gridSpan w:val="2"/>
            <w:vMerge w:val="continue"/>
            <w:shd w:val="clear" w:color="auto" w:fill="auto"/>
          </w:tcPr>
          <w:p>
            <w:pPr>
              <w:rPr>
                <w:highlight w:val="none"/>
              </w:rPr>
            </w:pPr>
          </w:p>
        </w:tc>
        <w:tc>
          <w:tcPr>
            <w:tcW w:w="934" w:type="dxa"/>
            <w:gridSpan w:val="3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8.5.4.5实施危害控制计划</w:t>
            </w:r>
          </w:p>
          <w:p>
            <w:pPr>
              <w:rPr>
                <w:highlight w:val="none"/>
              </w:rPr>
            </w:pPr>
          </w:p>
        </w:tc>
        <w:tc>
          <w:tcPr>
            <w:tcW w:w="745" w:type="dxa"/>
            <w:gridSpan w:val="2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现场查看</w:t>
            </w:r>
          </w:p>
        </w:tc>
        <w:tc>
          <w:tcPr>
            <w:tcW w:w="9257" w:type="dxa"/>
            <w:gridSpan w:val="3"/>
            <w:shd w:val="clear" w:color="auto" w:fill="auto"/>
          </w:tcPr>
          <w:p>
            <w:pPr>
              <w:rPr>
                <w:rFonts w:hint="eastAsia" w:eastAsia="宋体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</w:rPr>
              <w:t>OPRP的实施情况：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79"/>
              <w:gridCol w:w="994"/>
              <w:gridCol w:w="1677"/>
              <w:gridCol w:w="2483"/>
              <w:gridCol w:w="1720"/>
              <w:gridCol w:w="99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179" w:type="dxa"/>
                </w:tcPr>
                <w:p>
                  <w:pPr>
                    <w:rPr>
                      <w:sz w:val="18"/>
                      <w:szCs w:val="18"/>
                      <w:highlight w:val="none"/>
                    </w:rPr>
                  </w:pPr>
                </w:p>
              </w:tc>
              <w:tc>
                <w:tcPr>
                  <w:tcW w:w="994" w:type="dxa"/>
                </w:tcPr>
                <w:p>
                  <w:pPr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地点</w:t>
                  </w:r>
                </w:p>
              </w:tc>
              <w:tc>
                <w:tcPr>
                  <w:tcW w:w="1677" w:type="dxa"/>
                </w:tcPr>
                <w:p>
                  <w:pPr>
                    <w:rPr>
                      <w:rFonts w:hint="default" w:eastAsia="宋体"/>
                      <w:sz w:val="18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行动准则</w:t>
                  </w:r>
                </w:p>
              </w:tc>
              <w:tc>
                <w:tcPr>
                  <w:tcW w:w="2483" w:type="dxa"/>
                </w:tcPr>
                <w:p>
                  <w:pPr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记录情况</w:t>
                  </w:r>
                </w:p>
              </w:tc>
              <w:tc>
                <w:tcPr>
                  <w:tcW w:w="1720" w:type="dxa"/>
                </w:tcPr>
                <w:p>
                  <w:pPr>
                    <w:rPr>
                      <w:rFonts w:hint="default" w:eastAsia="宋体"/>
                      <w:sz w:val="18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现场情况</w:t>
                  </w:r>
                </w:p>
              </w:tc>
              <w:tc>
                <w:tcPr>
                  <w:tcW w:w="990" w:type="dxa"/>
                </w:tcPr>
                <w:p>
                  <w:pPr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79" w:type="dxa"/>
                  <w:vAlign w:val="top"/>
                </w:tcPr>
                <w:p>
                  <w:pPr>
                    <w:pStyle w:val="2"/>
                    <w:ind w:left="0" w:leftChars="0" w:firstLine="0" w:firstLineChars="0"/>
                    <w:rPr>
                      <w:rFonts w:hint="default" w:ascii="Times New Roman" w:hAnsi="Times New Roman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sz w:val="21"/>
                      <w:szCs w:val="21"/>
                      <w:highlight w:val="none"/>
                      <w:lang w:val="en-US" w:eastAsia="zh-CN"/>
                    </w:rPr>
                    <w:t>OPRP原辅料验收</w:t>
                  </w:r>
                </w:p>
              </w:tc>
              <w:tc>
                <w:tcPr>
                  <w:tcW w:w="994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  <w:t>——</w:t>
                  </w:r>
                </w:p>
              </w:tc>
              <w:tc>
                <w:tcPr>
                  <w:tcW w:w="1677" w:type="dxa"/>
                </w:tcPr>
                <w:p>
                  <w:pPr>
                    <w:rPr>
                      <w:rFonts w:hint="default" w:ascii="Times New Roman" w:hAnsi="Times New Roman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cs="Times New Roman"/>
                      <w:sz w:val="21"/>
                      <w:szCs w:val="21"/>
                      <w:highlight w:val="none"/>
                      <w:lang w:val="en-US" w:eastAsia="zh-CN"/>
                    </w:rPr>
                    <w:t>见采购部审核记录</w:t>
                  </w:r>
                </w:p>
              </w:tc>
              <w:tc>
                <w:tcPr>
                  <w:tcW w:w="2483" w:type="dxa"/>
                </w:tcPr>
                <w:p>
                  <w:pPr>
                    <w:spacing w:line="240" w:lineRule="exact"/>
                    <w:rPr>
                      <w:rFonts w:hint="default" w:ascii="Times New Roman" w:hAnsi="Times New Roman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720" w:type="dxa"/>
                </w:tcPr>
                <w:p>
                  <w:pPr>
                    <w:spacing w:line="240" w:lineRule="exact"/>
                    <w:rPr>
                      <w:rFonts w:hint="default" w:ascii="Times New Roman" w:hAnsi="Times New Roman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</w:tcPr>
                <w:p>
                  <w:pPr>
                    <w:rPr>
                      <w:rFonts w:hint="default" w:ascii="Times New Roman" w:hAnsi="Times New Roman" w:eastAsia="宋体" w:cs="Times New Roman"/>
                      <w:sz w:val="21"/>
                      <w:szCs w:val="21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79" w:type="dxa"/>
                  <w:vAlign w:val="center"/>
                </w:tcPr>
                <w:p>
                  <w:pPr>
                    <w:snapToGrid w:val="0"/>
                    <w:jc w:val="center"/>
                    <w:rPr>
                      <w:rFonts w:hint="default" w:ascii="黑体" w:hAnsi="黑体" w:eastAsia="黑体" w:cs="黑体"/>
                      <w:w w:val="90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黑体" w:hAnsi="黑体" w:eastAsia="黑体" w:cs="黑体"/>
                      <w:w w:val="90"/>
                      <w:sz w:val="18"/>
                      <w:szCs w:val="18"/>
                    </w:rPr>
                    <w:t>冷藏保鲜OPRP-02</w:t>
                  </w:r>
                </w:p>
              </w:tc>
              <w:tc>
                <w:tcPr>
                  <w:tcW w:w="99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1677" w:type="dxa"/>
                  <w:vAlign w:val="center"/>
                </w:tcPr>
                <w:p>
                  <w:pPr>
                    <w:snapToGrid w:val="0"/>
                    <w:jc w:val="center"/>
                    <w:rPr>
                      <w:rFonts w:hint="default" w:ascii="黑体" w:hAnsi="黑体" w:eastAsia="黑体" w:cs="黑体"/>
                      <w:w w:val="90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黑体" w:hAnsi="黑体" w:eastAsia="黑体" w:cs="黑体"/>
                      <w:w w:val="90"/>
                      <w:sz w:val="18"/>
                      <w:szCs w:val="18"/>
                    </w:rPr>
                    <w:t>冷藏温度0-10℃</w:t>
                  </w:r>
                </w:p>
              </w:tc>
              <w:tc>
                <w:tcPr>
                  <w:tcW w:w="2483" w:type="dxa"/>
                  <w:vAlign w:val="top"/>
                </w:tcPr>
                <w:p>
                  <w:pPr>
                    <w:spacing w:line="240" w:lineRule="exact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《温度监控记录》，抽查2021-11-01至13，未见异常；</w:t>
                  </w:r>
                </w:p>
                <w:p>
                  <w:pPr>
                    <w:pStyle w:val="2"/>
                    <w:ind w:left="0" w:leftChars="0" w:firstLine="0" w:firstLineChars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  <w:t>另抽查2022-03月、05月，未见异常</w:t>
                  </w:r>
                </w:p>
              </w:tc>
              <w:tc>
                <w:tcPr>
                  <w:tcW w:w="1720" w:type="dxa"/>
                  <w:vAlign w:val="top"/>
                </w:tcPr>
                <w:p>
                  <w:pPr>
                    <w:spacing w:line="240" w:lineRule="exac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  <w:t>冷藏库温度:3.3℃</w:t>
                  </w:r>
                </w:p>
              </w:tc>
              <w:tc>
                <w:tcPr>
                  <w:tcW w:w="990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  <w:t>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0" w:type="auto"/>
                  <w:vAlign w:val="center"/>
                </w:tcPr>
                <w:p>
                  <w:pPr>
                    <w:snapToGrid w:val="0"/>
                    <w:jc w:val="center"/>
                    <w:rPr>
                      <w:rFonts w:hint="eastAsia" w:ascii="黑体" w:hAnsi="黑体" w:eastAsia="黑体" w:cs="黑体"/>
                      <w:w w:val="90"/>
                      <w:sz w:val="18"/>
                      <w:szCs w:val="18"/>
                    </w:rPr>
                  </w:pPr>
                  <w:r>
                    <w:rPr>
                      <w:rFonts w:hint="eastAsia" w:ascii="黑体" w:hAnsi="黑体" w:eastAsia="黑体" w:cs="黑体"/>
                      <w:w w:val="90"/>
                      <w:sz w:val="18"/>
                      <w:szCs w:val="18"/>
                    </w:rPr>
                    <w:t>冷冻</w:t>
                  </w:r>
                </w:p>
                <w:p>
                  <w:pPr>
                    <w:snapToGrid w:val="0"/>
                    <w:jc w:val="center"/>
                    <w:rPr>
                      <w:rFonts w:hint="default" w:ascii="黑体" w:hAnsi="黑体" w:eastAsia="黑体" w:cs="黑体"/>
                      <w:w w:val="90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黑体" w:hAnsi="黑体" w:eastAsia="黑体" w:cs="黑体"/>
                      <w:w w:val="90"/>
                      <w:sz w:val="18"/>
                      <w:szCs w:val="18"/>
                    </w:rPr>
                    <w:t>OPRP-03</w:t>
                  </w:r>
                </w:p>
              </w:tc>
              <w:tc>
                <w:tcPr>
                  <w:tcW w:w="0" w:type="auto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snapToGrid w:val="0"/>
                    <w:jc w:val="center"/>
                    <w:rPr>
                      <w:rFonts w:hint="default" w:ascii="黑体" w:hAnsi="黑体" w:eastAsia="黑体" w:cs="黑体"/>
                      <w:w w:val="90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黑体" w:hAnsi="黑体" w:eastAsia="黑体" w:cs="黑体"/>
                      <w:w w:val="90"/>
                      <w:sz w:val="18"/>
                      <w:szCs w:val="18"/>
                    </w:rPr>
                    <w:t>肉类储藏温度≤-18℃</w:t>
                  </w:r>
                </w:p>
              </w:tc>
              <w:tc>
                <w:tcPr>
                  <w:tcW w:w="2483" w:type="dxa"/>
                </w:tcPr>
                <w:p>
                  <w:pPr>
                    <w:spacing w:line="240" w:lineRule="exac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  <w:t>《温度监控记录》，抽查2021-12-01至13，未见异常；抽查2022-06月未见异常</w:t>
                  </w:r>
                </w:p>
              </w:tc>
              <w:tc>
                <w:tcPr>
                  <w:tcW w:w="1720" w:type="dxa"/>
                </w:tcPr>
                <w:p>
                  <w:pPr>
                    <w:spacing w:line="240" w:lineRule="exac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  <w:t>冷冻库温度：-18℃</w:t>
                  </w:r>
                </w:p>
              </w:tc>
              <w:tc>
                <w:tcPr>
                  <w:tcW w:w="0" w:type="auto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  <w:t>合格</w:t>
                  </w:r>
                </w:p>
              </w:tc>
            </w:tr>
          </w:tbl>
          <w:p>
            <w:pPr>
              <w:pStyle w:val="11"/>
              <w:rPr>
                <w:rFonts w:hint="eastAsia"/>
              </w:rPr>
            </w:pPr>
          </w:p>
          <w:p>
            <w:pPr>
              <w:pStyle w:val="11"/>
              <w:rPr>
                <w:rFonts w:hint="eastAsia"/>
              </w:rPr>
            </w:pPr>
          </w:p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CCP</w:t>
            </w:r>
            <w:r>
              <w:rPr>
                <w:rFonts w:hint="eastAsia"/>
                <w:highlight w:val="none"/>
              </w:rPr>
              <w:t>的实施情况：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79"/>
              <w:gridCol w:w="994"/>
              <w:gridCol w:w="1677"/>
              <w:gridCol w:w="1878"/>
              <w:gridCol w:w="2325"/>
              <w:gridCol w:w="99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79" w:type="dxa"/>
                </w:tcPr>
                <w:p>
                  <w:pPr>
                    <w:rPr>
                      <w:sz w:val="18"/>
                      <w:szCs w:val="18"/>
                      <w:highlight w:val="none"/>
                    </w:rPr>
                  </w:pPr>
                </w:p>
              </w:tc>
              <w:tc>
                <w:tcPr>
                  <w:tcW w:w="994" w:type="dxa"/>
                </w:tcPr>
                <w:p>
                  <w:pPr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地点</w:t>
                  </w:r>
                </w:p>
              </w:tc>
              <w:tc>
                <w:tcPr>
                  <w:tcW w:w="1677" w:type="dxa"/>
                </w:tcPr>
                <w:p>
                  <w:pPr>
                    <w:rPr>
                      <w:rFonts w:hint="default" w:eastAsia="宋体"/>
                      <w:sz w:val="18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行动准则</w:t>
                  </w:r>
                </w:p>
              </w:tc>
              <w:tc>
                <w:tcPr>
                  <w:tcW w:w="1878" w:type="dxa"/>
                </w:tcPr>
                <w:p>
                  <w:pPr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记录情况</w:t>
                  </w:r>
                </w:p>
              </w:tc>
              <w:tc>
                <w:tcPr>
                  <w:tcW w:w="2325" w:type="dxa"/>
                </w:tcPr>
                <w:p>
                  <w:pPr>
                    <w:rPr>
                      <w:rFonts w:hint="default" w:eastAsia="宋体"/>
                      <w:sz w:val="18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现场情况</w:t>
                  </w:r>
                </w:p>
              </w:tc>
              <w:tc>
                <w:tcPr>
                  <w:tcW w:w="990" w:type="dxa"/>
                </w:tcPr>
                <w:p>
                  <w:pPr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79" w:type="dxa"/>
                  <w:vAlign w:val="top"/>
                </w:tcPr>
                <w:p>
                  <w:pPr>
                    <w:pStyle w:val="2"/>
                    <w:ind w:left="0" w:leftChars="0" w:firstLine="0" w:firstLineChars="0"/>
                    <w:rPr>
                      <w:rFonts w:hint="default" w:ascii="Times New Roman" w:hAnsi="Times New Roman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sz w:val="21"/>
                      <w:szCs w:val="21"/>
                      <w:highlight w:val="none"/>
                      <w:lang w:val="en-US" w:eastAsia="zh-CN"/>
                    </w:rPr>
                    <w:t>——</w:t>
                  </w:r>
                </w:p>
              </w:tc>
              <w:tc>
                <w:tcPr>
                  <w:tcW w:w="994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1677" w:type="dxa"/>
                </w:tcPr>
                <w:p>
                  <w:pPr>
                    <w:rPr>
                      <w:rFonts w:hint="default" w:ascii="Times New Roman" w:hAnsi="Times New Roman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878" w:type="dxa"/>
                </w:tcPr>
                <w:p>
                  <w:pPr>
                    <w:spacing w:line="240" w:lineRule="exact"/>
                    <w:rPr>
                      <w:rFonts w:hint="default" w:ascii="Times New Roman" w:hAnsi="Times New Roman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2325" w:type="dxa"/>
                </w:tcPr>
                <w:p>
                  <w:pPr>
                    <w:pStyle w:val="2"/>
                    <w:ind w:left="0" w:leftChars="0" w:firstLine="0" w:firstLineChars="0"/>
                    <w:rPr>
                      <w:rFonts w:hint="default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</w:tcPr>
                <w:p>
                  <w:pPr>
                    <w:rPr>
                      <w:rFonts w:hint="default" w:ascii="Times New Roman" w:hAnsi="Times New Roman" w:eastAsia="宋体" w:cs="Times New Roman"/>
                      <w:sz w:val="21"/>
                      <w:szCs w:val="21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79" w:type="dxa"/>
                </w:tcPr>
                <w:p>
                  <w:pP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994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1677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1878" w:type="dxa"/>
                  <w:vAlign w:val="top"/>
                </w:tcPr>
                <w:p>
                  <w:pPr>
                    <w:spacing w:line="240" w:lineRule="exact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2325" w:type="dxa"/>
                  <w:vAlign w:val="top"/>
                </w:tcPr>
                <w:p>
                  <w:pPr>
                    <w:spacing w:line="240" w:lineRule="exact"/>
                    <w:rPr>
                      <w:rFonts w:hint="default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</w:p>
              </w:tc>
            </w:tr>
          </w:tbl>
          <w:p>
            <w:pPr>
              <w:rPr>
                <w:rFonts w:hint="default" w:eastAsia="宋体"/>
                <w:highlight w:val="none"/>
                <w:lang w:val="en-US" w:eastAsia="zh-CN"/>
              </w:rPr>
            </w:pPr>
          </w:p>
        </w:tc>
        <w:tc>
          <w:tcPr>
            <w:tcW w:w="1271" w:type="dxa"/>
            <w:gridSpan w:val="2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 xml:space="preserve">符合 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不符合</w:t>
            </w:r>
          </w:p>
          <w:p>
            <w:pPr>
              <w:pStyle w:val="11"/>
              <w:rPr>
                <w:highlight w:val="none"/>
              </w:rPr>
            </w:pPr>
          </w:p>
          <w:p>
            <w:pPr>
              <w:pStyle w:val="11"/>
              <w:rPr>
                <w:highlight w:val="none"/>
              </w:rPr>
            </w:pPr>
          </w:p>
          <w:p>
            <w:pPr>
              <w:pStyle w:val="11"/>
              <w:rPr>
                <w:highlight w:val="none"/>
              </w:rPr>
            </w:pPr>
          </w:p>
          <w:p>
            <w:pPr>
              <w:pStyle w:val="11"/>
              <w:rPr>
                <w:highlight w:val="none"/>
              </w:rPr>
            </w:pPr>
          </w:p>
          <w:p>
            <w:pPr>
              <w:pStyle w:val="11"/>
              <w:rPr>
                <w:highlight w:val="none"/>
              </w:rPr>
            </w:pPr>
          </w:p>
          <w:p>
            <w:pPr>
              <w:pStyle w:val="11"/>
              <w:rPr>
                <w:highlight w:val="none"/>
              </w:rPr>
            </w:pPr>
          </w:p>
          <w:p>
            <w:pPr>
              <w:pStyle w:val="11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trHeight w:val="486" w:hRule="atLeast"/>
        </w:trPr>
        <w:tc>
          <w:tcPr>
            <w:tcW w:w="2174" w:type="dxa"/>
            <w:gridSpan w:val="2"/>
            <w:vMerge w:val="restart"/>
            <w:shd w:val="clear" w:color="auto" w:fill="auto"/>
          </w:tcPr>
          <w:p>
            <w:r>
              <w:t>撤回/召回</w:t>
            </w:r>
          </w:p>
          <w:p/>
        </w:tc>
        <w:tc>
          <w:tcPr>
            <w:tcW w:w="936" w:type="dxa"/>
            <w:gridSpan w:val="4"/>
            <w:vMerge w:val="restart"/>
            <w:shd w:val="clear" w:color="auto" w:fill="auto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F8.9.5</w:t>
            </w:r>
          </w:p>
        </w:tc>
        <w:tc>
          <w:tcPr>
            <w:tcW w:w="745" w:type="dxa"/>
            <w:gridSpan w:val="2"/>
            <w:shd w:val="clear" w:color="auto" w:fill="auto"/>
          </w:tcPr>
          <w:p>
            <w:r>
              <w:t>文件名称</w:t>
            </w:r>
          </w:p>
        </w:tc>
        <w:tc>
          <w:tcPr>
            <w:tcW w:w="9255" w:type="dxa"/>
            <w:gridSpan w:val="2"/>
            <w:shd w:val="clear" w:color="auto" w:fill="auto"/>
          </w:tcPr>
          <w:p>
            <w:pPr>
              <w:spacing w:line="480" w:lineRule="exact"/>
              <w:rPr>
                <w:rFonts w:hint="eastAsia" w:eastAsia="宋体"/>
                <w:lang w:eastAsia="zh-CN"/>
              </w:rPr>
            </w:pPr>
            <w:r>
              <w:t>如：</w:t>
            </w:r>
            <w:r>
              <w:rPr/>
              <w:sym w:font="Wingdings" w:char="00FE"/>
            </w:r>
            <w:r>
              <w:rPr>
                <w:rFonts w:hint="eastAsia"/>
              </w:rPr>
              <w:t>《产品标识、追溯和召回程序》</w:t>
            </w:r>
            <w:r>
              <w:rPr>
                <w:rFonts w:hint="eastAsia"/>
                <w:lang w:eastAsia="zh-CN"/>
              </w:rPr>
              <w:t>、</w:t>
            </w:r>
            <w:r>
              <w:rPr/>
              <w:sym w:font="Wingdings" w:char="00FE"/>
            </w:r>
            <w:r>
              <w:t>《应急准备和响应程序》</w:t>
            </w:r>
            <w:r>
              <w:rPr>
                <w:rFonts w:hint="eastAsia"/>
                <w:lang w:eastAsia="zh-CN"/>
              </w:rPr>
              <w:t>、</w:t>
            </w:r>
            <w:r>
              <w:rPr/>
              <w:sym w:font="Wingdings" w:char="00FE"/>
            </w:r>
            <w:r>
              <w:rPr>
                <w:rFonts w:hint="eastAsia"/>
                <w:lang w:eastAsia="zh-CN"/>
              </w:rPr>
              <w:t>《</w:t>
            </w:r>
            <w:r>
              <w:rPr>
                <w:rFonts w:hint="eastAsia"/>
                <w:lang w:val="en-US" w:eastAsia="zh-CN"/>
              </w:rPr>
              <w:t>配送应急预案</w:t>
            </w:r>
            <w:r>
              <w:rPr>
                <w:rFonts w:hint="eastAsia"/>
                <w:lang w:eastAsia="zh-CN"/>
              </w:rPr>
              <w:t>》</w:t>
            </w:r>
          </w:p>
        </w:tc>
        <w:tc>
          <w:tcPr>
            <w:tcW w:w="1271" w:type="dxa"/>
            <w:gridSpan w:val="2"/>
            <w:vMerge w:val="restart"/>
            <w:shd w:val="clear" w:color="auto" w:fill="auto"/>
          </w:tcPr>
          <w:p>
            <w:r>
              <w:rPr/>
              <w:sym w:font="Wingdings" w:char="00FE"/>
            </w:r>
            <w:r>
              <w:t>符合</w:t>
            </w:r>
          </w:p>
          <w:p>
            <w:r>
              <w:rPr/>
              <w:sym w:font="Wingdings" w:char="00A8"/>
            </w:r>
            <w: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trHeight w:val="810" w:hRule="atLeast"/>
        </w:trPr>
        <w:tc>
          <w:tcPr>
            <w:tcW w:w="2174" w:type="dxa"/>
            <w:gridSpan w:val="2"/>
            <w:vMerge w:val="continue"/>
            <w:shd w:val="clear" w:color="auto" w:fill="auto"/>
          </w:tcPr>
          <w:p/>
        </w:tc>
        <w:tc>
          <w:tcPr>
            <w:tcW w:w="936" w:type="dxa"/>
            <w:gridSpan w:val="4"/>
            <w:vMerge w:val="continue"/>
            <w:shd w:val="clear" w:color="auto" w:fill="auto"/>
          </w:tcPr>
          <w:p/>
        </w:tc>
        <w:tc>
          <w:tcPr>
            <w:tcW w:w="745" w:type="dxa"/>
            <w:gridSpan w:val="2"/>
            <w:shd w:val="clear" w:color="auto" w:fill="auto"/>
          </w:tcPr>
          <w:p>
            <w:r>
              <w:t>运行证据</w:t>
            </w:r>
          </w:p>
        </w:tc>
        <w:tc>
          <w:tcPr>
            <w:tcW w:w="9255" w:type="dxa"/>
            <w:gridSpan w:val="2"/>
            <w:shd w:val="clear" w:color="auto" w:fill="auto"/>
          </w:tcPr>
          <w:p>
            <w:r>
              <w:t>有权决定撤回/召回人员：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>食品安全小组组长</w:t>
            </w:r>
            <w:r>
              <w:rPr>
                <w:u w:val="single"/>
              </w:rPr>
              <w:t xml:space="preserve"> </w:t>
            </w:r>
            <w:r>
              <w:t xml:space="preserve">；  </w:t>
            </w:r>
          </w:p>
          <w:p>
            <w:r>
              <w:t>确保及时撤回/召回被确定为潜在不安全的大量最终产品。</w:t>
            </w:r>
          </w:p>
          <w:p>
            <w:r>
              <w:t>组织的撤回/召回流程，包括：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835"/>
              <w:gridCol w:w="2193"/>
              <w:gridCol w:w="301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835" w:type="dxa"/>
                  <w:shd w:val="clear" w:color="auto" w:fill="auto"/>
                </w:tcPr>
                <w:p/>
              </w:tc>
              <w:tc>
                <w:tcPr>
                  <w:tcW w:w="2193" w:type="dxa"/>
                  <w:shd w:val="clear" w:color="auto" w:fill="auto"/>
                </w:tcPr>
                <w:p>
                  <w:r>
                    <w:t>实施责任部门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>
                  <w:r>
                    <w:t>备注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835" w:type="dxa"/>
                  <w:shd w:val="clear" w:color="auto" w:fill="auto"/>
                </w:tcPr>
                <w:p>
                  <w:r>
                    <w:t>通知法定和监管机构</w:t>
                  </w:r>
                </w:p>
              </w:tc>
              <w:tc>
                <w:tcPr>
                  <w:tcW w:w="2193" w:type="dxa"/>
                  <w:shd w:val="clear" w:color="auto" w:fill="auto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食品安全小组组长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835" w:type="dxa"/>
                  <w:shd w:val="clear" w:color="auto" w:fill="auto"/>
                </w:tcPr>
                <w:p>
                  <w:r>
                    <w:t>通知客户</w:t>
                  </w:r>
                </w:p>
              </w:tc>
              <w:tc>
                <w:tcPr>
                  <w:tcW w:w="2193" w:type="dxa"/>
                  <w:shd w:val="clear" w:color="auto" w:fill="auto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销售部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835" w:type="dxa"/>
                  <w:shd w:val="clear" w:color="auto" w:fill="auto"/>
                </w:tcPr>
                <w:p>
                  <w:r>
                    <w:t>通知消费者</w:t>
                  </w:r>
                </w:p>
              </w:tc>
              <w:tc>
                <w:tcPr>
                  <w:tcW w:w="2193" w:type="dxa"/>
                  <w:shd w:val="clear" w:color="auto" w:fill="auto"/>
                </w:tcPr>
                <w:p>
                  <w:r>
                    <w:rPr>
                      <w:rFonts w:hint="eastAsia"/>
                      <w:lang w:val="en-US" w:eastAsia="zh-CN"/>
                    </w:rPr>
                    <w:t>销售部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835" w:type="dxa"/>
                  <w:shd w:val="clear" w:color="auto" w:fill="auto"/>
                </w:tcPr>
                <w:p>
                  <w:r>
                    <w:t>处置撤回产品</w:t>
                  </w:r>
                </w:p>
              </w:tc>
              <w:tc>
                <w:tcPr>
                  <w:tcW w:w="2193" w:type="dxa"/>
                  <w:shd w:val="clear" w:color="auto" w:fill="auto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采购部、销售部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835" w:type="dxa"/>
                  <w:shd w:val="clear" w:color="auto" w:fill="auto"/>
                </w:tcPr>
                <w:p>
                  <w:r>
                    <w:t>处置库存中受影响的批次/批号产品</w:t>
                  </w:r>
                </w:p>
              </w:tc>
              <w:tc>
                <w:tcPr>
                  <w:tcW w:w="2193" w:type="dxa"/>
                  <w:shd w:val="clear" w:color="auto" w:fill="auto"/>
                </w:tcPr>
                <w:p>
                  <w:r>
                    <w:rPr>
                      <w:rFonts w:hint="eastAsia"/>
                      <w:lang w:val="en-US" w:eastAsia="zh-CN"/>
                    </w:rPr>
                    <w:t>采购部、销售部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835" w:type="dxa"/>
                  <w:shd w:val="clear" w:color="auto" w:fill="auto"/>
                </w:tcPr>
                <w:p>
                  <w:r>
                    <w:t>安排采取措施的顺序</w:t>
                  </w:r>
                </w:p>
              </w:tc>
              <w:tc>
                <w:tcPr>
                  <w:tcW w:w="2193" w:type="dxa"/>
                  <w:shd w:val="clear" w:color="auto" w:fill="auto"/>
                </w:tcPr>
                <w:p>
                  <w:r>
                    <w:t>食品安全小组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/>
              </w:tc>
            </w:tr>
          </w:tbl>
          <w:p/>
          <w:p>
            <w:r>
              <w:t>本部门是否发生产品的</w:t>
            </w:r>
            <w:r>
              <w:rPr/>
              <w:sym w:font="Wingdings" w:char="00A8"/>
            </w:r>
            <w:r>
              <w:t>撤回或</w:t>
            </w:r>
            <w:r>
              <w:rPr/>
              <w:sym w:font="Wingdings" w:char="00A8"/>
            </w:r>
            <w:r>
              <w:t>召回的情况：</w:t>
            </w:r>
          </w:p>
          <w:p>
            <w:pPr>
              <w:rPr>
                <w:u w:val="single"/>
              </w:rPr>
            </w:pPr>
            <w:r>
              <w:rPr/>
              <w:sym w:font="Wingdings" w:char="00FE"/>
            </w:r>
            <w:r>
              <w:t xml:space="preserve">未发生 </w:t>
            </w:r>
            <w:r>
              <w:rPr/>
              <w:sym w:font="Wingdings" w:char="00A8"/>
            </w:r>
            <w:r>
              <w:t>已发生，说明</w:t>
            </w:r>
            <w:r>
              <w:rPr>
                <w:u w:val="single"/>
              </w:rPr>
              <w:t xml:space="preserve">                       </w:t>
            </w:r>
          </w:p>
          <w:p>
            <w:pPr>
              <w:pStyle w:val="2"/>
              <w:rPr>
                <w:u w:val="single"/>
              </w:rPr>
            </w:pP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本部门是否发生产品的撤回或召回方面的处置：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未发生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已发生，说明</w:t>
            </w:r>
            <w:r>
              <w:rPr>
                <w:rFonts w:hint="eastAsia"/>
                <w:u w:val="single"/>
              </w:rPr>
              <w:t xml:space="preserve">                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15"/>
              <w:gridCol w:w="1309"/>
              <w:gridCol w:w="1864"/>
              <w:gridCol w:w="1927"/>
              <w:gridCol w:w="1518"/>
              <w:gridCol w:w="141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015" w:type="dxa"/>
                  <w:shd w:val="clear" w:color="auto" w:fill="auto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撤回日期</w:t>
                  </w:r>
                </w:p>
              </w:tc>
              <w:tc>
                <w:tcPr>
                  <w:tcW w:w="1309" w:type="dxa"/>
                  <w:shd w:val="clear" w:color="auto" w:fill="auto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性质</w:t>
                  </w:r>
                </w:p>
              </w:tc>
              <w:tc>
                <w:tcPr>
                  <w:tcW w:w="1864" w:type="dxa"/>
                  <w:shd w:val="clear" w:color="auto" w:fill="auto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撤回原因</w:t>
                  </w:r>
                </w:p>
              </w:tc>
              <w:tc>
                <w:tcPr>
                  <w:tcW w:w="1927" w:type="dxa"/>
                  <w:shd w:val="clear" w:color="auto" w:fill="auto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撤回范围</w:t>
                  </w:r>
                </w:p>
              </w:tc>
              <w:tc>
                <w:tcPr>
                  <w:tcW w:w="1518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撤回结果</w:t>
                  </w:r>
                </w:p>
              </w:tc>
              <w:tc>
                <w:tcPr>
                  <w:tcW w:w="1410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有效性评价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15" w:type="dxa"/>
                  <w:shd w:val="clear" w:color="auto" w:fill="auto"/>
                </w:tcPr>
                <w:p>
                  <w:pPr>
                    <w:rPr>
                      <w:rFonts w:hint="default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eastAsiaTheme="minorEastAsia"/>
                      <w:lang w:val="en-US" w:eastAsia="zh-CN"/>
                    </w:rPr>
                    <w:t>2022-05-25</w:t>
                  </w:r>
                </w:p>
              </w:tc>
              <w:tc>
                <w:tcPr>
                  <w:tcW w:w="1309" w:type="dxa"/>
                  <w:shd w:val="clear" w:color="auto" w:fill="auto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sym w:font="Wingdings" w:char="00A8"/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 xml:space="preserve">实际撤回 </w:t>
                  </w:r>
                </w:p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sym w:font="Wingdings" w:char="00FE"/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模拟撤回</w:t>
                  </w:r>
                </w:p>
              </w:tc>
              <w:tc>
                <w:tcPr>
                  <w:tcW w:w="1864" w:type="dxa"/>
                  <w:shd w:val="clear" w:color="auto" w:fill="auto"/>
                </w:tcPr>
                <w:p>
                  <w:pPr>
                    <w:rPr>
                      <w:rFonts w:hint="default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Cs/>
                      <w:sz w:val="20"/>
                      <w:szCs w:val="20"/>
                      <w:lang w:val="en-US" w:eastAsia="zh-CN"/>
                    </w:rPr>
                    <w:t>配送给福建东百访港大酒店有限公司的2只罗非鱼兽药残留超标</w:t>
                  </w:r>
                </w:p>
              </w:tc>
              <w:tc>
                <w:tcPr>
                  <w:tcW w:w="1927" w:type="dxa"/>
                  <w:shd w:val="clear" w:color="auto" w:fill="auto"/>
                </w:tcPr>
                <w:p>
                  <w:pPr>
                    <w:rPr>
                      <w:rFonts w:hint="default" w:eastAsia="宋体" w:asciiTheme="minorEastAsia" w:hAnsi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已发送出的2只</w:t>
                  </w:r>
                </w:p>
              </w:tc>
              <w:tc>
                <w:tcPr>
                  <w:tcW w:w="1518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已撤回</w:t>
                  </w:r>
                </w:p>
              </w:tc>
              <w:tc>
                <w:tcPr>
                  <w:tcW w:w="1410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流程有效 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存在不足</w:t>
                  </w:r>
                </w:p>
              </w:tc>
            </w:tr>
          </w:tbl>
          <w:p>
            <w:pPr>
              <w:pStyle w:val="6"/>
            </w:pPr>
          </w:p>
          <w:p>
            <w:pPr>
              <w:ind w:left="840" w:hanging="840" w:hangingChars="400"/>
            </w:pPr>
            <w:r>
              <w:rPr>
                <w:rFonts w:hint="eastAsia"/>
              </w:rPr>
              <w:t>结论：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能够确保完整、及时地撤回已被识别为潜在不安全的批次/批号产品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eastAsia="zh-CN"/>
              </w:rPr>
              <w:t>，</w:t>
            </w:r>
            <w:r>
              <w:rPr>
                <w:rFonts w:hint="eastAsia"/>
                <w:u w:val="single"/>
                <w:lang w:val="en-US" w:eastAsia="zh-CN"/>
              </w:rPr>
              <w:t>但对于撤回餐食的处置方式不够充分，已现场沟通；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</w:p>
          <w:p>
            <w:pPr>
              <w:ind w:firstLine="630" w:firstLineChars="300"/>
              <w:rPr>
                <w:u w:val="single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不能够确保完整、及时地撤回已被识别为潜在不安全的批次/批号产品，说明：</w:t>
            </w:r>
            <w:r>
              <w:rPr>
                <w:rFonts w:hint="eastAsia"/>
                <w:u w:val="single"/>
              </w:rPr>
              <w:t xml:space="preserve">         </w:t>
            </w:r>
          </w:p>
          <w:p/>
          <w:p>
            <w:r>
              <w:rPr>
                <w:rFonts w:hint="eastAsia"/>
              </w:rPr>
              <w:t>见《产品召回记录》，并向最高管理者报告，作为管理评审的输入。</w:t>
            </w:r>
          </w:p>
          <w:p/>
        </w:tc>
        <w:tc>
          <w:tcPr>
            <w:tcW w:w="1271" w:type="dxa"/>
            <w:gridSpan w:val="2"/>
            <w:vMerge w:val="continue"/>
            <w:shd w:val="clear" w:color="auto" w:fill="auto"/>
          </w:tcPr>
          <w:p/>
        </w:tc>
      </w:tr>
    </w:tbl>
    <w:p>
      <w:pPr>
        <w:pStyle w:val="6"/>
      </w:pPr>
    </w:p>
    <w:p>
      <w:pPr>
        <w:pStyle w:val="6"/>
      </w:pPr>
    </w:p>
    <w:p/>
    <w:p>
      <w:pPr>
        <w:pStyle w:val="6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10609000101010101"/>
    <w:charset w:val="88"/>
    <w:family w:val="moder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6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90" w:firstLineChars="550"/>
      <w:jc w:val="left"/>
      <w:rPr>
        <w:rStyle w:val="15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</wp:posOffset>
          </wp:positionH>
          <wp:positionV relativeFrom="paragraph">
            <wp:posOffset>22860</wp:posOffset>
          </wp:positionV>
          <wp:extent cx="481330" cy="484505"/>
          <wp:effectExtent l="0" t="0" r="1270" b="10795"/>
          <wp:wrapTopAndBottom/>
          <wp:docPr id="3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5"/>
        <w:rFonts w:hint="default"/>
      </w:rPr>
      <w:t>北京国标联合认证有限公司</w:t>
    </w:r>
    <w:r>
      <w:rPr>
        <w:rStyle w:val="15"/>
        <w:rFonts w:hint="default"/>
      </w:rPr>
      <w:tab/>
    </w:r>
    <w:r>
      <w:rPr>
        <w:rStyle w:val="15"/>
        <w:rFonts w:hint="default"/>
      </w:rPr>
      <w:tab/>
    </w:r>
    <w:r>
      <w:rPr>
        <w:rStyle w:val="15"/>
        <w:rFonts w:hint="default"/>
      </w:rPr>
      <w:tab/>
    </w:r>
  </w:p>
  <w:p>
    <w:pPr>
      <w:pStyle w:val="7"/>
      <w:pBdr>
        <w:bottom w:val="none" w:color="auto" w:sz="0" w:space="1"/>
      </w:pBdr>
      <w:spacing w:line="320" w:lineRule="exact"/>
      <w:ind w:firstLine="900" w:firstLineChars="500"/>
      <w:jc w:val="lef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>12 （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>5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eastAsia="zh-CN"/>
                            </w:rPr>
                            <w:t>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59264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hBqrl1gAAAAoBAAAPAAAAAAAAAAEAIAAAACIAAABkcnMvZG93&#10;bnJldi54bWxQSwECFAAUAAAACACHTuJAK8WDsMkBAACAAwAADgAAAAAAAAABACAAAAAlAQAAZHJz&#10;L2Uyb0RvYy54bWxQSwUGAAAAAAYABgBZAQAAYA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  <w:t>12 （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0</w:t>
                    </w:r>
                    <w:r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  <w:t>5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</w:t>
                    </w:r>
                    <w:r>
                      <w:rPr>
                        <w:rFonts w:hint="eastAsia"/>
                        <w:sz w:val="18"/>
                        <w:szCs w:val="18"/>
                        <w:lang w:eastAsia="zh-CN"/>
                      </w:rPr>
                      <w:t>）</w:t>
                    </w:r>
                  </w:p>
                </w:txbxContent>
              </v:textbox>
            </v:shape>
          </w:pict>
        </mc:Fallback>
      </mc:AlternateContent>
    </w:r>
    <w:r>
      <w:rPr>
        <w:rStyle w:val="15"/>
        <w:rFonts w:hint="default"/>
        <w:w w:val="90"/>
      </w:rPr>
      <w:t>Beijing International Standard united Certification Co.,Ltd.</w:t>
    </w:r>
  </w:p>
  <w:p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15FA1A"/>
    <w:multiLevelType w:val="singleLevel"/>
    <w:tmpl w:val="BD15FA1A"/>
    <w:lvl w:ilvl="0" w:tentative="0">
      <w:start w:val="1"/>
      <w:numFmt w:val="lowerLetter"/>
      <w:suff w:val="space"/>
      <w:lvlText w:val="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I4MGQzYmZlYjc0MTg3YzE3NjNlNzg5YWY5YjI1NjgifQ=="/>
  </w:docVars>
  <w:rsids>
    <w:rsidRoot w:val="009973B4"/>
    <w:rsid w:val="0000475F"/>
    <w:rsid w:val="0001443C"/>
    <w:rsid w:val="000237F6"/>
    <w:rsid w:val="0003373A"/>
    <w:rsid w:val="000400E2"/>
    <w:rsid w:val="000408BB"/>
    <w:rsid w:val="00056EC5"/>
    <w:rsid w:val="00061009"/>
    <w:rsid w:val="00062E46"/>
    <w:rsid w:val="000A0A06"/>
    <w:rsid w:val="000C63AA"/>
    <w:rsid w:val="000E6B21"/>
    <w:rsid w:val="001006A0"/>
    <w:rsid w:val="001044CD"/>
    <w:rsid w:val="001126B5"/>
    <w:rsid w:val="001248BC"/>
    <w:rsid w:val="00184FC0"/>
    <w:rsid w:val="001A2D7F"/>
    <w:rsid w:val="001C21AB"/>
    <w:rsid w:val="001E707B"/>
    <w:rsid w:val="001F0891"/>
    <w:rsid w:val="00227D54"/>
    <w:rsid w:val="002501B0"/>
    <w:rsid w:val="0028527E"/>
    <w:rsid w:val="002939AD"/>
    <w:rsid w:val="002C7D78"/>
    <w:rsid w:val="00314AF6"/>
    <w:rsid w:val="00337922"/>
    <w:rsid w:val="00340867"/>
    <w:rsid w:val="00380837"/>
    <w:rsid w:val="003A198A"/>
    <w:rsid w:val="003C3E51"/>
    <w:rsid w:val="003F308F"/>
    <w:rsid w:val="003F55D3"/>
    <w:rsid w:val="00410914"/>
    <w:rsid w:val="004177C7"/>
    <w:rsid w:val="00417E5D"/>
    <w:rsid w:val="004366EB"/>
    <w:rsid w:val="00442C70"/>
    <w:rsid w:val="004724DC"/>
    <w:rsid w:val="0048201E"/>
    <w:rsid w:val="00482739"/>
    <w:rsid w:val="004B0021"/>
    <w:rsid w:val="004F01AD"/>
    <w:rsid w:val="00536930"/>
    <w:rsid w:val="0054737D"/>
    <w:rsid w:val="00553344"/>
    <w:rsid w:val="00561D55"/>
    <w:rsid w:val="00564E53"/>
    <w:rsid w:val="00573C4B"/>
    <w:rsid w:val="005A1049"/>
    <w:rsid w:val="005A2F49"/>
    <w:rsid w:val="005A34ED"/>
    <w:rsid w:val="005A740D"/>
    <w:rsid w:val="005B4176"/>
    <w:rsid w:val="005D5659"/>
    <w:rsid w:val="00600C20"/>
    <w:rsid w:val="00604303"/>
    <w:rsid w:val="00616335"/>
    <w:rsid w:val="00644FE2"/>
    <w:rsid w:val="00654D21"/>
    <w:rsid w:val="006658D4"/>
    <w:rsid w:val="0067640C"/>
    <w:rsid w:val="00685619"/>
    <w:rsid w:val="006A0DC8"/>
    <w:rsid w:val="006E678B"/>
    <w:rsid w:val="006E7B1D"/>
    <w:rsid w:val="006F7494"/>
    <w:rsid w:val="00703C05"/>
    <w:rsid w:val="00703CAB"/>
    <w:rsid w:val="00716307"/>
    <w:rsid w:val="007623F4"/>
    <w:rsid w:val="007757F3"/>
    <w:rsid w:val="0077781F"/>
    <w:rsid w:val="00782468"/>
    <w:rsid w:val="007C1B48"/>
    <w:rsid w:val="007C4026"/>
    <w:rsid w:val="007D754F"/>
    <w:rsid w:val="007E3B15"/>
    <w:rsid w:val="007E6AEB"/>
    <w:rsid w:val="0080278D"/>
    <w:rsid w:val="00833718"/>
    <w:rsid w:val="00851D2E"/>
    <w:rsid w:val="00885D9A"/>
    <w:rsid w:val="008973EE"/>
    <w:rsid w:val="008C2E51"/>
    <w:rsid w:val="008D53B2"/>
    <w:rsid w:val="00914199"/>
    <w:rsid w:val="00942C7F"/>
    <w:rsid w:val="00947553"/>
    <w:rsid w:val="00950526"/>
    <w:rsid w:val="009526E3"/>
    <w:rsid w:val="0095369D"/>
    <w:rsid w:val="00971600"/>
    <w:rsid w:val="009973B4"/>
    <w:rsid w:val="009C150D"/>
    <w:rsid w:val="009C28C1"/>
    <w:rsid w:val="009D769B"/>
    <w:rsid w:val="009E1B5D"/>
    <w:rsid w:val="009F5828"/>
    <w:rsid w:val="009F7EED"/>
    <w:rsid w:val="00A45DD7"/>
    <w:rsid w:val="00A6095D"/>
    <w:rsid w:val="00A72D49"/>
    <w:rsid w:val="00A80636"/>
    <w:rsid w:val="00AA1FC2"/>
    <w:rsid w:val="00AB4D21"/>
    <w:rsid w:val="00AC0189"/>
    <w:rsid w:val="00AE46F3"/>
    <w:rsid w:val="00AE6811"/>
    <w:rsid w:val="00AF0AAB"/>
    <w:rsid w:val="00AF55C5"/>
    <w:rsid w:val="00B22AA9"/>
    <w:rsid w:val="00B27ECA"/>
    <w:rsid w:val="00B313DF"/>
    <w:rsid w:val="00B7308A"/>
    <w:rsid w:val="00B748A5"/>
    <w:rsid w:val="00BA30B9"/>
    <w:rsid w:val="00BD101A"/>
    <w:rsid w:val="00BD1E67"/>
    <w:rsid w:val="00BF55B4"/>
    <w:rsid w:val="00BF597E"/>
    <w:rsid w:val="00C04BB2"/>
    <w:rsid w:val="00C05957"/>
    <w:rsid w:val="00C33819"/>
    <w:rsid w:val="00C5013D"/>
    <w:rsid w:val="00C51A36"/>
    <w:rsid w:val="00C55228"/>
    <w:rsid w:val="00C613B4"/>
    <w:rsid w:val="00C620CE"/>
    <w:rsid w:val="00C63768"/>
    <w:rsid w:val="00C77034"/>
    <w:rsid w:val="00CD4D1A"/>
    <w:rsid w:val="00CE315A"/>
    <w:rsid w:val="00D06F59"/>
    <w:rsid w:val="00D15179"/>
    <w:rsid w:val="00D2018F"/>
    <w:rsid w:val="00D4379D"/>
    <w:rsid w:val="00D57F85"/>
    <w:rsid w:val="00D8388C"/>
    <w:rsid w:val="00D856AC"/>
    <w:rsid w:val="00DA09E8"/>
    <w:rsid w:val="00DC1D4B"/>
    <w:rsid w:val="00DD7961"/>
    <w:rsid w:val="00DD7D8E"/>
    <w:rsid w:val="00DE7B56"/>
    <w:rsid w:val="00DF15F0"/>
    <w:rsid w:val="00DF3454"/>
    <w:rsid w:val="00E20DA4"/>
    <w:rsid w:val="00E246F6"/>
    <w:rsid w:val="00E373BF"/>
    <w:rsid w:val="00E57243"/>
    <w:rsid w:val="00E6224C"/>
    <w:rsid w:val="00E67A0A"/>
    <w:rsid w:val="00E8323B"/>
    <w:rsid w:val="00EA2256"/>
    <w:rsid w:val="00EA37D1"/>
    <w:rsid w:val="00EB0164"/>
    <w:rsid w:val="00EC6ECB"/>
    <w:rsid w:val="00ED0F62"/>
    <w:rsid w:val="00F140C1"/>
    <w:rsid w:val="00F51DFC"/>
    <w:rsid w:val="00F74707"/>
    <w:rsid w:val="00F774D2"/>
    <w:rsid w:val="00F90479"/>
    <w:rsid w:val="00FB2ED1"/>
    <w:rsid w:val="00FD0EF9"/>
    <w:rsid w:val="00FE2DF7"/>
    <w:rsid w:val="01260C71"/>
    <w:rsid w:val="0148246F"/>
    <w:rsid w:val="01697F0C"/>
    <w:rsid w:val="017A46C2"/>
    <w:rsid w:val="01825FC3"/>
    <w:rsid w:val="01B97AED"/>
    <w:rsid w:val="01BB3069"/>
    <w:rsid w:val="01CE4435"/>
    <w:rsid w:val="01E27364"/>
    <w:rsid w:val="01E71258"/>
    <w:rsid w:val="01F72228"/>
    <w:rsid w:val="021B462B"/>
    <w:rsid w:val="02203F02"/>
    <w:rsid w:val="0228580F"/>
    <w:rsid w:val="026A697D"/>
    <w:rsid w:val="028120F9"/>
    <w:rsid w:val="02C41A3B"/>
    <w:rsid w:val="02C75A20"/>
    <w:rsid w:val="03085664"/>
    <w:rsid w:val="0326784C"/>
    <w:rsid w:val="032F5195"/>
    <w:rsid w:val="033362B0"/>
    <w:rsid w:val="03373FF4"/>
    <w:rsid w:val="03504EFA"/>
    <w:rsid w:val="036737B4"/>
    <w:rsid w:val="03A0688A"/>
    <w:rsid w:val="03A32F8E"/>
    <w:rsid w:val="03AC3D8E"/>
    <w:rsid w:val="03CE483E"/>
    <w:rsid w:val="03CF54E8"/>
    <w:rsid w:val="03D738E7"/>
    <w:rsid w:val="03EA5530"/>
    <w:rsid w:val="0405614C"/>
    <w:rsid w:val="042332AF"/>
    <w:rsid w:val="044125D6"/>
    <w:rsid w:val="0441326A"/>
    <w:rsid w:val="04414625"/>
    <w:rsid w:val="04883DB3"/>
    <w:rsid w:val="04981EC9"/>
    <w:rsid w:val="04C420B7"/>
    <w:rsid w:val="04FC0469"/>
    <w:rsid w:val="050D3D1E"/>
    <w:rsid w:val="05322678"/>
    <w:rsid w:val="05422E8D"/>
    <w:rsid w:val="056577F0"/>
    <w:rsid w:val="05692040"/>
    <w:rsid w:val="05705C5F"/>
    <w:rsid w:val="059C20C3"/>
    <w:rsid w:val="05A05014"/>
    <w:rsid w:val="05B81594"/>
    <w:rsid w:val="05F6270F"/>
    <w:rsid w:val="0605101B"/>
    <w:rsid w:val="06120F24"/>
    <w:rsid w:val="0618393F"/>
    <w:rsid w:val="061B4460"/>
    <w:rsid w:val="06406560"/>
    <w:rsid w:val="067B702D"/>
    <w:rsid w:val="06994A8D"/>
    <w:rsid w:val="06AA7E97"/>
    <w:rsid w:val="06ED612A"/>
    <w:rsid w:val="06F60CE4"/>
    <w:rsid w:val="0700448C"/>
    <w:rsid w:val="071261A2"/>
    <w:rsid w:val="074D6D03"/>
    <w:rsid w:val="078701E3"/>
    <w:rsid w:val="07A12A9F"/>
    <w:rsid w:val="07A565CE"/>
    <w:rsid w:val="07BF02D7"/>
    <w:rsid w:val="07C13D29"/>
    <w:rsid w:val="07ED0401"/>
    <w:rsid w:val="07EF616D"/>
    <w:rsid w:val="07F5731B"/>
    <w:rsid w:val="081B6228"/>
    <w:rsid w:val="083339D6"/>
    <w:rsid w:val="08767210"/>
    <w:rsid w:val="0884117F"/>
    <w:rsid w:val="08851DD7"/>
    <w:rsid w:val="08A65A0B"/>
    <w:rsid w:val="08C22483"/>
    <w:rsid w:val="08ED1EE8"/>
    <w:rsid w:val="09005957"/>
    <w:rsid w:val="09621B67"/>
    <w:rsid w:val="096333C5"/>
    <w:rsid w:val="0977604F"/>
    <w:rsid w:val="09933EF9"/>
    <w:rsid w:val="09AA0CA5"/>
    <w:rsid w:val="09DC02FD"/>
    <w:rsid w:val="09FA6045"/>
    <w:rsid w:val="0A0F142E"/>
    <w:rsid w:val="0A1C56C1"/>
    <w:rsid w:val="0A793506"/>
    <w:rsid w:val="0A8371C4"/>
    <w:rsid w:val="0A904067"/>
    <w:rsid w:val="0ACA6ED2"/>
    <w:rsid w:val="0AEF4D8D"/>
    <w:rsid w:val="0B0C5CAD"/>
    <w:rsid w:val="0B10795D"/>
    <w:rsid w:val="0B3A4AAA"/>
    <w:rsid w:val="0B4D2BD0"/>
    <w:rsid w:val="0B5C5276"/>
    <w:rsid w:val="0B8E28C6"/>
    <w:rsid w:val="0BCE544E"/>
    <w:rsid w:val="0BE64DFF"/>
    <w:rsid w:val="0C466D6D"/>
    <w:rsid w:val="0C5423F7"/>
    <w:rsid w:val="0C575FF6"/>
    <w:rsid w:val="0C8009B8"/>
    <w:rsid w:val="0C842FD4"/>
    <w:rsid w:val="0CA27A29"/>
    <w:rsid w:val="0CC102DA"/>
    <w:rsid w:val="0CC85F41"/>
    <w:rsid w:val="0CC87248"/>
    <w:rsid w:val="0CD5463E"/>
    <w:rsid w:val="0CE43FF6"/>
    <w:rsid w:val="0CE57F67"/>
    <w:rsid w:val="0CEB516B"/>
    <w:rsid w:val="0D0D1D0A"/>
    <w:rsid w:val="0D181113"/>
    <w:rsid w:val="0D1E4D9B"/>
    <w:rsid w:val="0D4D1326"/>
    <w:rsid w:val="0D6A2C36"/>
    <w:rsid w:val="0D7B34FF"/>
    <w:rsid w:val="0DB35CC0"/>
    <w:rsid w:val="0DB551C4"/>
    <w:rsid w:val="0DD9585D"/>
    <w:rsid w:val="0E306F6C"/>
    <w:rsid w:val="0E49595F"/>
    <w:rsid w:val="0E4C35DF"/>
    <w:rsid w:val="0E5927F2"/>
    <w:rsid w:val="0E6D4117"/>
    <w:rsid w:val="0EA43140"/>
    <w:rsid w:val="0EA50415"/>
    <w:rsid w:val="0EB8524B"/>
    <w:rsid w:val="0EB8667B"/>
    <w:rsid w:val="0ECE0C57"/>
    <w:rsid w:val="0F553CC8"/>
    <w:rsid w:val="0F86648B"/>
    <w:rsid w:val="0FBB3782"/>
    <w:rsid w:val="0FDE4D72"/>
    <w:rsid w:val="0FFA42BF"/>
    <w:rsid w:val="100B6D7F"/>
    <w:rsid w:val="100D075A"/>
    <w:rsid w:val="1055343B"/>
    <w:rsid w:val="106A3497"/>
    <w:rsid w:val="108219C2"/>
    <w:rsid w:val="10991918"/>
    <w:rsid w:val="10A120FB"/>
    <w:rsid w:val="10AB5B5F"/>
    <w:rsid w:val="10C112A0"/>
    <w:rsid w:val="10C11C69"/>
    <w:rsid w:val="10C54500"/>
    <w:rsid w:val="10C64B2B"/>
    <w:rsid w:val="10D61701"/>
    <w:rsid w:val="10DD2E35"/>
    <w:rsid w:val="113F6014"/>
    <w:rsid w:val="11536201"/>
    <w:rsid w:val="115D3DB9"/>
    <w:rsid w:val="11A75623"/>
    <w:rsid w:val="11AB00B6"/>
    <w:rsid w:val="11BD2BE2"/>
    <w:rsid w:val="11BE2038"/>
    <w:rsid w:val="11C40475"/>
    <w:rsid w:val="11DC0AC4"/>
    <w:rsid w:val="11E2439D"/>
    <w:rsid w:val="121A66AF"/>
    <w:rsid w:val="123928D6"/>
    <w:rsid w:val="12563B2D"/>
    <w:rsid w:val="126207EB"/>
    <w:rsid w:val="12A2571D"/>
    <w:rsid w:val="12A42EA7"/>
    <w:rsid w:val="12A506D3"/>
    <w:rsid w:val="12BA01F9"/>
    <w:rsid w:val="131C6135"/>
    <w:rsid w:val="13296CDD"/>
    <w:rsid w:val="133370C5"/>
    <w:rsid w:val="134E7573"/>
    <w:rsid w:val="13641F47"/>
    <w:rsid w:val="13890C2B"/>
    <w:rsid w:val="139E437B"/>
    <w:rsid w:val="13A420AC"/>
    <w:rsid w:val="13B62D6C"/>
    <w:rsid w:val="13C11723"/>
    <w:rsid w:val="13DB5CFA"/>
    <w:rsid w:val="13EB79B2"/>
    <w:rsid w:val="13F05B29"/>
    <w:rsid w:val="13FF2186"/>
    <w:rsid w:val="142B1883"/>
    <w:rsid w:val="145B46D3"/>
    <w:rsid w:val="14642D75"/>
    <w:rsid w:val="14A349D6"/>
    <w:rsid w:val="14C400FD"/>
    <w:rsid w:val="14CC6277"/>
    <w:rsid w:val="14F1297E"/>
    <w:rsid w:val="14F26225"/>
    <w:rsid w:val="15023387"/>
    <w:rsid w:val="15051B66"/>
    <w:rsid w:val="1505218A"/>
    <w:rsid w:val="151414F9"/>
    <w:rsid w:val="154C7AB0"/>
    <w:rsid w:val="15597511"/>
    <w:rsid w:val="155F4281"/>
    <w:rsid w:val="156F663C"/>
    <w:rsid w:val="158A110F"/>
    <w:rsid w:val="15B265C1"/>
    <w:rsid w:val="15B5072B"/>
    <w:rsid w:val="15BC540D"/>
    <w:rsid w:val="15C60FF4"/>
    <w:rsid w:val="160D3D01"/>
    <w:rsid w:val="16210B83"/>
    <w:rsid w:val="16583F2B"/>
    <w:rsid w:val="1659703F"/>
    <w:rsid w:val="16A30791"/>
    <w:rsid w:val="16AB3CAD"/>
    <w:rsid w:val="16E341B9"/>
    <w:rsid w:val="16F10A78"/>
    <w:rsid w:val="17104646"/>
    <w:rsid w:val="17226BDD"/>
    <w:rsid w:val="17446813"/>
    <w:rsid w:val="177551EA"/>
    <w:rsid w:val="178419DC"/>
    <w:rsid w:val="179B1D36"/>
    <w:rsid w:val="17C079EC"/>
    <w:rsid w:val="17C85124"/>
    <w:rsid w:val="17F76BA3"/>
    <w:rsid w:val="18086A43"/>
    <w:rsid w:val="182A66F0"/>
    <w:rsid w:val="18342AF3"/>
    <w:rsid w:val="18417AFA"/>
    <w:rsid w:val="186219FD"/>
    <w:rsid w:val="186247CB"/>
    <w:rsid w:val="186A6524"/>
    <w:rsid w:val="186F767B"/>
    <w:rsid w:val="187F0353"/>
    <w:rsid w:val="188852B3"/>
    <w:rsid w:val="18F62E16"/>
    <w:rsid w:val="18FB3FC3"/>
    <w:rsid w:val="1906444A"/>
    <w:rsid w:val="193C2BA0"/>
    <w:rsid w:val="19444428"/>
    <w:rsid w:val="19553BF7"/>
    <w:rsid w:val="197008AF"/>
    <w:rsid w:val="19746F33"/>
    <w:rsid w:val="197E61C1"/>
    <w:rsid w:val="198E03EA"/>
    <w:rsid w:val="198F29B9"/>
    <w:rsid w:val="19A86669"/>
    <w:rsid w:val="19C75256"/>
    <w:rsid w:val="19D74BC7"/>
    <w:rsid w:val="19D961EB"/>
    <w:rsid w:val="19E36F77"/>
    <w:rsid w:val="19FD49DB"/>
    <w:rsid w:val="1A041A8F"/>
    <w:rsid w:val="1A0822F2"/>
    <w:rsid w:val="1A274382"/>
    <w:rsid w:val="1A301C0B"/>
    <w:rsid w:val="1A3A675E"/>
    <w:rsid w:val="1A546A4C"/>
    <w:rsid w:val="1A6C3FF9"/>
    <w:rsid w:val="1A996190"/>
    <w:rsid w:val="1AAF33A8"/>
    <w:rsid w:val="1AB42370"/>
    <w:rsid w:val="1ACF1254"/>
    <w:rsid w:val="1AE83DAE"/>
    <w:rsid w:val="1AED5B63"/>
    <w:rsid w:val="1B1E6CAD"/>
    <w:rsid w:val="1B462375"/>
    <w:rsid w:val="1B4E57F8"/>
    <w:rsid w:val="1B5E3B97"/>
    <w:rsid w:val="1B6B0728"/>
    <w:rsid w:val="1BE61A9D"/>
    <w:rsid w:val="1BE748D5"/>
    <w:rsid w:val="1C392A3A"/>
    <w:rsid w:val="1C683E38"/>
    <w:rsid w:val="1CB1322F"/>
    <w:rsid w:val="1CEB1474"/>
    <w:rsid w:val="1CF3399B"/>
    <w:rsid w:val="1CFD2AFE"/>
    <w:rsid w:val="1D0B42B9"/>
    <w:rsid w:val="1D4D4A00"/>
    <w:rsid w:val="1D7E4D3F"/>
    <w:rsid w:val="1DAE3E96"/>
    <w:rsid w:val="1DC4038A"/>
    <w:rsid w:val="1DE30E61"/>
    <w:rsid w:val="1DE72E6D"/>
    <w:rsid w:val="1DF36090"/>
    <w:rsid w:val="1DFE25B1"/>
    <w:rsid w:val="1E1A7AD5"/>
    <w:rsid w:val="1E1B241E"/>
    <w:rsid w:val="1E34711A"/>
    <w:rsid w:val="1E3D6E5E"/>
    <w:rsid w:val="1E511FFA"/>
    <w:rsid w:val="1E675439"/>
    <w:rsid w:val="1E6B0815"/>
    <w:rsid w:val="1E752FA2"/>
    <w:rsid w:val="1E846B0F"/>
    <w:rsid w:val="1E8A1FBA"/>
    <w:rsid w:val="1ED9609A"/>
    <w:rsid w:val="1EF77273"/>
    <w:rsid w:val="1F0756AB"/>
    <w:rsid w:val="1F1B65D5"/>
    <w:rsid w:val="1F35289F"/>
    <w:rsid w:val="1F4E73A5"/>
    <w:rsid w:val="1F576E06"/>
    <w:rsid w:val="1F61098D"/>
    <w:rsid w:val="1F752242"/>
    <w:rsid w:val="1F756527"/>
    <w:rsid w:val="1F7F0170"/>
    <w:rsid w:val="1F8B56B0"/>
    <w:rsid w:val="1F8E0A45"/>
    <w:rsid w:val="1FAB395F"/>
    <w:rsid w:val="1FB41974"/>
    <w:rsid w:val="1FB8538A"/>
    <w:rsid w:val="1FF16224"/>
    <w:rsid w:val="201572E0"/>
    <w:rsid w:val="20272451"/>
    <w:rsid w:val="203255D2"/>
    <w:rsid w:val="20346C8F"/>
    <w:rsid w:val="20360EF9"/>
    <w:rsid w:val="20403C64"/>
    <w:rsid w:val="205905F2"/>
    <w:rsid w:val="205B3801"/>
    <w:rsid w:val="206618E4"/>
    <w:rsid w:val="207644C2"/>
    <w:rsid w:val="20A511F6"/>
    <w:rsid w:val="20A856C1"/>
    <w:rsid w:val="20BE1D38"/>
    <w:rsid w:val="20CD6F91"/>
    <w:rsid w:val="20E1795A"/>
    <w:rsid w:val="20FC30A5"/>
    <w:rsid w:val="21A07B88"/>
    <w:rsid w:val="21A34258"/>
    <w:rsid w:val="21A576DD"/>
    <w:rsid w:val="21B31BF6"/>
    <w:rsid w:val="21D24208"/>
    <w:rsid w:val="21E11F3F"/>
    <w:rsid w:val="22112D9C"/>
    <w:rsid w:val="226B2F60"/>
    <w:rsid w:val="22813299"/>
    <w:rsid w:val="229F2D1A"/>
    <w:rsid w:val="23363714"/>
    <w:rsid w:val="23461CA8"/>
    <w:rsid w:val="238A1BAA"/>
    <w:rsid w:val="23900E62"/>
    <w:rsid w:val="23BF3886"/>
    <w:rsid w:val="23CC720A"/>
    <w:rsid w:val="241A6B34"/>
    <w:rsid w:val="24285E2F"/>
    <w:rsid w:val="242A7B69"/>
    <w:rsid w:val="24553A74"/>
    <w:rsid w:val="246A25EE"/>
    <w:rsid w:val="247622DE"/>
    <w:rsid w:val="247A0059"/>
    <w:rsid w:val="2480482A"/>
    <w:rsid w:val="2483299C"/>
    <w:rsid w:val="24950DD7"/>
    <w:rsid w:val="24A05D8E"/>
    <w:rsid w:val="24B6555E"/>
    <w:rsid w:val="24FC7C66"/>
    <w:rsid w:val="250B2546"/>
    <w:rsid w:val="2519537A"/>
    <w:rsid w:val="255B7926"/>
    <w:rsid w:val="258041F6"/>
    <w:rsid w:val="258609CC"/>
    <w:rsid w:val="25B809C4"/>
    <w:rsid w:val="25D849A3"/>
    <w:rsid w:val="25E40E30"/>
    <w:rsid w:val="25ED68F6"/>
    <w:rsid w:val="261B55F8"/>
    <w:rsid w:val="261C0F72"/>
    <w:rsid w:val="261D5675"/>
    <w:rsid w:val="26325483"/>
    <w:rsid w:val="26344E1B"/>
    <w:rsid w:val="26410887"/>
    <w:rsid w:val="269B74E0"/>
    <w:rsid w:val="269C7CAD"/>
    <w:rsid w:val="27130F81"/>
    <w:rsid w:val="271B4DE1"/>
    <w:rsid w:val="272228DE"/>
    <w:rsid w:val="27443F4D"/>
    <w:rsid w:val="274B78E8"/>
    <w:rsid w:val="27573F76"/>
    <w:rsid w:val="27602485"/>
    <w:rsid w:val="2769659E"/>
    <w:rsid w:val="276C5E49"/>
    <w:rsid w:val="279F2942"/>
    <w:rsid w:val="27A70039"/>
    <w:rsid w:val="27CF15FE"/>
    <w:rsid w:val="27D42EE9"/>
    <w:rsid w:val="27E10A81"/>
    <w:rsid w:val="27FE6486"/>
    <w:rsid w:val="28054BC5"/>
    <w:rsid w:val="280B3F2E"/>
    <w:rsid w:val="280D1E20"/>
    <w:rsid w:val="281F590F"/>
    <w:rsid w:val="28341F0D"/>
    <w:rsid w:val="28736D78"/>
    <w:rsid w:val="2892323E"/>
    <w:rsid w:val="289361DE"/>
    <w:rsid w:val="28C3395C"/>
    <w:rsid w:val="291C5E47"/>
    <w:rsid w:val="295876DA"/>
    <w:rsid w:val="296D2D47"/>
    <w:rsid w:val="298C2767"/>
    <w:rsid w:val="29A77C84"/>
    <w:rsid w:val="29BF1EE8"/>
    <w:rsid w:val="29CB46C2"/>
    <w:rsid w:val="29DD1C13"/>
    <w:rsid w:val="29F77BA5"/>
    <w:rsid w:val="2A11264A"/>
    <w:rsid w:val="2A1E7389"/>
    <w:rsid w:val="2A3A6E77"/>
    <w:rsid w:val="2A4311FB"/>
    <w:rsid w:val="2A570814"/>
    <w:rsid w:val="2A85024C"/>
    <w:rsid w:val="2AA86BA1"/>
    <w:rsid w:val="2ABD2BAD"/>
    <w:rsid w:val="2AC8327F"/>
    <w:rsid w:val="2AD3142C"/>
    <w:rsid w:val="2B0D2F04"/>
    <w:rsid w:val="2B1D2572"/>
    <w:rsid w:val="2B206A2D"/>
    <w:rsid w:val="2B2D6BCA"/>
    <w:rsid w:val="2B3708E7"/>
    <w:rsid w:val="2B492E1A"/>
    <w:rsid w:val="2B4C1179"/>
    <w:rsid w:val="2B5D0EFC"/>
    <w:rsid w:val="2B6C36BA"/>
    <w:rsid w:val="2B7B0583"/>
    <w:rsid w:val="2BD60481"/>
    <w:rsid w:val="2BE40375"/>
    <w:rsid w:val="2BEA3FA7"/>
    <w:rsid w:val="2BF043DF"/>
    <w:rsid w:val="2BFE5B20"/>
    <w:rsid w:val="2C2E44D4"/>
    <w:rsid w:val="2C486A96"/>
    <w:rsid w:val="2C6D435A"/>
    <w:rsid w:val="2C7B6C71"/>
    <w:rsid w:val="2C8F2F38"/>
    <w:rsid w:val="2CA954CC"/>
    <w:rsid w:val="2CE67CB5"/>
    <w:rsid w:val="2D095658"/>
    <w:rsid w:val="2D357F0D"/>
    <w:rsid w:val="2D4E604F"/>
    <w:rsid w:val="2D5C2AB0"/>
    <w:rsid w:val="2D7A20E6"/>
    <w:rsid w:val="2D7B66E3"/>
    <w:rsid w:val="2D913577"/>
    <w:rsid w:val="2D9A3020"/>
    <w:rsid w:val="2DC57805"/>
    <w:rsid w:val="2DDF08DF"/>
    <w:rsid w:val="2DE76EE7"/>
    <w:rsid w:val="2DFF79D8"/>
    <w:rsid w:val="2E367C56"/>
    <w:rsid w:val="2E440885"/>
    <w:rsid w:val="2E4875EB"/>
    <w:rsid w:val="2EEE512C"/>
    <w:rsid w:val="2F7C571D"/>
    <w:rsid w:val="2F824436"/>
    <w:rsid w:val="2FA86B66"/>
    <w:rsid w:val="2FC82DC8"/>
    <w:rsid w:val="2FE823A5"/>
    <w:rsid w:val="2FEA1C57"/>
    <w:rsid w:val="30015004"/>
    <w:rsid w:val="300172B8"/>
    <w:rsid w:val="30284CE9"/>
    <w:rsid w:val="30945277"/>
    <w:rsid w:val="30C1548B"/>
    <w:rsid w:val="30C36ECA"/>
    <w:rsid w:val="30C71DD4"/>
    <w:rsid w:val="30D974AD"/>
    <w:rsid w:val="30DC7CB1"/>
    <w:rsid w:val="30DD7792"/>
    <w:rsid w:val="30ED30CC"/>
    <w:rsid w:val="31064141"/>
    <w:rsid w:val="311452F1"/>
    <w:rsid w:val="315A6EAF"/>
    <w:rsid w:val="31B477DB"/>
    <w:rsid w:val="31B67BE2"/>
    <w:rsid w:val="31CA71DD"/>
    <w:rsid w:val="32341738"/>
    <w:rsid w:val="324D055C"/>
    <w:rsid w:val="324E5138"/>
    <w:rsid w:val="325E1B93"/>
    <w:rsid w:val="32B943E0"/>
    <w:rsid w:val="32C70BAE"/>
    <w:rsid w:val="32D06D58"/>
    <w:rsid w:val="331E21CE"/>
    <w:rsid w:val="332B6F8B"/>
    <w:rsid w:val="33424DF8"/>
    <w:rsid w:val="33562A0D"/>
    <w:rsid w:val="335C55FD"/>
    <w:rsid w:val="33715F28"/>
    <w:rsid w:val="33F07155"/>
    <w:rsid w:val="340C6245"/>
    <w:rsid w:val="34113C74"/>
    <w:rsid w:val="343C4522"/>
    <w:rsid w:val="347A0336"/>
    <w:rsid w:val="348376B7"/>
    <w:rsid w:val="34B53587"/>
    <w:rsid w:val="34F92D63"/>
    <w:rsid w:val="35527F1F"/>
    <w:rsid w:val="35623E6F"/>
    <w:rsid w:val="35754D97"/>
    <w:rsid w:val="357914C0"/>
    <w:rsid w:val="35994264"/>
    <w:rsid w:val="35D721CD"/>
    <w:rsid w:val="36174333"/>
    <w:rsid w:val="3623081B"/>
    <w:rsid w:val="362B5212"/>
    <w:rsid w:val="3640586E"/>
    <w:rsid w:val="364A3F09"/>
    <w:rsid w:val="367A501B"/>
    <w:rsid w:val="369E57D4"/>
    <w:rsid w:val="36C137D0"/>
    <w:rsid w:val="36C91110"/>
    <w:rsid w:val="36EA4486"/>
    <w:rsid w:val="36F725CF"/>
    <w:rsid w:val="372D3763"/>
    <w:rsid w:val="37437FCF"/>
    <w:rsid w:val="3763284C"/>
    <w:rsid w:val="37A3423F"/>
    <w:rsid w:val="37A66325"/>
    <w:rsid w:val="37AF435B"/>
    <w:rsid w:val="37B82B0E"/>
    <w:rsid w:val="37D8509F"/>
    <w:rsid w:val="380178E9"/>
    <w:rsid w:val="38363F4B"/>
    <w:rsid w:val="385969A9"/>
    <w:rsid w:val="386866FF"/>
    <w:rsid w:val="38803663"/>
    <w:rsid w:val="389A539F"/>
    <w:rsid w:val="38B37216"/>
    <w:rsid w:val="38BD5C7F"/>
    <w:rsid w:val="38C5580C"/>
    <w:rsid w:val="38EC325F"/>
    <w:rsid w:val="39065B84"/>
    <w:rsid w:val="39236981"/>
    <w:rsid w:val="39286E54"/>
    <w:rsid w:val="394A5FEF"/>
    <w:rsid w:val="395956D6"/>
    <w:rsid w:val="398946BB"/>
    <w:rsid w:val="399117DD"/>
    <w:rsid w:val="39972637"/>
    <w:rsid w:val="399B386E"/>
    <w:rsid w:val="39D7104B"/>
    <w:rsid w:val="39DC06E8"/>
    <w:rsid w:val="39FA079B"/>
    <w:rsid w:val="3A34450F"/>
    <w:rsid w:val="3A3E0D9F"/>
    <w:rsid w:val="3A5573DE"/>
    <w:rsid w:val="3A5F4E3E"/>
    <w:rsid w:val="3AAB1306"/>
    <w:rsid w:val="3ABD0173"/>
    <w:rsid w:val="3AC172FF"/>
    <w:rsid w:val="3ACE23E2"/>
    <w:rsid w:val="3ADD35A8"/>
    <w:rsid w:val="3AFB3856"/>
    <w:rsid w:val="3B0D014A"/>
    <w:rsid w:val="3B227AA7"/>
    <w:rsid w:val="3B4241C0"/>
    <w:rsid w:val="3B556BCC"/>
    <w:rsid w:val="3B5F0280"/>
    <w:rsid w:val="3B7624F8"/>
    <w:rsid w:val="3BAB4C5D"/>
    <w:rsid w:val="3BEE1D6F"/>
    <w:rsid w:val="3BF1473C"/>
    <w:rsid w:val="3C1276AC"/>
    <w:rsid w:val="3C1D592B"/>
    <w:rsid w:val="3C211B9C"/>
    <w:rsid w:val="3C5211A4"/>
    <w:rsid w:val="3C543264"/>
    <w:rsid w:val="3C5C5688"/>
    <w:rsid w:val="3C6633BD"/>
    <w:rsid w:val="3CA475E5"/>
    <w:rsid w:val="3CA717F2"/>
    <w:rsid w:val="3CC445CD"/>
    <w:rsid w:val="3CC56579"/>
    <w:rsid w:val="3CED4B6C"/>
    <w:rsid w:val="3CF10988"/>
    <w:rsid w:val="3D0609D0"/>
    <w:rsid w:val="3D073283"/>
    <w:rsid w:val="3DAB460B"/>
    <w:rsid w:val="3DDA7DB2"/>
    <w:rsid w:val="3DE86112"/>
    <w:rsid w:val="3E342793"/>
    <w:rsid w:val="3E3C5235"/>
    <w:rsid w:val="3EA34B57"/>
    <w:rsid w:val="3EEF1E6E"/>
    <w:rsid w:val="3F532B3A"/>
    <w:rsid w:val="3F654598"/>
    <w:rsid w:val="3F8E03C8"/>
    <w:rsid w:val="3FC72695"/>
    <w:rsid w:val="3FD70A70"/>
    <w:rsid w:val="40110126"/>
    <w:rsid w:val="403F19EE"/>
    <w:rsid w:val="40571F31"/>
    <w:rsid w:val="40760623"/>
    <w:rsid w:val="408B7234"/>
    <w:rsid w:val="40E168C6"/>
    <w:rsid w:val="40E27AF7"/>
    <w:rsid w:val="40F80D82"/>
    <w:rsid w:val="410251EC"/>
    <w:rsid w:val="410C3893"/>
    <w:rsid w:val="41342A6B"/>
    <w:rsid w:val="413D2B71"/>
    <w:rsid w:val="414C7183"/>
    <w:rsid w:val="41523250"/>
    <w:rsid w:val="418D501C"/>
    <w:rsid w:val="41D557CA"/>
    <w:rsid w:val="41DF62BB"/>
    <w:rsid w:val="41E25CA6"/>
    <w:rsid w:val="41E9167B"/>
    <w:rsid w:val="41EE6927"/>
    <w:rsid w:val="420F7024"/>
    <w:rsid w:val="423A05B2"/>
    <w:rsid w:val="423C5247"/>
    <w:rsid w:val="423E693C"/>
    <w:rsid w:val="42416B50"/>
    <w:rsid w:val="424465AD"/>
    <w:rsid w:val="424D023F"/>
    <w:rsid w:val="42541DDE"/>
    <w:rsid w:val="4262379E"/>
    <w:rsid w:val="427A1188"/>
    <w:rsid w:val="42942F0B"/>
    <w:rsid w:val="42B15B0D"/>
    <w:rsid w:val="42C26D29"/>
    <w:rsid w:val="432A5E11"/>
    <w:rsid w:val="433B1167"/>
    <w:rsid w:val="4352128B"/>
    <w:rsid w:val="435F500F"/>
    <w:rsid w:val="438C6DAC"/>
    <w:rsid w:val="43C730CD"/>
    <w:rsid w:val="43CF2854"/>
    <w:rsid w:val="44087BCA"/>
    <w:rsid w:val="44350F69"/>
    <w:rsid w:val="445D4C52"/>
    <w:rsid w:val="44A527AB"/>
    <w:rsid w:val="44A567F5"/>
    <w:rsid w:val="453B1EBC"/>
    <w:rsid w:val="45635AEC"/>
    <w:rsid w:val="45A90F07"/>
    <w:rsid w:val="45BA54FA"/>
    <w:rsid w:val="45C810D7"/>
    <w:rsid w:val="45EC74A5"/>
    <w:rsid w:val="45FA6B69"/>
    <w:rsid w:val="460414DD"/>
    <w:rsid w:val="46114E42"/>
    <w:rsid w:val="46332B60"/>
    <w:rsid w:val="4654705C"/>
    <w:rsid w:val="466B2E70"/>
    <w:rsid w:val="468D2C1F"/>
    <w:rsid w:val="468D3CA5"/>
    <w:rsid w:val="46A51AB4"/>
    <w:rsid w:val="46B421B8"/>
    <w:rsid w:val="46EA7997"/>
    <w:rsid w:val="470243E7"/>
    <w:rsid w:val="471F1498"/>
    <w:rsid w:val="47271944"/>
    <w:rsid w:val="473E10CC"/>
    <w:rsid w:val="475C4BFE"/>
    <w:rsid w:val="475D7730"/>
    <w:rsid w:val="47BB044C"/>
    <w:rsid w:val="48262DE5"/>
    <w:rsid w:val="485226C4"/>
    <w:rsid w:val="487E085E"/>
    <w:rsid w:val="48DA35BF"/>
    <w:rsid w:val="48ED577E"/>
    <w:rsid w:val="48FB3C39"/>
    <w:rsid w:val="495D1E4B"/>
    <w:rsid w:val="49912790"/>
    <w:rsid w:val="49924247"/>
    <w:rsid w:val="49AF1267"/>
    <w:rsid w:val="49C0281D"/>
    <w:rsid w:val="49E3211A"/>
    <w:rsid w:val="49E449BF"/>
    <w:rsid w:val="49E82D09"/>
    <w:rsid w:val="49EC77B8"/>
    <w:rsid w:val="49ED5B1C"/>
    <w:rsid w:val="4A125A71"/>
    <w:rsid w:val="4A3F72E2"/>
    <w:rsid w:val="4A5548A9"/>
    <w:rsid w:val="4A8610DE"/>
    <w:rsid w:val="4AD45EF1"/>
    <w:rsid w:val="4AE04A18"/>
    <w:rsid w:val="4B1401ED"/>
    <w:rsid w:val="4B337454"/>
    <w:rsid w:val="4B407CC6"/>
    <w:rsid w:val="4B42232B"/>
    <w:rsid w:val="4B602ECF"/>
    <w:rsid w:val="4B825A76"/>
    <w:rsid w:val="4B86007D"/>
    <w:rsid w:val="4B8B3702"/>
    <w:rsid w:val="4B9B0D7E"/>
    <w:rsid w:val="4BC83B65"/>
    <w:rsid w:val="4BCF6DA3"/>
    <w:rsid w:val="4BDE2971"/>
    <w:rsid w:val="4C0C3B65"/>
    <w:rsid w:val="4C204239"/>
    <w:rsid w:val="4C247C80"/>
    <w:rsid w:val="4C564A31"/>
    <w:rsid w:val="4C92412F"/>
    <w:rsid w:val="4CA74E41"/>
    <w:rsid w:val="4CA91B51"/>
    <w:rsid w:val="4CB62537"/>
    <w:rsid w:val="4CC12D02"/>
    <w:rsid w:val="4CD2365B"/>
    <w:rsid w:val="4CFF6E23"/>
    <w:rsid w:val="4D0F484F"/>
    <w:rsid w:val="4D352804"/>
    <w:rsid w:val="4D374D03"/>
    <w:rsid w:val="4D4D529E"/>
    <w:rsid w:val="4D791805"/>
    <w:rsid w:val="4D8F2F88"/>
    <w:rsid w:val="4D910E42"/>
    <w:rsid w:val="4DB86BCB"/>
    <w:rsid w:val="4DD85058"/>
    <w:rsid w:val="4DED6ED9"/>
    <w:rsid w:val="4E0166A9"/>
    <w:rsid w:val="4E1551DB"/>
    <w:rsid w:val="4E47347D"/>
    <w:rsid w:val="4E540EE3"/>
    <w:rsid w:val="4E64232B"/>
    <w:rsid w:val="4E6C5E44"/>
    <w:rsid w:val="4E732061"/>
    <w:rsid w:val="4E7774D0"/>
    <w:rsid w:val="4EAA463D"/>
    <w:rsid w:val="4EC81A20"/>
    <w:rsid w:val="4EFE4539"/>
    <w:rsid w:val="4F594843"/>
    <w:rsid w:val="4F88590D"/>
    <w:rsid w:val="503C3BCC"/>
    <w:rsid w:val="50C41CF1"/>
    <w:rsid w:val="50F01F62"/>
    <w:rsid w:val="51217DA6"/>
    <w:rsid w:val="51294703"/>
    <w:rsid w:val="51425A27"/>
    <w:rsid w:val="5158757E"/>
    <w:rsid w:val="52012CEA"/>
    <w:rsid w:val="521A5D1E"/>
    <w:rsid w:val="523624DE"/>
    <w:rsid w:val="523E1EF0"/>
    <w:rsid w:val="526B2302"/>
    <w:rsid w:val="52735F79"/>
    <w:rsid w:val="52A23F56"/>
    <w:rsid w:val="52BA5471"/>
    <w:rsid w:val="52CC19B1"/>
    <w:rsid w:val="52D871F4"/>
    <w:rsid w:val="52F263D6"/>
    <w:rsid w:val="53024EB7"/>
    <w:rsid w:val="530F50CC"/>
    <w:rsid w:val="531F2139"/>
    <w:rsid w:val="53261795"/>
    <w:rsid w:val="534F62F7"/>
    <w:rsid w:val="53660E02"/>
    <w:rsid w:val="536F60C1"/>
    <w:rsid w:val="53953BE7"/>
    <w:rsid w:val="53DB2F56"/>
    <w:rsid w:val="53F51637"/>
    <w:rsid w:val="54041CD4"/>
    <w:rsid w:val="54124FEF"/>
    <w:rsid w:val="541C4B67"/>
    <w:rsid w:val="5424325D"/>
    <w:rsid w:val="54DD3304"/>
    <w:rsid w:val="54DE7CCB"/>
    <w:rsid w:val="550429BE"/>
    <w:rsid w:val="550E235A"/>
    <w:rsid w:val="552A2893"/>
    <w:rsid w:val="55417660"/>
    <w:rsid w:val="55427A76"/>
    <w:rsid w:val="55436287"/>
    <w:rsid w:val="556B045B"/>
    <w:rsid w:val="557D4E77"/>
    <w:rsid w:val="55C375DD"/>
    <w:rsid w:val="56156439"/>
    <w:rsid w:val="562716F5"/>
    <w:rsid w:val="56643532"/>
    <w:rsid w:val="56865BD8"/>
    <w:rsid w:val="568B5A7B"/>
    <w:rsid w:val="56997281"/>
    <w:rsid w:val="56C41BCC"/>
    <w:rsid w:val="570A6E63"/>
    <w:rsid w:val="573B0118"/>
    <w:rsid w:val="573D2268"/>
    <w:rsid w:val="57411925"/>
    <w:rsid w:val="57441E32"/>
    <w:rsid w:val="574E7265"/>
    <w:rsid w:val="57535542"/>
    <w:rsid w:val="57565282"/>
    <w:rsid w:val="575B3098"/>
    <w:rsid w:val="575E2B20"/>
    <w:rsid w:val="57A14CB5"/>
    <w:rsid w:val="57AF0FF1"/>
    <w:rsid w:val="57F55B90"/>
    <w:rsid w:val="580950F1"/>
    <w:rsid w:val="580F191D"/>
    <w:rsid w:val="581B6507"/>
    <w:rsid w:val="58276F84"/>
    <w:rsid w:val="58584813"/>
    <w:rsid w:val="58B728A2"/>
    <w:rsid w:val="58B868EB"/>
    <w:rsid w:val="58CD6892"/>
    <w:rsid w:val="58D46744"/>
    <w:rsid w:val="58DA17E1"/>
    <w:rsid w:val="590D059A"/>
    <w:rsid w:val="592802C2"/>
    <w:rsid w:val="595B0B5E"/>
    <w:rsid w:val="59623A6F"/>
    <w:rsid w:val="596D1AD9"/>
    <w:rsid w:val="5978735A"/>
    <w:rsid w:val="599424C5"/>
    <w:rsid w:val="59E42114"/>
    <w:rsid w:val="59E710C8"/>
    <w:rsid w:val="5A1C59A1"/>
    <w:rsid w:val="5A241F17"/>
    <w:rsid w:val="5A407674"/>
    <w:rsid w:val="5A432974"/>
    <w:rsid w:val="5A67161C"/>
    <w:rsid w:val="5A6A20C5"/>
    <w:rsid w:val="5A851102"/>
    <w:rsid w:val="5A855DBB"/>
    <w:rsid w:val="5AB52168"/>
    <w:rsid w:val="5AD64AF2"/>
    <w:rsid w:val="5AF377C8"/>
    <w:rsid w:val="5B0449BC"/>
    <w:rsid w:val="5B1C3E02"/>
    <w:rsid w:val="5B513157"/>
    <w:rsid w:val="5B517209"/>
    <w:rsid w:val="5B544EB3"/>
    <w:rsid w:val="5B6A33DD"/>
    <w:rsid w:val="5B7C5AEB"/>
    <w:rsid w:val="5BA144BF"/>
    <w:rsid w:val="5BD84182"/>
    <w:rsid w:val="5BF04FFA"/>
    <w:rsid w:val="5C166CB5"/>
    <w:rsid w:val="5C241AEE"/>
    <w:rsid w:val="5C4D2649"/>
    <w:rsid w:val="5C6F6375"/>
    <w:rsid w:val="5C741B1E"/>
    <w:rsid w:val="5C8D6CFF"/>
    <w:rsid w:val="5C966EB6"/>
    <w:rsid w:val="5CB336E1"/>
    <w:rsid w:val="5CB9068F"/>
    <w:rsid w:val="5CE00D30"/>
    <w:rsid w:val="5CED4821"/>
    <w:rsid w:val="5CF21AD5"/>
    <w:rsid w:val="5CF77CCA"/>
    <w:rsid w:val="5D013462"/>
    <w:rsid w:val="5D3351AF"/>
    <w:rsid w:val="5D604E0E"/>
    <w:rsid w:val="5D633362"/>
    <w:rsid w:val="5D656BAA"/>
    <w:rsid w:val="5D6672E4"/>
    <w:rsid w:val="5D6A28B8"/>
    <w:rsid w:val="5D6B7BC6"/>
    <w:rsid w:val="5D6C21B2"/>
    <w:rsid w:val="5D827878"/>
    <w:rsid w:val="5D88228C"/>
    <w:rsid w:val="5D8F3707"/>
    <w:rsid w:val="5DA67CA3"/>
    <w:rsid w:val="5DBF6011"/>
    <w:rsid w:val="5DC13CCC"/>
    <w:rsid w:val="5DC55564"/>
    <w:rsid w:val="5DDA5570"/>
    <w:rsid w:val="5DE86882"/>
    <w:rsid w:val="5E01254D"/>
    <w:rsid w:val="5E0D6E91"/>
    <w:rsid w:val="5E1D75C7"/>
    <w:rsid w:val="5E264AF8"/>
    <w:rsid w:val="5E3B413F"/>
    <w:rsid w:val="5E6C5A58"/>
    <w:rsid w:val="5E7B5BB1"/>
    <w:rsid w:val="5E971B73"/>
    <w:rsid w:val="5EA12B9A"/>
    <w:rsid w:val="5EA827B4"/>
    <w:rsid w:val="5EB61B43"/>
    <w:rsid w:val="5EBA7075"/>
    <w:rsid w:val="5EBF5DC8"/>
    <w:rsid w:val="5F02275D"/>
    <w:rsid w:val="5F136037"/>
    <w:rsid w:val="5F14059B"/>
    <w:rsid w:val="5F291E1B"/>
    <w:rsid w:val="5F551AC0"/>
    <w:rsid w:val="5F616E2A"/>
    <w:rsid w:val="5FCC65B3"/>
    <w:rsid w:val="5FE015B4"/>
    <w:rsid w:val="5FEE3CFF"/>
    <w:rsid w:val="6018182B"/>
    <w:rsid w:val="601E0F43"/>
    <w:rsid w:val="60250281"/>
    <w:rsid w:val="60321D44"/>
    <w:rsid w:val="60596F8D"/>
    <w:rsid w:val="608075E1"/>
    <w:rsid w:val="60E47C4C"/>
    <w:rsid w:val="60E60A17"/>
    <w:rsid w:val="61326FB1"/>
    <w:rsid w:val="61384C31"/>
    <w:rsid w:val="61387C98"/>
    <w:rsid w:val="616336B3"/>
    <w:rsid w:val="61744854"/>
    <w:rsid w:val="61857CB5"/>
    <w:rsid w:val="618F58DC"/>
    <w:rsid w:val="619A179D"/>
    <w:rsid w:val="61E77A7E"/>
    <w:rsid w:val="62257ECD"/>
    <w:rsid w:val="622A4138"/>
    <w:rsid w:val="62385483"/>
    <w:rsid w:val="62385A6C"/>
    <w:rsid w:val="625901DA"/>
    <w:rsid w:val="62795257"/>
    <w:rsid w:val="62876D77"/>
    <w:rsid w:val="62A44AFB"/>
    <w:rsid w:val="62CA4AF4"/>
    <w:rsid w:val="62DF6E12"/>
    <w:rsid w:val="62E4371E"/>
    <w:rsid w:val="62FD1DFD"/>
    <w:rsid w:val="632045D1"/>
    <w:rsid w:val="6342544F"/>
    <w:rsid w:val="63720424"/>
    <w:rsid w:val="639234F2"/>
    <w:rsid w:val="63A31ABC"/>
    <w:rsid w:val="63C65078"/>
    <w:rsid w:val="63EA156F"/>
    <w:rsid w:val="63EA6D88"/>
    <w:rsid w:val="6410370B"/>
    <w:rsid w:val="64106CE7"/>
    <w:rsid w:val="64621F9C"/>
    <w:rsid w:val="649C75C9"/>
    <w:rsid w:val="64A537DD"/>
    <w:rsid w:val="64B51DAE"/>
    <w:rsid w:val="64B62A61"/>
    <w:rsid w:val="64B96E85"/>
    <w:rsid w:val="64BB6795"/>
    <w:rsid w:val="64D069A0"/>
    <w:rsid w:val="64F27E75"/>
    <w:rsid w:val="65067C78"/>
    <w:rsid w:val="651152E5"/>
    <w:rsid w:val="6542498D"/>
    <w:rsid w:val="655D358A"/>
    <w:rsid w:val="65600ACC"/>
    <w:rsid w:val="65662197"/>
    <w:rsid w:val="658C79F9"/>
    <w:rsid w:val="65A33DF6"/>
    <w:rsid w:val="65B451D1"/>
    <w:rsid w:val="65BE04E1"/>
    <w:rsid w:val="65C11C22"/>
    <w:rsid w:val="65F429F0"/>
    <w:rsid w:val="65F4344F"/>
    <w:rsid w:val="66255B72"/>
    <w:rsid w:val="663F056D"/>
    <w:rsid w:val="665A6FDB"/>
    <w:rsid w:val="665B440E"/>
    <w:rsid w:val="66720AD3"/>
    <w:rsid w:val="66B368AE"/>
    <w:rsid w:val="66B532F3"/>
    <w:rsid w:val="66C2760F"/>
    <w:rsid w:val="66C71719"/>
    <w:rsid w:val="66CB2597"/>
    <w:rsid w:val="66E65335"/>
    <w:rsid w:val="66FA7FFA"/>
    <w:rsid w:val="66FD19D6"/>
    <w:rsid w:val="675A3B6C"/>
    <w:rsid w:val="678B4DA6"/>
    <w:rsid w:val="67AC0D53"/>
    <w:rsid w:val="67AF7DB6"/>
    <w:rsid w:val="680564C6"/>
    <w:rsid w:val="68084323"/>
    <w:rsid w:val="681B3F7A"/>
    <w:rsid w:val="68233428"/>
    <w:rsid w:val="68291784"/>
    <w:rsid w:val="6847289A"/>
    <w:rsid w:val="68494570"/>
    <w:rsid w:val="68746C8D"/>
    <w:rsid w:val="687C35AE"/>
    <w:rsid w:val="689D7548"/>
    <w:rsid w:val="68B54AF7"/>
    <w:rsid w:val="68BB527D"/>
    <w:rsid w:val="68C96D98"/>
    <w:rsid w:val="68CA009F"/>
    <w:rsid w:val="68D402C9"/>
    <w:rsid w:val="68D670D7"/>
    <w:rsid w:val="68E43EF4"/>
    <w:rsid w:val="68E4572E"/>
    <w:rsid w:val="695B5920"/>
    <w:rsid w:val="6968782D"/>
    <w:rsid w:val="698A692A"/>
    <w:rsid w:val="699E5999"/>
    <w:rsid w:val="69B35A0D"/>
    <w:rsid w:val="69B822F3"/>
    <w:rsid w:val="69C27799"/>
    <w:rsid w:val="69CC607C"/>
    <w:rsid w:val="69EA1163"/>
    <w:rsid w:val="69F96768"/>
    <w:rsid w:val="6A176492"/>
    <w:rsid w:val="6A287F98"/>
    <w:rsid w:val="6A617707"/>
    <w:rsid w:val="6A657B3D"/>
    <w:rsid w:val="6A886720"/>
    <w:rsid w:val="6AB40496"/>
    <w:rsid w:val="6ABD1D5E"/>
    <w:rsid w:val="6AC0289E"/>
    <w:rsid w:val="6AF33939"/>
    <w:rsid w:val="6B0F60AF"/>
    <w:rsid w:val="6B795D62"/>
    <w:rsid w:val="6B894EA4"/>
    <w:rsid w:val="6B981EF4"/>
    <w:rsid w:val="6BC747F5"/>
    <w:rsid w:val="6BD35CE4"/>
    <w:rsid w:val="6BDF5D46"/>
    <w:rsid w:val="6BF1529E"/>
    <w:rsid w:val="6BF66D35"/>
    <w:rsid w:val="6C1272FC"/>
    <w:rsid w:val="6C3014BE"/>
    <w:rsid w:val="6C38001D"/>
    <w:rsid w:val="6C5D414F"/>
    <w:rsid w:val="6C77423E"/>
    <w:rsid w:val="6C9C2F85"/>
    <w:rsid w:val="6C9D6944"/>
    <w:rsid w:val="6CDE17FD"/>
    <w:rsid w:val="6CF21452"/>
    <w:rsid w:val="6D1D2C91"/>
    <w:rsid w:val="6D232D3C"/>
    <w:rsid w:val="6D2F5D1E"/>
    <w:rsid w:val="6D5B4A2E"/>
    <w:rsid w:val="6D792112"/>
    <w:rsid w:val="6DA004EB"/>
    <w:rsid w:val="6DE309B5"/>
    <w:rsid w:val="6DFA6ED4"/>
    <w:rsid w:val="6E233D2E"/>
    <w:rsid w:val="6E641038"/>
    <w:rsid w:val="6EB36C33"/>
    <w:rsid w:val="6EBD0EA6"/>
    <w:rsid w:val="6EBF38BA"/>
    <w:rsid w:val="6ED70A72"/>
    <w:rsid w:val="6F2E7208"/>
    <w:rsid w:val="6F435405"/>
    <w:rsid w:val="6F4810D8"/>
    <w:rsid w:val="6F6D2BAA"/>
    <w:rsid w:val="6F7C3054"/>
    <w:rsid w:val="6F992A5F"/>
    <w:rsid w:val="6F9A4A47"/>
    <w:rsid w:val="6FDC792B"/>
    <w:rsid w:val="701310D6"/>
    <w:rsid w:val="701710D0"/>
    <w:rsid w:val="702520EE"/>
    <w:rsid w:val="703777AC"/>
    <w:rsid w:val="70795456"/>
    <w:rsid w:val="707E2BAC"/>
    <w:rsid w:val="709946EC"/>
    <w:rsid w:val="70DB4562"/>
    <w:rsid w:val="70FF4497"/>
    <w:rsid w:val="71C9027A"/>
    <w:rsid w:val="724D262A"/>
    <w:rsid w:val="72702455"/>
    <w:rsid w:val="72724CC0"/>
    <w:rsid w:val="72740FD0"/>
    <w:rsid w:val="728F2E47"/>
    <w:rsid w:val="72973011"/>
    <w:rsid w:val="72CD6505"/>
    <w:rsid w:val="72E25592"/>
    <w:rsid w:val="72E42D1B"/>
    <w:rsid w:val="72EA2DD0"/>
    <w:rsid w:val="730254E2"/>
    <w:rsid w:val="730C52E1"/>
    <w:rsid w:val="734F0911"/>
    <w:rsid w:val="736054C4"/>
    <w:rsid w:val="736C572D"/>
    <w:rsid w:val="73A422EB"/>
    <w:rsid w:val="73C80EF6"/>
    <w:rsid w:val="73D74043"/>
    <w:rsid w:val="73E67F55"/>
    <w:rsid w:val="74103E55"/>
    <w:rsid w:val="74456E15"/>
    <w:rsid w:val="745B622A"/>
    <w:rsid w:val="753E2D2E"/>
    <w:rsid w:val="753F2F7D"/>
    <w:rsid w:val="75A744DB"/>
    <w:rsid w:val="75CD0955"/>
    <w:rsid w:val="75DB13A5"/>
    <w:rsid w:val="75E552E3"/>
    <w:rsid w:val="76190159"/>
    <w:rsid w:val="76346E4E"/>
    <w:rsid w:val="7648538B"/>
    <w:rsid w:val="76531223"/>
    <w:rsid w:val="76640645"/>
    <w:rsid w:val="76684159"/>
    <w:rsid w:val="767E47F6"/>
    <w:rsid w:val="7692158A"/>
    <w:rsid w:val="76BD747C"/>
    <w:rsid w:val="76CD52EB"/>
    <w:rsid w:val="76FE004A"/>
    <w:rsid w:val="77521238"/>
    <w:rsid w:val="77A268F6"/>
    <w:rsid w:val="77A519A7"/>
    <w:rsid w:val="77B415CE"/>
    <w:rsid w:val="77CC3658"/>
    <w:rsid w:val="77E26A35"/>
    <w:rsid w:val="780F54C3"/>
    <w:rsid w:val="782C6CF7"/>
    <w:rsid w:val="783446C7"/>
    <w:rsid w:val="78557FA3"/>
    <w:rsid w:val="78644FBF"/>
    <w:rsid w:val="78680ECD"/>
    <w:rsid w:val="787F150D"/>
    <w:rsid w:val="787F4828"/>
    <w:rsid w:val="7880670B"/>
    <w:rsid w:val="789B60E9"/>
    <w:rsid w:val="78A42633"/>
    <w:rsid w:val="78EE7F5B"/>
    <w:rsid w:val="78F11CE1"/>
    <w:rsid w:val="78F66955"/>
    <w:rsid w:val="79053EDA"/>
    <w:rsid w:val="79097264"/>
    <w:rsid w:val="791D3993"/>
    <w:rsid w:val="79202162"/>
    <w:rsid w:val="7924138B"/>
    <w:rsid w:val="792B2C95"/>
    <w:rsid w:val="79432371"/>
    <w:rsid w:val="79537777"/>
    <w:rsid w:val="79826449"/>
    <w:rsid w:val="79B751C6"/>
    <w:rsid w:val="79BC4873"/>
    <w:rsid w:val="79CC5889"/>
    <w:rsid w:val="79D339B9"/>
    <w:rsid w:val="7A006295"/>
    <w:rsid w:val="7A196FEC"/>
    <w:rsid w:val="7A200C95"/>
    <w:rsid w:val="7A531881"/>
    <w:rsid w:val="7A594332"/>
    <w:rsid w:val="7A5B0BA8"/>
    <w:rsid w:val="7A793420"/>
    <w:rsid w:val="7A8564DB"/>
    <w:rsid w:val="7A946C2F"/>
    <w:rsid w:val="7A9A559C"/>
    <w:rsid w:val="7AB76752"/>
    <w:rsid w:val="7AB935F2"/>
    <w:rsid w:val="7AC22B97"/>
    <w:rsid w:val="7ACD6F24"/>
    <w:rsid w:val="7AF4064D"/>
    <w:rsid w:val="7AF6556E"/>
    <w:rsid w:val="7B1F77A4"/>
    <w:rsid w:val="7B292799"/>
    <w:rsid w:val="7B3F5420"/>
    <w:rsid w:val="7BCF2874"/>
    <w:rsid w:val="7C0471A6"/>
    <w:rsid w:val="7C090682"/>
    <w:rsid w:val="7C1816D2"/>
    <w:rsid w:val="7C27141B"/>
    <w:rsid w:val="7C42064D"/>
    <w:rsid w:val="7C6A6CA8"/>
    <w:rsid w:val="7CB31FBB"/>
    <w:rsid w:val="7CEC5EE7"/>
    <w:rsid w:val="7CF04E00"/>
    <w:rsid w:val="7D0B459E"/>
    <w:rsid w:val="7D2703B4"/>
    <w:rsid w:val="7D41026F"/>
    <w:rsid w:val="7D59343F"/>
    <w:rsid w:val="7D67119E"/>
    <w:rsid w:val="7D6C098F"/>
    <w:rsid w:val="7D6D2474"/>
    <w:rsid w:val="7DA65D72"/>
    <w:rsid w:val="7DE208A3"/>
    <w:rsid w:val="7DF90E0B"/>
    <w:rsid w:val="7DFE7906"/>
    <w:rsid w:val="7E0A78B3"/>
    <w:rsid w:val="7E2912F3"/>
    <w:rsid w:val="7E6305EF"/>
    <w:rsid w:val="7E8D50F9"/>
    <w:rsid w:val="7EBA6AA6"/>
    <w:rsid w:val="7ED713AA"/>
    <w:rsid w:val="7EDA5201"/>
    <w:rsid w:val="7EE7304B"/>
    <w:rsid w:val="7EEE63E6"/>
    <w:rsid w:val="7EF87C50"/>
    <w:rsid w:val="7F3205C6"/>
    <w:rsid w:val="7F541664"/>
    <w:rsid w:val="7F5737FE"/>
    <w:rsid w:val="7F62667B"/>
    <w:rsid w:val="7F697999"/>
    <w:rsid w:val="7F9026D0"/>
    <w:rsid w:val="7F984417"/>
    <w:rsid w:val="7FDB730C"/>
    <w:rsid w:val="7FDC7239"/>
    <w:rsid w:val="7FE41A2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tabs>
        <w:tab w:val="left" w:pos="540"/>
      </w:tabs>
      <w:ind w:firstLine="420" w:firstLineChars="200"/>
    </w:pPr>
  </w:style>
  <w:style w:type="paragraph" w:styleId="3">
    <w:name w:val="Body Text Indent"/>
    <w:basedOn w:val="1"/>
    <w:qFormat/>
    <w:uiPriority w:val="0"/>
    <w:pPr>
      <w:ind w:left="420" w:firstLine="744"/>
    </w:pPr>
    <w:rPr>
      <w:rFonts w:ascii="宋体" w:hAnsi="宋体"/>
      <w:szCs w:val="24"/>
    </w:rPr>
  </w:style>
  <w:style w:type="paragraph" w:styleId="5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12">
    <w:name w:val="页眉 字符"/>
    <w:basedOn w:val="10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字符"/>
    <w:basedOn w:val="10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批注框文本 字符"/>
    <w:basedOn w:val="10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text|1"/>
    <w:basedOn w:val="1"/>
    <w:qFormat/>
    <w:uiPriority w:val="0"/>
    <w:pPr>
      <w:spacing w:after="80"/>
    </w:pPr>
    <w:rPr>
      <w:rFonts w:ascii="MingLiU" w:hAnsi="MingLiU" w:eastAsia="MingLiU" w:cs="MingLiU"/>
      <w:sz w:val="20"/>
      <w:lang w:val="zh-TW" w:eastAsia="zh-TW" w:bidi="zh-TW"/>
    </w:rPr>
  </w:style>
  <w:style w:type="paragraph" w:customStyle="1" w:styleId="17">
    <w:name w:val="Header 9pt Table Centered"/>
    <w:basedOn w:val="1"/>
    <w:qFormat/>
    <w:uiPriority w:val="0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character" w:customStyle="1" w:styleId="18">
    <w:name w:val="font31"/>
    <w:basedOn w:val="10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9">
    <w:name w:val="font1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0">
    <w:name w:val="font21"/>
    <w:basedOn w:val="10"/>
    <w:qFormat/>
    <w:uiPriority w:val="0"/>
    <w:rPr>
      <w:rFonts w:hint="default" w:ascii="Calibri" w:hAnsi="Calibri" w:cs="Calibri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7121</Words>
  <Characters>7701</Characters>
  <Lines>90</Lines>
  <Paragraphs>25</Paragraphs>
  <TotalTime>1</TotalTime>
  <ScaleCrop>false</ScaleCrop>
  <LinksUpToDate>false</LinksUpToDate>
  <CharactersWithSpaces>8795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2020-10-18T07:46:00Z</dcterms:created>
  <dc:creator>微软用户</dc:creator>
  <cp:lastModifiedBy>肖新龙</cp:lastModifiedBy>
  <dcterms:modified xsi:type="dcterms:W3CDTF">2022-09-27T16:34:54Z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9F8386DF6CF34C02B5639E28D8D727CA</vt:lpwstr>
  </property>
</Properties>
</file>