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压缩式可洗井封融器上接头外径测量</w:t>
            </w: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101</w:t>
            </w:r>
            <w:r>
              <w:rPr>
                <w:rFonts w:hint="eastAsia"/>
                <w:sz w:val="24"/>
              </w:rPr>
              <w:t>±0.1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101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(0-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</w:rPr>
              <w:t>0)mm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YS</w:t>
            </w:r>
            <w:r>
              <w:rPr>
                <w:rFonts w:hint="eastAsia"/>
              </w:rPr>
              <w:t xml:space="preserve"> /CL-01《压缩式可洗井封融器上接头外径测量过程控制规范》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赵秀荣</w:t>
            </w:r>
            <w:r>
              <w:rPr>
                <w:rFonts w:hint="eastAsia" w:ascii="Times New Roman" w:hAnsi="Times New Roman"/>
                <w:color w:val="auto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压缩式可洗井封融器上接头外径测量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压缩式可洗井封融器上接头外径测量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压缩式可洗井封融器上接头外径测量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见《压缩式可洗井封融器上接头外径测量过程监视统计质控图》附录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宋体" w:hAnsi="宋体" w:cs="宋体"/>
          <w:kern w:val="0"/>
          <w:szCs w:val="21"/>
        </w:rPr>
        <w:drawing>
          <wp:inline distT="0" distB="0" distL="114300" distR="114300">
            <wp:extent cx="551815" cy="334645"/>
            <wp:effectExtent l="0" t="0" r="6985" b="8255"/>
            <wp:docPr id="2" name="图片 2" descr="65aca27de05b34fba2e0a4ee5c273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aca27de05b34fba2e0a4ee5c2737c"/>
                    <pic:cNvPicPr>
                      <a:picLocks noChangeAspect="1"/>
                    </pic:cNvPicPr>
                  </pic:nvPicPr>
                  <pic:blipFill>
                    <a:blip r:embed="rId6"/>
                    <a:srcRect l="53339" t="55197" r="24683" b="38486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E1D1C30"/>
    <w:rsid w:val="5F5E3926"/>
    <w:rsid w:val="6D8C0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649</Characters>
  <Lines>4</Lines>
  <Paragraphs>1</Paragraphs>
  <TotalTime>0</TotalTime>
  <ScaleCrop>false</ScaleCrop>
  <LinksUpToDate>false</LinksUpToDate>
  <CharactersWithSpaces>709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2022-05-12T08:20:22Z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9FD102E153F0422193D77FF9A1AE83B1</vt:lpwstr>
  </property>
</Properties>
</file>