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领导层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 xml:space="preserve">王会兰 </w:t>
            </w:r>
            <w:bookmarkStart w:id="2" w:name="_GoBack"/>
            <w:bookmarkEnd w:id="2"/>
            <w:r>
              <w:rPr>
                <w:rFonts w:hint="eastAsia"/>
                <w:color w:val="auto"/>
                <w:sz w:val="24"/>
                <w:szCs w:val="24"/>
                <w:lang w:val="en-US" w:eastAsia="zh-CN"/>
              </w:rPr>
              <w:t xml:space="preserve"> 远程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bookmarkStart w:id="0" w:name="审核组成员不含组长"/>
            <w:r>
              <w:rPr>
                <w:rFonts w:hint="eastAsia"/>
                <w:color w:val="auto"/>
                <w:sz w:val="24"/>
                <w:szCs w:val="24"/>
              </w:rPr>
              <w:t>杨庆</w:t>
            </w:r>
            <w:bookmarkEnd w:id="0"/>
            <w:r>
              <w:rPr>
                <w:rFonts w:hint="eastAsia"/>
                <w:color w:val="auto"/>
                <w:sz w:val="24"/>
                <w:szCs w:val="24"/>
                <w:lang w:val="en-US" w:eastAsia="zh-CN"/>
              </w:rPr>
              <w:t xml:space="preserve">  </w:t>
            </w:r>
            <w:r>
              <w:rPr>
                <w:rFonts w:hint="eastAsia"/>
                <w:color w:val="auto"/>
                <w:sz w:val="24"/>
                <w:szCs w:val="24"/>
              </w:rPr>
              <w:t>审核时间：</w:t>
            </w:r>
            <w:bookmarkStart w:id="1" w:name="审核日期"/>
            <w:r>
              <w:rPr>
                <w:color w:val="auto"/>
              </w:rPr>
              <w:t>2022年05月12日  下午</w:t>
            </w:r>
            <w:bookmarkEnd w:id="1"/>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60" w:lineRule="auto"/>
              <w:jc w:val="left"/>
              <w:rPr>
                <w:rFonts w:hint="eastAsia" w:ascii="宋体" w:hAnsi="宋体" w:cs="宋体"/>
                <w:color w:val="auto"/>
                <w:szCs w:val="21"/>
                <w:lang w:eastAsia="zh-CN"/>
              </w:rPr>
            </w:pPr>
            <w:r>
              <w:rPr>
                <w:rFonts w:hint="eastAsia"/>
                <w:color w:val="auto"/>
                <w:sz w:val="24"/>
                <w:szCs w:val="24"/>
              </w:rPr>
              <w:t>审核条款：</w:t>
            </w:r>
            <w:r>
              <w:rPr>
                <w:rFonts w:hint="eastAsia" w:ascii="宋体" w:hAnsi="宋体" w:cs="宋体"/>
                <w:color w:val="auto"/>
                <w:szCs w:val="21"/>
              </w:rPr>
              <w:t>QMS-2015 ：</w:t>
            </w:r>
          </w:p>
          <w:p>
            <w:pPr>
              <w:keepNext w:val="0"/>
              <w:keepLines w:val="0"/>
              <w:widowControl/>
              <w:suppressLineNumbers w:val="0"/>
              <w:jc w:val="left"/>
              <w:rPr>
                <w:rFonts w:hint="eastAsia" w:ascii="仿宋" w:hAnsi="仿宋" w:eastAsia="仿宋" w:cs="仿宋"/>
                <w:b w:val="0"/>
                <w:bCs w:val="0"/>
                <w:color w:val="auto"/>
                <w:kern w:val="0"/>
                <w:sz w:val="24"/>
                <w:szCs w:val="24"/>
                <w:u w:val="none"/>
                <w:lang w:val="en-US" w:eastAsia="zh-CN" w:bidi="ar"/>
              </w:rPr>
            </w:pPr>
            <w:r>
              <w:rPr>
                <w:rFonts w:ascii="仿宋" w:hAnsi="仿宋" w:eastAsia="仿宋" w:cs="仿宋"/>
                <w:b w:val="0"/>
                <w:bCs w:val="0"/>
                <w:color w:val="auto"/>
                <w:kern w:val="0"/>
                <w:sz w:val="24"/>
                <w:szCs w:val="24"/>
                <w:u w:val="none"/>
                <w:lang w:val="en-US" w:eastAsia="zh-CN" w:bidi="ar"/>
              </w:rPr>
              <w:t>Q:4.1/4.2/4.3/4.4/</w:t>
            </w:r>
            <w:r>
              <w:rPr>
                <w:rFonts w:hint="eastAsia" w:ascii="仿宋" w:hAnsi="仿宋" w:eastAsia="仿宋" w:cs="仿宋"/>
                <w:b w:val="0"/>
                <w:bCs w:val="0"/>
                <w:color w:val="auto"/>
                <w:kern w:val="0"/>
                <w:sz w:val="24"/>
                <w:szCs w:val="24"/>
                <w:u w:val="none"/>
                <w:lang w:val="en-US" w:eastAsia="zh-CN" w:bidi="ar"/>
              </w:rPr>
              <w:t xml:space="preserve">5.1/5.2/5.3/6.1/6.2/6.3/7.1.1/9.3/10.1/10.3 </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Times New Roman" w:hAnsi="Times New Roman" w:eastAsia="宋体" w:cs="Times New Roman"/>
                <w:color w:val="auto"/>
                <w:kern w:val="2"/>
                <w:sz w:val="21"/>
                <w:lang w:val="en-US" w:eastAsia="zh-CN" w:bidi="ar-SA"/>
              </w:rPr>
            </w:pPr>
          </w:p>
        </w:tc>
        <w:tc>
          <w:tcPr>
            <w:tcW w:w="960" w:type="dxa"/>
            <w:vAlign w:val="top"/>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rFonts w:ascii="Times New Roman" w:hAnsi="Times New Roman" w:eastAsia="宋体" w:cs="Times New Roman"/>
                <w:color w:val="auto"/>
                <w:kern w:val="2"/>
                <w:sz w:val="21"/>
                <w:lang w:val="en-US" w:eastAsia="zh-CN" w:bidi="ar-SA"/>
              </w:rPr>
            </w:pPr>
          </w:p>
        </w:tc>
        <w:tc>
          <w:tcPr>
            <w:tcW w:w="10004" w:type="dxa"/>
            <w:vAlign w:val="top"/>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eastAsia="zh-CN"/>
              </w:rPr>
              <w:t>《风险和机遇评估分析表》</w:t>
            </w:r>
            <w:r>
              <w:rPr>
                <w:rFonts w:hint="eastAsia" w:ascii="宋体" w:hAnsi="宋体" w:cs="宋体"/>
                <w:color w:val="auto"/>
                <w:szCs w:val="21"/>
              </w:rPr>
              <w:t>，内容及记录清晰。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w:t>
            </w:r>
            <w:r>
              <w:rPr>
                <w:rFonts w:hint="eastAsia" w:ascii="宋体" w:hAnsi="宋体" w:cs="宋体"/>
                <w:color w:val="auto"/>
                <w:szCs w:val="21"/>
                <w:lang w:eastAsia="zh-CN"/>
              </w:rPr>
              <w:t>需求和期望清单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lang w:eastAsia="zh-CN"/>
              </w:rPr>
              <w:t>组织环境识别表</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s="宋体"/>
                <w:color w:val="auto"/>
                <w:szCs w:val="21"/>
              </w:rPr>
            </w:pPr>
            <w:r>
              <w:rPr>
                <w:rFonts w:hint="eastAsia" w:ascii="宋体" w:hAnsi="宋体" w:cs="宋体"/>
                <w:color w:val="auto"/>
                <w:szCs w:val="21"/>
              </w:rPr>
              <w:t>公司管理体系的认证范围为：</w:t>
            </w:r>
          </w:p>
          <w:p>
            <w:pPr>
              <w:rPr>
                <w:color w:val="auto"/>
                <w:sz w:val="20"/>
              </w:rPr>
            </w:pPr>
            <w:r>
              <w:rPr>
                <w:color w:val="auto"/>
                <w:sz w:val="20"/>
              </w:rPr>
              <w:t>Q：物业管理</w:t>
            </w:r>
          </w:p>
          <w:p>
            <w:pPr>
              <w:tabs>
                <w:tab w:val="center" w:pos="3169"/>
              </w:tabs>
              <w:spacing w:line="400" w:lineRule="exact"/>
              <w:jc w:val="left"/>
              <w:rPr>
                <w:rFonts w:hint="eastAsia"/>
                <w:color w:val="auto"/>
                <w:lang w:eastAsia="zh-CN"/>
              </w:rPr>
            </w:pPr>
            <w:r>
              <w:rPr>
                <w:rFonts w:hint="eastAsia" w:ascii="宋体" w:hAnsi="宋体" w:cs="宋体"/>
                <w:color w:val="auto"/>
                <w:szCs w:val="21"/>
                <w:lang w:val="en-US" w:eastAsia="zh-CN"/>
              </w:rPr>
              <w:t>注册地：</w:t>
            </w:r>
            <w:r>
              <w:rPr>
                <w:rFonts w:asciiTheme="minorEastAsia" w:hAnsiTheme="minorEastAsia" w:eastAsiaTheme="minorEastAsia"/>
                <w:color w:val="auto"/>
                <w:sz w:val="20"/>
              </w:rPr>
              <w:t>河北省保定市涿州市双塔办事处范莲邓村北环路与甲秀路交叉口东行500米路南</w:t>
            </w:r>
            <w:r>
              <w:rPr>
                <w:rFonts w:hint="eastAsia"/>
                <w:color w:val="auto"/>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经营地</w:t>
            </w:r>
            <w:r>
              <w:rPr>
                <w:rFonts w:hint="eastAsia" w:ascii="宋体" w:hAnsi="宋体" w:cs="宋体"/>
                <w:color w:val="auto"/>
                <w:szCs w:val="21"/>
                <w:lang w:eastAsia="zh-CN"/>
              </w:rPr>
              <w:t>：</w:t>
            </w:r>
            <w:r>
              <w:rPr>
                <w:rFonts w:asciiTheme="minorEastAsia" w:hAnsiTheme="minorEastAsia" w:eastAsiaTheme="minorEastAsia"/>
                <w:color w:val="auto"/>
                <w:sz w:val="20"/>
              </w:rPr>
              <w:t>河北省保定市涿州市亨通南街南福嘉园小区</w:t>
            </w:r>
            <w:r>
              <w:rPr>
                <w:rFonts w:hint="eastAsia" w:asciiTheme="minorEastAsia" w:hAnsiTheme="minorEastAsia" w:eastAsiaTheme="minorEastAsia"/>
                <w:color w:val="auto"/>
                <w:sz w:val="20"/>
                <w:lang w:val="en-US" w:eastAsia="zh-CN"/>
              </w:rPr>
              <w:t xml:space="preserve"> </w:t>
            </w:r>
          </w:p>
          <w:p>
            <w:pPr>
              <w:spacing w:line="360" w:lineRule="auto"/>
              <w:ind w:firstLine="420" w:firstLineChars="20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宋体" w:hAnsi="宋体" w:cs="宋体"/>
                <w:color w:val="auto"/>
                <w:szCs w:val="21"/>
              </w:rPr>
            </w:pPr>
            <w:r>
              <w:rPr>
                <w:rFonts w:hint="eastAsia" w:ascii="宋体" w:hAnsi="宋体" w:cs="宋体"/>
                <w:color w:val="auto"/>
                <w:szCs w:val="21"/>
              </w:rPr>
              <w:t>领导作用与承诺</w:t>
            </w:r>
          </w:p>
          <w:p>
            <w:pPr>
              <w:rPr>
                <w:rFonts w:ascii="Times New Roman" w:hAnsi="Times New Roman" w:eastAsia="宋体" w:cs="Times New Roman"/>
                <w:color w:val="auto"/>
                <w:kern w:val="2"/>
                <w:sz w:val="21"/>
                <w:lang w:val="en-US" w:eastAsia="zh-CN" w:bidi="ar-SA"/>
              </w:rPr>
            </w:pPr>
          </w:p>
        </w:tc>
        <w:tc>
          <w:tcPr>
            <w:tcW w:w="960" w:type="dxa"/>
            <w:vAlign w:val="top"/>
          </w:tcPr>
          <w:p>
            <w:pPr>
              <w:jc w:val="left"/>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5.1</w:t>
            </w:r>
          </w:p>
        </w:tc>
        <w:tc>
          <w:tcPr>
            <w:tcW w:w="10004" w:type="dxa"/>
            <w:vAlign w:val="top"/>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color w:val="auto"/>
                <w:lang w:val="en-US" w:eastAsia="zh-CN"/>
              </w:rPr>
              <w:t>王会兰</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color w:val="auto"/>
                <w:lang w:val="en-US" w:eastAsia="zh-CN"/>
              </w:rPr>
              <w:t>刘智会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eastAsia="zh-CN"/>
              </w:rPr>
              <w:t>管理方针</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方针</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Q5.2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spacing w:line="400" w:lineRule="exact"/>
              <w:jc w:val="left"/>
              <w:rPr>
                <w:rFonts w:hint="eastAsia" w:ascii="宋体" w:hAnsi="宋体" w:cs="宋体"/>
                <w:color w:val="auto"/>
                <w:szCs w:val="21"/>
              </w:rPr>
            </w:pPr>
            <w:r>
              <w:rPr>
                <w:rFonts w:hint="eastAsia" w:ascii="宋体" w:hAnsi="宋体" w:cs="宋体"/>
                <w:color w:val="auto"/>
                <w:szCs w:val="21"/>
              </w:rPr>
              <w:t>质量、环境和职业健康安全方针：</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真诚服务、客户满意；保护环境、节能降耗；以人为本、保障安全！</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w:t>
            </w:r>
            <w:r>
              <w:rPr>
                <w:rFonts w:hint="eastAsia" w:ascii="宋体" w:hAnsi="宋体" w:cs="宋体"/>
                <w:color w:val="auto"/>
                <w:szCs w:val="21"/>
                <w:lang w:eastAsia="zh-CN"/>
              </w:rPr>
              <w:t>服务</w:t>
            </w:r>
            <w:r>
              <w:rPr>
                <w:rFonts w:hint="eastAsia" w:ascii="宋体" w:hAnsi="宋体" w:cs="宋体"/>
                <w:color w:val="auto"/>
                <w:szCs w:val="21"/>
              </w:rPr>
              <w:t>质量标准和客户要求执行，以优良的品质获得客户的满意和忠诚；</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rPr>
              <w:t>以顾客为关注焦点，关注顾客的需求，不断向客户提供满意的服务，使公司持续发展壮大，持续改进、追求创新、持续改进、不断提高</w:t>
            </w:r>
            <w:r>
              <w:rPr>
                <w:rFonts w:hint="eastAsia" w:ascii="宋体" w:hAnsi="宋体" w:cs="宋体"/>
                <w:color w:val="auto"/>
                <w:szCs w:val="21"/>
                <w:lang w:eastAsia="zh-CN"/>
              </w:rPr>
              <w:t>服务</w:t>
            </w:r>
            <w:r>
              <w:rPr>
                <w:rFonts w:hint="eastAsia" w:ascii="宋体" w:hAnsi="宋体" w:cs="宋体"/>
                <w:color w:val="auto"/>
                <w:szCs w:val="21"/>
              </w:rPr>
              <w:t>质量，让顾客满意</w:t>
            </w:r>
            <w:r>
              <w:rPr>
                <w:rFonts w:hint="eastAsia" w:ascii="宋体" w:hAnsi="宋体" w:cs="宋体"/>
                <w:color w:val="auto"/>
                <w:szCs w:val="21"/>
                <w:lang w:eastAsia="zh-CN"/>
              </w:rPr>
              <w:t>。</w:t>
            </w:r>
          </w:p>
          <w:p>
            <w:pPr>
              <w:pStyle w:val="15"/>
              <w:rPr>
                <w:rFonts w:hint="eastAsia" w:ascii="宋体" w:hAnsi="宋体" w:eastAsia="宋体" w:cs="宋体"/>
                <w:color w:val="auto"/>
                <w:szCs w:val="21"/>
                <w:lang w:val="en-US" w:eastAsia="zh-CN"/>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rFonts w:ascii="Times New Roman" w:hAnsi="Times New Roman" w:eastAsia="宋体" w:cs="Times New Roman"/>
                <w:b/>
                <w:color w:val="auto"/>
                <w:kern w:val="2"/>
                <w:sz w:val="21"/>
                <w:szCs w:val="21"/>
                <w:lang w:val="en-US" w:eastAsia="zh-CN" w:bidi="ar-SA"/>
              </w:rPr>
            </w:pPr>
          </w:p>
        </w:tc>
        <w:tc>
          <w:tcPr>
            <w:tcW w:w="960" w:type="dxa"/>
            <w:vAlign w:val="top"/>
          </w:tcPr>
          <w:p>
            <w:pPr>
              <w:rPr>
                <w:rFonts w:ascii="宋体" w:hAnsi="宋体" w:cs="宋体"/>
                <w:color w:val="auto"/>
                <w:szCs w:val="21"/>
              </w:rPr>
            </w:pPr>
            <w:r>
              <w:rPr>
                <w:rFonts w:hint="eastAsia" w:ascii="宋体" w:hAnsi="宋体" w:cs="宋体"/>
                <w:color w:val="auto"/>
                <w:szCs w:val="21"/>
              </w:rPr>
              <w:t xml:space="preserve">Q5.3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adjustRightInd w:val="0"/>
              <w:snapToGrid w:val="0"/>
              <w:spacing w:line="400" w:lineRule="atLeast"/>
              <w:ind w:firstLine="420" w:firstLineChars="20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rPr>
                <w:rFonts w:hint="eastAsia" w:ascii="宋体" w:hAnsi="宋体" w:cs="宋体"/>
                <w:color w:val="auto"/>
                <w:szCs w:val="21"/>
              </w:rPr>
            </w:pPr>
            <w:r>
              <w:rPr>
                <w:rFonts w:hint="eastAsia" w:ascii="宋体" w:hAnsi="宋体" w:cs="宋体"/>
                <w:color w:val="auto"/>
                <w:szCs w:val="21"/>
              </w:rPr>
              <w:t>应对风险和机遇的措施</w:t>
            </w:r>
          </w:p>
          <w:p>
            <w:pPr>
              <w:rPr>
                <w:rFonts w:hint="eastAsia" w:ascii="宋体" w:hAnsi="宋体" w:cs="宋体"/>
                <w:color w:val="auto"/>
                <w:szCs w:val="21"/>
              </w:rPr>
            </w:pPr>
            <w:r>
              <w:rPr>
                <w:rFonts w:hint="eastAsia" w:ascii="宋体" w:hAnsi="宋体" w:cs="宋体"/>
                <w:color w:val="auto"/>
                <w:szCs w:val="21"/>
              </w:rPr>
              <w:t>（含6.1.1和6.1.2）</w:t>
            </w:r>
          </w:p>
          <w:p>
            <w:pPr>
              <w:rPr>
                <w:rFonts w:hint="eastAsia" w:ascii="宋体" w:hAnsi="宋体" w:cs="宋体"/>
                <w:color w:val="auto"/>
                <w:szCs w:val="21"/>
              </w:rPr>
            </w:pPr>
            <w:r>
              <w:rPr>
                <w:rFonts w:hint="eastAsia" w:ascii="宋体" w:hAnsi="宋体" w:cs="宋体"/>
                <w:color w:val="auto"/>
                <w:szCs w:val="21"/>
              </w:rPr>
              <w:t>#确定的需应对的风险和机遇有哪些？</w:t>
            </w:r>
          </w:p>
          <w:p>
            <w:pPr>
              <w:rPr>
                <w:rFonts w:hint="eastAsia" w:ascii="宋体" w:hAnsi="宋体" w:cs="宋体"/>
                <w:color w:val="auto"/>
                <w:szCs w:val="21"/>
              </w:rPr>
            </w:pPr>
            <w:r>
              <w:rPr>
                <w:rFonts w:hint="eastAsia" w:ascii="宋体" w:hAnsi="宋体" w:cs="宋体"/>
                <w:color w:val="auto"/>
                <w:szCs w:val="21"/>
              </w:rPr>
              <w:t>.策划应对风险和机遇的措施有哪些？</w:t>
            </w:r>
          </w:p>
          <w:p>
            <w:pPr>
              <w:rPr>
                <w:rFonts w:hint="eastAsia" w:ascii="宋体" w:hAnsi="宋体" w:cs="宋体"/>
                <w:color w:val="auto"/>
                <w:szCs w:val="21"/>
              </w:rPr>
            </w:pPr>
            <w:r>
              <w:rPr>
                <w:rFonts w:hint="eastAsia" w:ascii="宋体" w:hAnsi="宋体" w:cs="宋体"/>
                <w:color w:val="auto"/>
                <w:szCs w:val="21"/>
              </w:rPr>
              <w:t>.如何整合并实施这些措施？</w:t>
            </w:r>
          </w:p>
          <w:p>
            <w:pPr>
              <w:rPr>
                <w:rFonts w:hint="eastAsia" w:ascii="宋体" w:hAnsi="宋体" w:cs="宋体"/>
                <w:color w:val="auto"/>
                <w:szCs w:val="21"/>
              </w:rPr>
            </w:pPr>
            <w:r>
              <w:rPr>
                <w:rFonts w:hint="eastAsia" w:ascii="宋体" w:hAnsi="宋体" w:cs="宋体"/>
                <w:color w:val="auto"/>
                <w:szCs w:val="21"/>
              </w:rPr>
              <w:t>.如何评价这些措施的有效性？</w:t>
            </w:r>
          </w:p>
          <w:p>
            <w:pPr>
              <w:rPr>
                <w:rFonts w:hint="eastAsia" w:ascii="宋体" w:hAnsi="宋体" w:cs="宋体"/>
                <w:color w:val="auto"/>
                <w:szCs w:val="21"/>
              </w:rPr>
            </w:pPr>
            <w:r>
              <w:rPr>
                <w:rFonts w:hint="eastAsia" w:ascii="宋体" w:hAnsi="宋体" w:cs="宋体"/>
                <w:color w:val="auto"/>
                <w:szCs w:val="21"/>
              </w:rPr>
              <w:t>.措施是否与风险和机遇的影响程度相适应？</w:t>
            </w:r>
          </w:p>
          <w:p>
            <w:pPr>
              <w:rPr>
                <w:rFonts w:hint="eastAsia" w:ascii="宋体" w:hAnsi="宋体" w:eastAsia="宋体" w:cs="宋体"/>
                <w:color w:val="auto"/>
                <w:kern w:val="2"/>
                <w:sz w:val="21"/>
                <w:szCs w:val="21"/>
                <w:lang w:val="en-US" w:eastAsia="zh-CN" w:bidi="ar-SA"/>
              </w:rPr>
            </w:pPr>
          </w:p>
        </w:tc>
        <w:tc>
          <w:tcPr>
            <w:tcW w:w="960" w:type="dxa"/>
            <w:vAlign w:val="top"/>
          </w:tcPr>
          <w:p>
            <w:pPr>
              <w:jc w:val="both"/>
              <w:rPr>
                <w:rFonts w:hint="eastAsia"/>
                <w:color w:val="auto"/>
              </w:rPr>
            </w:pPr>
            <w:r>
              <w:rPr>
                <w:rFonts w:hint="eastAsia"/>
                <w:color w:val="auto"/>
                <w:lang w:val="en-US" w:eastAsia="zh-CN"/>
              </w:rPr>
              <w:t>Q</w:t>
            </w:r>
            <w:r>
              <w:rPr>
                <w:rFonts w:hint="eastAsia"/>
                <w:color w:val="auto"/>
              </w:rPr>
              <w:t>6.1</w:t>
            </w:r>
          </w:p>
          <w:p>
            <w:pPr>
              <w:pStyle w:val="15"/>
              <w:rPr>
                <w:rFonts w:hint="default" w:ascii="Times New Roman" w:hAnsi="Times New Roman" w:eastAsia="宋体" w:cs="Times New Roman"/>
                <w:bCs/>
                <w:color w:val="auto"/>
                <w:spacing w:val="10"/>
                <w:kern w:val="2"/>
                <w:sz w:val="21"/>
                <w:lang w:val="en-US" w:eastAsia="zh-CN" w:bidi="ar-SA"/>
              </w:rPr>
            </w:pP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w:t>
            </w:r>
            <w:r>
              <w:rPr>
                <w:rFonts w:hint="eastAsia" w:ascii="宋体" w:hAnsi="宋体" w:cs="宋体"/>
                <w:color w:val="auto"/>
                <w:szCs w:val="24"/>
                <w:lang w:eastAsia="zh-CN"/>
              </w:rPr>
              <w:t>评估</w:t>
            </w:r>
            <w:r>
              <w:rPr>
                <w:rFonts w:hint="eastAsia" w:ascii="宋体" w:hAnsi="宋体" w:cs="宋体"/>
                <w:color w:val="auto"/>
                <w:szCs w:val="24"/>
              </w:rPr>
              <w:t>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w:t>
            </w:r>
            <w:r>
              <w:rPr>
                <w:rFonts w:hint="eastAsia" w:ascii="宋体" w:hAnsi="宋体" w:cs="宋体"/>
                <w:color w:val="auto"/>
                <w:szCs w:val="24"/>
                <w:lang w:eastAsia="zh-CN"/>
              </w:rPr>
              <w:t>评估</w:t>
            </w:r>
            <w:r>
              <w:rPr>
                <w:rFonts w:hint="eastAsia" w:ascii="宋体" w:hAnsi="宋体" w:cs="宋体"/>
                <w:color w:val="auto"/>
                <w:szCs w:val="24"/>
              </w:rPr>
              <w:t>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olor w:val="auto"/>
                <w:szCs w:val="21"/>
              </w:rPr>
              <w:t>目标及其实现的策划</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Q6.2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质量目标：</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.项目服务合格率达到9</w:t>
            </w:r>
            <w:r>
              <w:rPr>
                <w:rFonts w:hint="eastAsia" w:ascii="宋体" w:hAnsi="宋体" w:cs="宋体"/>
                <w:color w:val="auto"/>
                <w:szCs w:val="21"/>
                <w:lang w:val="en-US" w:eastAsia="zh-CN"/>
              </w:rPr>
              <w:t>0</w:t>
            </w:r>
            <w:r>
              <w:rPr>
                <w:rFonts w:hint="eastAsia" w:ascii="宋体" w:hAnsi="宋体" w:cs="宋体"/>
                <w:color w:val="auto"/>
                <w:szCs w:val="21"/>
                <w:lang w:eastAsia="zh-CN"/>
              </w:rPr>
              <w:t>%</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客户满意率达</w:t>
            </w:r>
            <w:r>
              <w:rPr>
                <w:rFonts w:hint="eastAsia" w:ascii="宋体" w:hAnsi="宋体" w:cs="宋体"/>
                <w:color w:val="auto"/>
                <w:szCs w:val="21"/>
                <w:lang w:eastAsia="zh-CN"/>
              </w:rPr>
              <w:t>到</w:t>
            </w:r>
            <w:r>
              <w:rPr>
                <w:rFonts w:hint="eastAsia" w:ascii="宋体" w:hAnsi="宋体" w:cs="宋体"/>
                <w:color w:val="auto"/>
                <w:szCs w:val="21"/>
              </w:rPr>
              <w:t>9</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 xml:space="preserve">顾客反馈处置及时率100%； </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无重大服务质量投诉及安全责任事故。</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目标指标管理方案完成情况考核记录（</w:t>
            </w:r>
            <w:r>
              <w:rPr>
                <w:rFonts w:hint="eastAsia" w:ascii="宋体" w:hAnsi="宋体" w:cs="宋体"/>
                <w:color w:val="auto"/>
                <w:szCs w:val="21"/>
                <w:lang w:val="en-US" w:eastAsia="zh-CN"/>
              </w:rPr>
              <w:t>2021年</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目标指标管理方案完成情况考核记录（</w:t>
            </w:r>
            <w:r>
              <w:rPr>
                <w:rFonts w:hint="eastAsia" w:ascii="宋体" w:hAnsi="宋体" w:cs="宋体"/>
                <w:color w:val="auto"/>
                <w:szCs w:val="21"/>
                <w:lang w:val="en-US" w:eastAsia="zh-CN"/>
              </w:rPr>
              <w:t>2022年</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rPr>
              <w:t>对目标进行考核，考核情况为：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项目服务合格率达到</w:t>
            </w:r>
            <w:r>
              <w:rPr>
                <w:rFonts w:hint="eastAsia" w:ascii="宋体" w:hAnsi="宋体" w:cs="宋体"/>
                <w:color w:val="auto"/>
                <w:szCs w:val="21"/>
                <w:lang w:val="en-US" w:eastAsia="zh-CN"/>
              </w:rPr>
              <w:t>100</w:t>
            </w:r>
            <w:r>
              <w:rPr>
                <w:rFonts w:hint="eastAsia" w:ascii="宋体" w:hAnsi="宋体" w:cs="宋体"/>
                <w:color w:val="auto"/>
                <w:szCs w:val="21"/>
                <w:lang w:eastAsia="zh-CN"/>
              </w:rPr>
              <w:t>%</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客户满意率达</w:t>
            </w:r>
            <w:r>
              <w:rPr>
                <w:rFonts w:hint="eastAsia" w:ascii="宋体" w:hAnsi="宋体" w:cs="宋体"/>
                <w:color w:val="auto"/>
                <w:szCs w:val="21"/>
                <w:lang w:eastAsia="zh-CN"/>
              </w:rPr>
              <w:t>到</w:t>
            </w:r>
            <w:r>
              <w:rPr>
                <w:rFonts w:hint="eastAsia" w:ascii="宋体" w:hAnsi="宋体" w:cs="宋体"/>
                <w:color w:val="auto"/>
                <w:szCs w:val="21"/>
              </w:rPr>
              <w:t>9</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 xml:space="preserve">顾客反馈处置及时率100%；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4.未发生</w:t>
            </w:r>
            <w:r>
              <w:rPr>
                <w:rFonts w:hint="eastAsia" w:ascii="宋体" w:hAnsi="宋体" w:cs="宋体"/>
                <w:color w:val="auto"/>
                <w:szCs w:val="21"/>
                <w:lang w:eastAsia="zh-CN"/>
              </w:rPr>
              <w:t>重大服务质量投诉及安全责任事故。</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变更的策划</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经查：暂无变更</w:t>
            </w:r>
            <w:r>
              <w:rPr>
                <w:rFonts w:hint="eastAsia" w:ascii="宋体" w:hAnsi="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hint="eastAsia"/>
                <w:color w:val="auto"/>
              </w:rPr>
            </w:pPr>
            <w:r>
              <w:rPr>
                <w:rFonts w:hint="eastAsia"/>
                <w:color w:val="auto"/>
              </w:rPr>
              <w:t xml:space="preserve">Q7.1.1 </w:t>
            </w:r>
          </w:p>
          <w:p>
            <w:pPr>
              <w:pStyle w:val="15"/>
              <w:rPr>
                <w:rFonts w:hint="default" w:ascii="Times New Roman" w:hAnsi="Times New Roman" w:eastAsia="宋体" w:cs="Times New Roman"/>
                <w:bCs/>
                <w:color w:val="auto"/>
                <w:spacing w:val="10"/>
                <w:kern w:val="2"/>
                <w:sz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询问总经理，企业为了实施质量、环境管理体系，并持续改进其有效性、增强顾客满意度和体系正常运行提供了充足的资金</w:t>
            </w:r>
            <w:r>
              <w:rPr>
                <w:rFonts w:hint="eastAsia" w:ascii="宋体" w:hAnsi="宋体" w:cs="宋体"/>
                <w:color w:val="auto"/>
                <w:szCs w:val="21"/>
                <w:lang w:eastAsia="zh-CN"/>
              </w:rPr>
              <w:t>（一年大约</w:t>
            </w:r>
            <w:r>
              <w:rPr>
                <w:rFonts w:hint="eastAsia" w:ascii="宋体" w:hAnsi="宋体" w:cs="宋体"/>
                <w:color w:val="auto"/>
                <w:szCs w:val="21"/>
                <w:lang w:val="en-US" w:eastAsia="zh-CN"/>
              </w:rPr>
              <w:t>10550元）</w:t>
            </w:r>
            <w:r>
              <w:rPr>
                <w:rFonts w:hint="eastAsia" w:ascii="宋体" w:hAnsi="宋体" w:cs="宋体"/>
                <w:color w:val="auto"/>
                <w:szCs w:val="21"/>
              </w:rPr>
              <w:t>及必要的资源，为提高员工</w:t>
            </w:r>
            <w:r>
              <w:rPr>
                <w:rFonts w:hint="eastAsia" w:ascii="宋体" w:hAnsi="宋体" w:cs="宋体"/>
                <w:color w:val="auto"/>
                <w:szCs w:val="21"/>
                <w:lang w:eastAsia="zh-CN"/>
              </w:rPr>
              <w:t>服务</w:t>
            </w:r>
            <w:r>
              <w:rPr>
                <w:rFonts w:hint="eastAsia" w:ascii="宋体" w:hAnsi="宋体" w:cs="宋体"/>
                <w:color w:val="auto"/>
                <w:szCs w:val="21"/>
              </w:rPr>
              <w:t>质量意识组织了的培训，目前的资源基本满足策划需要。</w:t>
            </w:r>
          </w:p>
          <w:p>
            <w:pPr>
              <w:tabs>
                <w:tab w:val="center" w:pos="3169"/>
              </w:tabs>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总经理对资源的配备比较重视，人力资源、设备和工作环境等可满足物业管理</w:t>
            </w:r>
            <w:r>
              <w:rPr>
                <w:rFonts w:hint="eastAsia" w:ascii="宋体" w:hAnsi="宋体" w:cs="宋体"/>
                <w:color w:val="auto"/>
                <w:szCs w:val="21"/>
                <w:lang w:val="en-US" w:eastAsia="zh-CN"/>
              </w:rPr>
              <w:t>服务</w:t>
            </w:r>
            <w:r>
              <w:rPr>
                <w:rFonts w:hint="eastAsia" w:ascii="宋体" w:hAnsi="宋体" w:cs="宋体"/>
                <w:color w:val="auto"/>
                <w:szCs w:val="21"/>
              </w:rPr>
              <w:t>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管理评审</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color w:val="auto"/>
              </w:rPr>
            </w:pPr>
            <w:r>
              <w:rPr>
                <w:rFonts w:hint="eastAsia"/>
                <w:color w:val="auto"/>
              </w:rPr>
              <w:t>查，公司管理手册，规定了管理评审的要求：管理评审的主持人、时间频率、管理评审的输入、输出等。公司制定了“管理评审</w:t>
            </w:r>
            <w:r>
              <w:rPr>
                <w:rFonts w:hint="eastAsia"/>
                <w:color w:val="auto"/>
                <w:lang w:eastAsia="zh-CN"/>
              </w:rPr>
              <w:t>控制</w:t>
            </w:r>
            <w:r>
              <w:rPr>
                <w:rFonts w:hint="eastAsia"/>
                <w:color w:val="auto"/>
              </w:rPr>
              <w:t>程序”,规定每年至少进行一次管理评审，每次时间间隔不超过12个月</w:t>
            </w:r>
          </w:p>
          <w:p>
            <w:pPr>
              <w:tabs>
                <w:tab w:val="center" w:pos="3169"/>
              </w:tabs>
              <w:spacing w:line="400" w:lineRule="exact"/>
              <w:jc w:val="left"/>
              <w:rPr>
                <w:color w:val="auto"/>
              </w:rPr>
            </w:pPr>
            <w:r>
              <w:rPr>
                <w:rFonts w:hint="eastAsia"/>
                <w:color w:val="auto"/>
              </w:rPr>
              <w:t>时间：20</w:t>
            </w:r>
            <w:r>
              <w:rPr>
                <w:rFonts w:hint="eastAsia"/>
                <w:color w:val="auto"/>
                <w:lang w:val="en-US" w:eastAsia="zh-CN"/>
              </w:rPr>
              <w:t>22</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30</w:t>
            </w:r>
            <w:r>
              <w:rPr>
                <w:rFonts w:hint="eastAsia"/>
                <w:color w:val="auto"/>
              </w:rPr>
              <w:t>日</w:t>
            </w:r>
          </w:p>
          <w:p>
            <w:pPr>
              <w:tabs>
                <w:tab w:val="center" w:pos="3169"/>
              </w:tabs>
              <w:spacing w:line="400" w:lineRule="exact"/>
              <w:jc w:val="left"/>
              <w:rPr>
                <w:color w:val="auto"/>
              </w:rPr>
            </w:pPr>
            <w:r>
              <w:rPr>
                <w:rFonts w:hint="eastAsia"/>
                <w:color w:val="auto"/>
              </w:rPr>
              <w:t>主持人：</w:t>
            </w:r>
            <w:r>
              <w:rPr>
                <w:rFonts w:hint="eastAsia"/>
                <w:color w:val="auto"/>
                <w:lang w:eastAsia="zh-CN"/>
              </w:rPr>
              <w:t>王会兰</w:t>
            </w:r>
            <w:r>
              <w:rPr>
                <w:rFonts w:hint="eastAsia"/>
                <w:color w:val="auto"/>
              </w:rPr>
              <w:t>总经理</w:t>
            </w:r>
          </w:p>
          <w:p>
            <w:pPr>
              <w:tabs>
                <w:tab w:val="center" w:pos="3169"/>
              </w:tabs>
              <w:spacing w:line="400" w:lineRule="exact"/>
              <w:jc w:val="left"/>
              <w:rPr>
                <w:rFonts w:hint="eastAsia"/>
                <w:color w:val="auto"/>
                <w:lang w:val="en-US" w:eastAsia="zh-CN"/>
              </w:rPr>
            </w:pPr>
            <w:r>
              <w:rPr>
                <w:rFonts w:hint="eastAsia"/>
                <w:color w:val="auto"/>
              </w:rPr>
              <w:t>参加人员：</w:t>
            </w:r>
            <w:r>
              <w:rPr>
                <w:rFonts w:hint="eastAsia"/>
                <w:color w:val="auto"/>
                <w:lang w:eastAsia="zh-CN"/>
              </w:rPr>
              <w:t>刘智会（管理者代表）胡庆德（物业部经理）、</w:t>
            </w:r>
            <w:r>
              <w:rPr>
                <w:rFonts w:hint="eastAsia"/>
                <w:color w:val="auto"/>
                <w:lang w:val="en-US" w:eastAsia="zh-CN"/>
              </w:rPr>
              <w:t>单璐菊（财务部）</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提供管理评审会议签到表。</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管理评审的输入</w:t>
            </w:r>
            <w:r>
              <w:rPr>
                <w:rFonts w:hint="eastAsia" w:ascii="宋体" w:hAnsi="宋体" w:cs="宋体"/>
                <w:color w:val="auto"/>
                <w:sz w:val="21"/>
                <w:szCs w:val="21"/>
                <w:highlight w:val="none"/>
                <w:lang w:eastAsia="zh-CN"/>
              </w:rPr>
              <w:t>：</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管理评审输入</w:t>
            </w:r>
            <w:r>
              <w:rPr>
                <w:rFonts w:hint="eastAsia" w:ascii="宋体" w:hAnsi="宋体" w:cs="宋体"/>
                <w:color w:val="auto"/>
                <w:sz w:val="21"/>
                <w:szCs w:val="21"/>
                <w:highlight w:val="none"/>
              </w:rPr>
              <w:t>资料主要是各部门提供的工作总结。</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输入内容基本满足输入要求。</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查管理评审输出：提供有《管理评审报告》：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管理方针</w:t>
            </w:r>
            <w:r>
              <w:rPr>
                <w:rFonts w:hint="eastAsia" w:ascii="宋体" w:hAnsi="宋体" w:cs="宋体"/>
                <w:color w:val="auto"/>
                <w:szCs w:val="21"/>
              </w:rPr>
              <w:t>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p>
            <w:pPr>
              <w:tabs>
                <w:tab w:val="center" w:pos="3169"/>
              </w:tabs>
              <w:spacing w:line="400" w:lineRule="exact"/>
              <w:jc w:val="left"/>
              <w:rPr>
                <w:color w:val="auto"/>
              </w:rPr>
            </w:pPr>
            <w:r>
              <w:rPr>
                <w:rFonts w:hint="eastAsia"/>
                <w:color w:val="auto"/>
                <w:lang w:val="en-US" w:eastAsia="zh-CN"/>
              </w:rPr>
              <w:t>7.</w:t>
            </w:r>
            <w:r>
              <w:rPr>
                <w:rFonts w:hint="eastAsia"/>
                <w:color w:val="auto"/>
              </w:rPr>
              <w:t>体系绩效测量和监视（包括目标达成情况、内审审核）：通过考核目标达成良好，内审基本符合要求；</w:t>
            </w:r>
          </w:p>
          <w:p>
            <w:pPr>
              <w:tabs>
                <w:tab w:val="center" w:pos="3169"/>
              </w:tabs>
              <w:spacing w:line="400" w:lineRule="exact"/>
              <w:jc w:val="left"/>
              <w:rPr>
                <w:rFonts w:hint="eastAsia"/>
                <w:color w:val="auto"/>
              </w:rPr>
            </w:pPr>
            <w:r>
              <w:rPr>
                <w:rFonts w:hint="eastAsia"/>
                <w:color w:val="auto"/>
              </w:rPr>
              <w:t>管理评审结论：通过管理评审</w:t>
            </w:r>
            <w:r>
              <w:rPr>
                <w:rFonts w:hint="eastAsia"/>
                <w:color w:val="auto"/>
                <w:lang w:eastAsia="zh-CN"/>
              </w:rPr>
              <w:t>，</w:t>
            </w:r>
            <w:r>
              <w:rPr>
                <w:rFonts w:hint="eastAsia"/>
                <w:color w:val="auto"/>
              </w:rPr>
              <w:t>确保了</w:t>
            </w:r>
            <w:r>
              <w:rPr>
                <w:rFonts w:hint="eastAsia"/>
                <w:color w:val="auto"/>
                <w:lang w:eastAsia="zh-CN"/>
              </w:rPr>
              <w:t>管理体系</w:t>
            </w:r>
            <w:r>
              <w:rPr>
                <w:rFonts w:hint="eastAsia"/>
                <w:color w:val="auto"/>
              </w:rPr>
              <w:t>持续的适宜性、充分性和有效性，达到了持续改进的目的，为下一步外审工作奠定了良好的基础。</w:t>
            </w:r>
          </w:p>
          <w:p>
            <w:pPr>
              <w:pStyle w:val="4"/>
              <w:rPr>
                <w:rFonts w:hint="eastAsia" w:eastAsia="宋体"/>
                <w:color w:val="auto"/>
                <w:lang w:val="en-US" w:eastAsia="zh-CN"/>
              </w:rPr>
            </w:pPr>
            <w:r>
              <w:rPr>
                <w:rFonts w:hint="eastAsia" w:ascii="宋体" w:hAnsi="宋体" w:cs="宋体"/>
                <w:color w:val="auto"/>
                <w:sz w:val="21"/>
                <w:szCs w:val="21"/>
                <w:highlight w:val="none"/>
              </w:rPr>
              <w:t>提出改进</w:t>
            </w:r>
            <w:r>
              <w:rPr>
                <w:rFonts w:hint="eastAsia" w:ascii="宋体" w:hAnsi="宋体" w:cs="宋体"/>
                <w:color w:val="auto"/>
                <w:sz w:val="21"/>
                <w:szCs w:val="21"/>
                <w:highlight w:val="none"/>
                <w:lang w:val="en-US" w:eastAsia="zh-CN"/>
              </w:rPr>
              <w:t>建议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加强对物业部人员的服务规范和作业规范的培训。</w:t>
            </w:r>
            <w:r>
              <w:rPr>
                <w:rFonts w:hint="eastAsia" w:ascii="宋体" w:hAnsi="宋体" w:cs="宋体"/>
                <w:color w:val="auto"/>
                <w:sz w:val="21"/>
                <w:szCs w:val="21"/>
                <w:highlight w:val="none"/>
              </w:rPr>
              <w:t xml:space="preserve">  </w:t>
            </w:r>
            <w:r>
              <w:rPr>
                <w:rFonts w:hint="eastAsia" w:eastAsia="宋体"/>
                <w:color w:val="auto"/>
                <w:lang w:val="en-US" w:eastAsia="zh-CN"/>
              </w:rPr>
              <w:drawing>
                <wp:inline distT="0" distB="0" distL="114300" distR="114300">
                  <wp:extent cx="4117340" cy="4035425"/>
                  <wp:effectExtent l="0" t="0" r="10160" b="3175"/>
                  <wp:docPr id="2" name="图片 2" descr="管理评审会议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管理评审会议记录"/>
                          <pic:cNvPicPr>
                            <a:picLocks noChangeAspect="1"/>
                          </pic:cNvPicPr>
                        </pic:nvPicPr>
                        <pic:blipFill>
                          <a:blip r:embed="rId6"/>
                          <a:stretch>
                            <a:fillRect/>
                          </a:stretch>
                        </pic:blipFill>
                        <pic:spPr>
                          <a:xfrm>
                            <a:off x="0" y="0"/>
                            <a:ext cx="4117340" cy="4035425"/>
                          </a:xfrm>
                          <a:prstGeom prst="rect">
                            <a:avLst/>
                          </a:prstGeom>
                        </pic:spPr>
                      </pic:pic>
                    </a:graphicData>
                  </a:graphic>
                </wp:inline>
              </w:drawing>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持续改进</w:t>
            </w:r>
          </w:p>
        </w:tc>
        <w:tc>
          <w:tcPr>
            <w:tcW w:w="960" w:type="dxa"/>
            <w:vAlign w:val="top"/>
          </w:tcPr>
          <w:p>
            <w:pPr>
              <w:tabs>
                <w:tab w:val="center" w:pos="3169"/>
              </w:tabs>
              <w:spacing w:line="400" w:lineRule="exact"/>
              <w:rPr>
                <w:rFonts w:ascii="宋体" w:hAnsi="宋体" w:eastAsia="宋体" w:cs="Times New Roman"/>
                <w:color w:val="auto"/>
                <w:kern w:val="2"/>
                <w:sz w:val="21"/>
                <w:szCs w:val="21"/>
                <w:lang w:val="en-US" w:eastAsia="zh-CN" w:bidi="ar-SA"/>
              </w:rPr>
            </w:pPr>
            <w:r>
              <w:rPr>
                <w:rFonts w:hint="eastAsia" w:ascii="宋体" w:hAnsi="宋体" w:cs="宋体"/>
                <w:color w:val="auto"/>
                <w:szCs w:val="21"/>
              </w:rPr>
              <w:t>Q10.1;10.3</w:t>
            </w:r>
          </w:p>
        </w:tc>
        <w:tc>
          <w:tcPr>
            <w:tcW w:w="10004" w:type="dxa"/>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eastAsia="宋体" w:cs="宋体"/>
                <w:b w:val="0"/>
                <w:bCs w:val="0"/>
                <w:color w:val="auto"/>
                <w:sz w:val="21"/>
                <w:szCs w:val="21"/>
              </w:rPr>
              <w:t>《管理评审</w:t>
            </w:r>
            <w:r>
              <w:rPr>
                <w:rFonts w:hint="eastAsia" w:ascii="宋体" w:hAnsi="宋体" w:cs="宋体"/>
                <w:b w:val="0"/>
                <w:bCs w:val="0"/>
                <w:color w:val="auto"/>
                <w:sz w:val="21"/>
                <w:szCs w:val="21"/>
                <w:lang w:eastAsia="zh-CN"/>
              </w:rPr>
              <w:t>控制</w:t>
            </w:r>
            <w:r>
              <w:rPr>
                <w:rFonts w:hint="eastAsia" w:ascii="宋体" w:hAnsi="宋体" w:eastAsia="宋体" w:cs="宋体"/>
                <w:b w:val="0"/>
                <w:bCs w:val="0"/>
                <w:color w:val="auto"/>
                <w:sz w:val="21"/>
                <w:szCs w:val="21"/>
              </w:rPr>
              <w:t>制度》、《监视和测量</w:t>
            </w:r>
            <w:r>
              <w:rPr>
                <w:rFonts w:hint="eastAsia" w:ascii="宋体" w:hAnsi="宋体" w:cs="宋体"/>
                <w:b w:val="0"/>
                <w:bCs w:val="0"/>
                <w:color w:val="auto"/>
                <w:sz w:val="21"/>
                <w:szCs w:val="21"/>
                <w:lang w:eastAsia="zh-CN"/>
              </w:rPr>
              <w:t>资源控制</w:t>
            </w:r>
            <w:r>
              <w:rPr>
                <w:rFonts w:hint="eastAsia" w:ascii="宋体" w:hAnsi="宋体" w:eastAsia="宋体" w:cs="宋体"/>
                <w:b w:val="0"/>
                <w:bCs w:val="0"/>
                <w:color w:val="auto"/>
                <w:sz w:val="21"/>
                <w:szCs w:val="21"/>
              </w:rPr>
              <w:t>程序》、《不符合、纠正措施和预防措施控制程序》及《内部审核控制程序》，对持续改进的过</w:t>
            </w:r>
            <w:r>
              <w:rPr>
                <w:rFonts w:hint="eastAsia" w:ascii="宋体" w:hAnsi="宋体" w:cs="宋体"/>
                <w:b w:val="0"/>
                <w:bCs w:val="0"/>
                <w:color w:val="auto"/>
                <w:sz w:val="21"/>
                <w:szCs w:val="21"/>
              </w:rPr>
              <w:t>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管理方针</w:t>
            </w:r>
            <w:r>
              <w:rPr>
                <w:rFonts w:hint="eastAsia" w:ascii="宋体" w:hAnsi="宋体" w:cs="宋体"/>
                <w:b w:val="0"/>
                <w:bCs w:val="0"/>
                <w:color w:val="auto"/>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公司各部门和各对体系过程输出的各种信息进行收集、分析，识别出不符合或潜在的不符合，并分析原因，按《不合格和纠正措施控制程序》实施纠正措施。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hint="eastAsia" w:ascii="宋体" w:hAnsi="宋体" w:eastAsia="宋体" w:cs="宋体"/>
                <w:b/>
                <w:bCs/>
                <w:color w:val="auto"/>
                <w:kern w:val="2"/>
                <w:sz w:val="32"/>
                <w:szCs w:val="21"/>
                <w:lang w:val="en-US" w:eastAsia="zh-CN" w:bidi="ar-SA"/>
              </w:rPr>
            </w:pPr>
            <w:r>
              <w:rPr>
                <w:rFonts w:hint="eastAsia" w:ascii="宋体" w:hAnsi="宋体" w:cs="宋体"/>
                <w:b w:val="0"/>
                <w:bCs w:val="0"/>
                <w:color w:val="auto"/>
                <w:sz w:val="21"/>
                <w:szCs w:val="21"/>
              </w:rPr>
              <w:t>公司主要按策划的管理手册、程序文件等实施运行，主要采用内审、管理评审、数据分析、纠正和预防措施、</w:t>
            </w:r>
            <w:r>
              <w:rPr>
                <w:rFonts w:hint="eastAsia" w:ascii="宋体" w:hAnsi="宋体" w:cs="宋体"/>
                <w:b w:val="0"/>
                <w:bCs w:val="0"/>
                <w:color w:val="auto"/>
                <w:sz w:val="21"/>
                <w:szCs w:val="21"/>
                <w:lang w:eastAsia="zh-CN"/>
              </w:rPr>
              <w:t>管理方针</w:t>
            </w:r>
            <w:r>
              <w:rPr>
                <w:rFonts w:hint="eastAsia" w:ascii="宋体" w:hAnsi="宋体" w:cs="宋体"/>
                <w:b w:val="0"/>
                <w:bCs w:val="0"/>
                <w:color w:val="auto"/>
                <w:sz w:val="21"/>
                <w:szCs w:val="21"/>
              </w:rPr>
              <w:t>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rPr>
          <w:rFonts w:hint="eastAsia"/>
        </w:rPr>
      </w:pPr>
      <w:r>
        <w:rPr>
          <w:rFonts w:hint="eastAsia"/>
        </w:rPr>
        <w:t>说明：不符合标注N</w:t>
      </w:r>
    </w:p>
    <w:p>
      <w:pPr>
        <w:pStyle w:val="6"/>
        <w:rPr>
          <w:rFonts w:hint="eastAsia"/>
        </w:rPr>
      </w:pPr>
    </w:p>
    <w:p>
      <w:pPr>
        <w:spacing w:line="480" w:lineRule="exact"/>
        <w:jc w:val="center"/>
        <w:rPr>
          <w:rFonts w:hint="eastAsia" w:ascii="隶书" w:hAnsi="宋体" w:eastAsia="隶书"/>
          <w:bCs/>
          <w:color w:val="000000"/>
          <w:sz w:val="36"/>
          <w:szCs w:val="36"/>
        </w:rPr>
      </w:pPr>
    </w:p>
    <w:p>
      <w:pPr>
        <w:pStyle w:val="6"/>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DNiN2QzZTk4YTE3NjNiM2I5OTI4Y2YxNGYyZmIifQ=="/>
  </w:docVars>
  <w:rsids>
    <w:rsidRoot w:val="00000000"/>
    <w:rsid w:val="00D519FC"/>
    <w:rsid w:val="00DD75D2"/>
    <w:rsid w:val="00E30FAC"/>
    <w:rsid w:val="01D8670F"/>
    <w:rsid w:val="03FF52F0"/>
    <w:rsid w:val="059E5697"/>
    <w:rsid w:val="06271C8F"/>
    <w:rsid w:val="09341933"/>
    <w:rsid w:val="0FCB1465"/>
    <w:rsid w:val="118004CD"/>
    <w:rsid w:val="1B0627B3"/>
    <w:rsid w:val="1C192582"/>
    <w:rsid w:val="1DF148B0"/>
    <w:rsid w:val="1ED360A4"/>
    <w:rsid w:val="2A3049B2"/>
    <w:rsid w:val="2BE70FF2"/>
    <w:rsid w:val="2ED66431"/>
    <w:rsid w:val="3C502C92"/>
    <w:rsid w:val="3F074A05"/>
    <w:rsid w:val="400F7A73"/>
    <w:rsid w:val="4142193E"/>
    <w:rsid w:val="426024C3"/>
    <w:rsid w:val="44BB21B5"/>
    <w:rsid w:val="47840F8B"/>
    <w:rsid w:val="49BB40C8"/>
    <w:rsid w:val="50011E81"/>
    <w:rsid w:val="52E33AC0"/>
    <w:rsid w:val="53BD3B91"/>
    <w:rsid w:val="572F4C08"/>
    <w:rsid w:val="694E2FF1"/>
    <w:rsid w:val="6BD12117"/>
    <w:rsid w:val="6C18431A"/>
    <w:rsid w:val="6DAD4FDB"/>
    <w:rsid w:val="6FD654A0"/>
    <w:rsid w:val="71DD0A24"/>
    <w:rsid w:val="73506AF8"/>
    <w:rsid w:val="735D5637"/>
    <w:rsid w:val="736E479F"/>
    <w:rsid w:val="74F62258"/>
    <w:rsid w:val="772E3441"/>
    <w:rsid w:val="7847671C"/>
    <w:rsid w:val="7CA61751"/>
    <w:rsid w:val="7DDD7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w:basedOn w:val="1"/>
    <w:qFormat/>
    <w:uiPriority w:val="0"/>
    <w:pPr>
      <w:spacing w:after="120"/>
      <w:jc w:val="left"/>
    </w:pPr>
    <w:rPr>
      <w:rFonts w:ascii="Times New Roman" w:hAnsi="Times New Roman" w:eastAsia="宋体"/>
      <w:sz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4128</Words>
  <Characters>4377</Characters>
  <Lines>1</Lines>
  <Paragraphs>1</Paragraphs>
  <TotalTime>3</TotalTime>
  <ScaleCrop>false</ScaleCrop>
  <LinksUpToDate>false</LinksUpToDate>
  <CharactersWithSpaces>4423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2022-05-14T03:43:02Z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DD6704A490E94D7486AA28428CE8F5FD</vt:lpwstr>
  </property>
  <property fmtid="{D5CDD505-2E9C-101B-9397-08002B2CF9AE}" pid="3" name="KSOProductBuildVer">
    <vt:lpwstr>2052-11.1.0.11636</vt:lpwstr>
  </property>
</Properties>
</file>